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黑体" w:hAnsi="黑体" w:eastAsia="黑体" w:cs="黑体"/>
          <w:kern w:val="0"/>
          <w:sz w:val="48"/>
          <w:szCs w:val="48"/>
        </w:rPr>
      </w:pPr>
      <w:r>
        <w:rPr>
          <w:rFonts w:hint="eastAsia" w:ascii="黑体" w:hAnsi="黑体" w:eastAsia="黑体" w:cs="黑体"/>
          <w:kern w:val="0"/>
          <w:sz w:val="48"/>
          <w:szCs w:val="48"/>
          <w:lang w:val="en-US" w:eastAsia="zh-CN"/>
        </w:rPr>
        <w:t>塔城地区辐射监管快速响应能力</w:t>
      </w:r>
      <w:r>
        <w:rPr>
          <w:rFonts w:hint="eastAsia" w:ascii="黑体" w:hAnsi="黑体" w:eastAsia="黑体" w:cs="黑体"/>
          <w:kern w:val="0"/>
          <w:sz w:val="48"/>
          <w:szCs w:val="48"/>
        </w:rPr>
        <w:t>资金</w:t>
      </w:r>
    </w:p>
    <w:p>
      <w:pPr>
        <w:spacing w:line="540" w:lineRule="exact"/>
        <w:jc w:val="center"/>
        <w:rPr>
          <w:rFonts w:hint="eastAsia" w:ascii="黑体" w:hAnsi="黑体" w:eastAsia="黑体" w:cs="黑体"/>
          <w:kern w:val="0"/>
          <w:sz w:val="48"/>
          <w:szCs w:val="48"/>
        </w:rPr>
      </w:pPr>
      <w:r>
        <w:rPr>
          <w:rFonts w:hint="eastAsia" w:ascii="黑体" w:hAnsi="黑体" w:eastAsia="黑体" w:cs="黑体"/>
          <w:kern w:val="0"/>
          <w:sz w:val="48"/>
          <w:szCs w:val="48"/>
        </w:rPr>
        <w:t>项目支出绩效评价报告</w:t>
      </w:r>
    </w:p>
    <w:p>
      <w:pPr>
        <w:spacing w:line="540" w:lineRule="exact"/>
        <w:jc w:val="center"/>
        <w:rPr>
          <w:rFonts w:hint="eastAsia" w:ascii="黑体" w:hAnsi="黑体" w:eastAsia="黑体" w:cs="黑体"/>
          <w:b/>
          <w:kern w:val="0"/>
          <w:sz w:val="52"/>
          <w:szCs w:val="52"/>
        </w:rPr>
      </w:pPr>
    </w:p>
    <w:p>
      <w:pPr>
        <w:spacing w:line="540" w:lineRule="exact"/>
        <w:jc w:val="center"/>
        <w:rPr>
          <w:rFonts w:hint="eastAsia" w:ascii="黑体" w:hAnsi="黑体" w:eastAsia="黑体" w:cs="黑体"/>
          <w:kern w:val="0"/>
          <w:sz w:val="36"/>
          <w:szCs w:val="36"/>
        </w:rPr>
      </w:pPr>
      <w:r>
        <w:rPr>
          <w:rFonts w:hint="eastAsia" w:ascii="黑体" w:hAnsi="黑体" w:eastAsia="黑体" w:cs="黑体"/>
          <w:kern w:val="0"/>
          <w:sz w:val="36"/>
          <w:szCs w:val="36"/>
        </w:rPr>
        <w:t>（ 20</w:t>
      </w:r>
      <w:r>
        <w:rPr>
          <w:rFonts w:hint="eastAsia" w:ascii="黑体" w:hAnsi="黑体" w:eastAsia="黑体" w:cs="黑体"/>
          <w:kern w:val="0"/>
          <w:sz w:val="36"/>
          <w:szCs w:val="36"/>
          <w:lang w:val="en-US" w:eastAsia="zh-CN"/>
        </w:rPr>
        <w:t>20</w:t>
      </w:r>
      <w:r>
        <w:rPr>
          <w:rFonts w:hint="eastAsia" w:ascii="黑体" w:hAnsi="黑体" w:eastAsia="黑体" w:cs="黑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ind w:firstLine="720" w:firstLineChars="200"/>
        <w:jc w:val="both"/>
        <w:rPr>
          <w:rFonts w:hint="eastAsia" w:ascii="仿宋_GB2312" w:hAnsi="仿宋_GB2312" w:eastAsia="仿宋_GB2312" w:cs="仿宋_GB2312"/>
          <w:b w:val="0"/>
          <w:bCs/>
          <w:sz w:val="32"/>
          <w:szCs w:val="32"/>
          <w:lang w:val="en-US" w:eastAsia="zh-CN"/>
        </w:rPr>
      </w:pPr>
      <w:r>
        <w:rPr>
          <w:rFonts w:hint="eastAsia" w:hAnsi="宋体" w:eastAsia="仿宋_GB2312" w:cs="宋体"/>
          <w:kern w:val="0"/>
          <w:sz w:val="36"/>
          <w:szCs w:val="36"/>
        </w:rPr>
        <w:t>项目名称：</w:t>
      </w:r>
      <w:r>
        <w:rPr>
          <w:rFonts w:hint="eastAsia" w:ascii="仿宋_GB2312" w:hAnsi="仿宋_GB2312" w:eastAsia="仿宋_GB2312" w:cs="仿宋_GB2312"/>
          <w:b w:val="0"/>
          <w:bCs/>
          <w:sz w:val="32"/>
          <w:szCs w:val="32"/>
          <w:lang w:val="en-US" w:eastAsia="zh-CN"/>
        </w:rPr>
        <w:t>塔城地区辐射监管快速响应能力项目</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塔城地区生态环境局</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塔城地区生态环境局</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刘晓奕</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3"/>
          <w:rFonts w:ascii="黑体" w:hAnsi="黑体" w:eastAsia="黑体"/>
          <w:b w:val="0"/>
          <w:spacing w:val="-4"/>
          <w:sz w:val="32"/>
          <w:szCs w:val="32"/>
        </w:rPr>
      </w:pPr>
    </w:p>
    <w:p>
      <w:pPr>
        <w:spacing w:line="540" w:lineRule="exact"/>
        <w:ind w:firstLine="640"/>
        <w:rPr>
          <w:rStyle w:val="23"/>
          <w:rFonts w:ascii="黑体" w:hAnsi="黑体" w:eastAsia="黑体"/>
          <w:b w:val="0"/>
          <w:spacing w:val="-4"/>
          <w:sz w:val="32"/>
          <w:szCs w:val="32"/>
        </w:rPr>
      </w:pPr>
    </w:p>
    <w:p>
      <w:pPr>
        <w:spacing w:line="540" w:lineRule="exact"/>
        <w:rPr>
          <w:rStyle w:val="23"/>
          <w:rFonts w:ascii="黑体" w:hAnsi="黑体" w:eastAsia="黑体"/>
          <w:b w:val="0"/>
          <w:spacing w:val="-4"/>
          <w:sz w:val="32"/>
          <w:szCs w:val="32"/>
        </w:rPr>
      </w:pPr>
    </w:p>
    <w:p>
      <w:pPr>
        <w:spacing w:line="600" w:lineRule="exact"/>
        <w:rPr>
          <w:rFonts w:ascii="黑体" w:hAnsi="黑体" w:eastAsia="黑体" w:cs="黑体"/>
          <w:bCs/>
          <w:sz w:val="32"/>
          <w:szCs w:val="32"/>
        </w:rPr>
      </w:pPr>
      <w:r>
        <w:rPr>
          <w:rFonts w:hint="eastAsia" w:ascii="黑体" w:hAnsi="黑体" w:eastAsia="黑体" w:cs="黑体"/>
          <w:bCs/>
          <w:sz w:val="32"/>
          <w:szCs w:val="32"/>
        </w:rPr>
        <w:t>一、基本情况</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20" w:lineRule="atLeast"/>
        <w:ind w:firstLine="641"/>
        <w:textAlignment w:val="auto"/>
        <w:rPr>
          <w:rFonts w:hint="default"/>
          <w:b/>
          <w:bCs/>
          <w:lang w:val="en-US" w:eastAsia="zh-CN"/>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napToGrid/>
        <w:spacing w:line="520" w:lineRule="atLeast"/>
        <w:ind w:firstLine="641"/>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2018年</w:t>
      </w:r>
      <w:r>
        <w:rPr>
          <w:rFonts w:hint="eastAsia" w:ascii="仿宋_GB2312" w:hAnsi="仿宋_GB2312" w:eastAsia="仿宋_GB2312" w:cs="仿宋_GB2312"/>
          <w:b w:val="0"/>
          <w:bCs w:val="0"/>
          <w:kern w:val="0"/>
          <w:sz w:val="32"/>
          <w:szCs w:val="32"/>
        </w:rPr>
        <w:t>自治区</w:t>
      </w:r>
      <w:r>
        <w:rPr>
          <w:rFonts w:hint="eastAsia" w:ascii="仿宋_GB2312" w:hAnsi="仿宋_GB2312" w:eastAsia="仿宋_GB2312" w:cs="仿宋_GB2312"/>
          <w:b w:val="0"/>
          <w:bCs w:val="0"/>
          <w:kern w:val="0"/>
          <w:sz w:val="32"/>
          <w:szCs w:val="32"/>
          <w:lang w:eastAsia="zh-CN"/>
        </w:rPr>
        <w:t>生态环境厅</w:t>
      </w:r>
      <w:r>
        <w:rPr>
          <w:rFonts w:hint="eastAsia" w:ascii="仿宋_GB2312" w:hAnsi="仿宋_GB2312" w:eastAsia="仿宋_GB2312" w:cs="仿宋_GB2312"/>
          <w:b w:val="0"/>
          <w:bCs w:val="0"/>
          <w:kern w:val="0"/>
          <w:sz w:val="32"/>
          <w:szCs w:val="32"/>
        </w:rPr>
        <w:t>下发了</w:t>
      </w:r>
      <w:r>
        <w:rPr>
          <w:rFonts w:hint="eastAsia" w:ascii="仿宋_GB2312" w:hAnsi="仿宋_GB2312" w:eastAsia="仿宋_GB2312" w:cs="仿宋_GB2312"/>
          <w:b w:val="0"/>
          <w:bCs w:val="0"/>
          <w:kern w:val="0"/>
          <w:sz w:val="32"/>
          <w:szCs w:val="32"/>
          <w:lang w:eastAsia="zh-CN"/>
        </w:rPr>
        <w:t>相关文件，对</w:t>
      </w:r>
      <w:r>
        <w:rPr>
          <w:rFonts w:hint="eastAsia" w:ascii="仿宋_GB2312" w:hAnsi="仿宋_GB2312" w:eastAsia="仿宋_GB2312" w:cs="仿宋_GB2312"/>
          <w:b w:val="0"/>
          <w:bCs w:val="0"/>
          <w:kern w:val="0"/>
          <w:sz w:val="32"/>
          <w:szCs w:val="32"/>
        </w:rPr>
        <w:t>进一步推进</w:t>
      </w:r>
      <w:r>
        <w:rPr>
          <w:rFonts w:hint="eastAsia" w:ascii="仿宋_GB2312" w:hAnsi="仿宋_GB2312" w:eastAsia="仿宋_GB2312" w:cs="仿宋_GB2312"/>
          <w:b w:val="0"/>
          <w:bCs w:val="0"/>
          <w:kern w:val="0"/>
          <w:sz w:val="32"/>
          <w:szCs w:val="32"/>
          <w:lang w:eastAsia="zh-CN"/>
        </w:rPr>
        <w:t>塔城</w:t>
      </w:r>
      <w:r>
        <w:rPr>
          <w:rFonts w:hint="eastAsia" w:ascii="仿宋_GB2312" w:hAnsi="仿宋_GB2312" w:eastAsia="仿宋_GB2312" w:cs="仿宋_GB2312"/>
          <w:b w:val="0"/>
          <w:bCs w:val="0"/>
          <w:kern w:val="0"/>
          <w:sz w:val="32"/>
          <w:szCs w:val="32"/>
        </w:rPr>
        <w:t>地区辐射监管能力建设和补齐核与辐射快速响应能力建设项目</w:t>
      </w:r>
      <w:r>
        <w:rPr>
          <w:rFonts w:hint="eastAsia" w:ascii="仿宋_GB2312" w:hAnsi="仿宋_GB2312" w:eastAsia="仿宋_GB2312" w:cs="仿宋_GB2312"/>
          <w:b w:val="0"/>
          <w:bCs w:val="0"/>
          <w:kern w:val="0"/>
          <w:sz w:val="32"/>
          <w:szCs w:val="32"/>
          <w:lang w:eastAsia="zh-CN"/>
        </w:rPr>
        <w:t>提出要求</w:t>
      </w:r>
      <w:r>
        <w:rPr>
          <w:rFonts w:hint="eastAsia" w:ascii="仿宋_GB2312" w:hAnsi="仿宋_GB2312" w:eastAsia="仿宋_GB2312" w:cs="仿宋_GB2312"/>
          <w:b w:val="0"/>
          <w:bCs w:val="0"/>
          <w:kern w:val="0"/>
          <w:sz w:val="32"/>
          <w:szCs w:val="32"/>
        </w:rPr>
        <w:t>，全面夯实核与辐射事故应急监测、预警、抢险救援、信息系统、后果评价和决策指挥能力</w:t>
      </w:r>
      <w:r>
        <w:rPr>
          <w:rFonts w:hint="eastAsia" w:ascii="仿宋_GB2312" w:hAnsi="仿宋_GB2312" w:eastAsia="仿宋_GB2312" w:cs="仿宋_GB2312"/>
          <w:b w:val="0"/>
          <w:bCs w:val="0"/>
          <w:kern w:val="0"/>
          <w:sz w:val="32"/>
          <w:szCs w:val="32"/>
          <w:lang w:eastAsia="zh-CN"/>
        </w:rPr>
        <w:t>建设的基础</w:t>
      </w:r>
      <w:r>
        <w:rPr>
          <w:rFonts w:hint="eastAsia" w:ascii="仿宋_GB2312" w:hAnsi="仿宋_GB2312" w:eastAsia="仿宋_GB2312" w:cs="仿宋_GB2312"/>
          <w:b w:val="0"/>
          <w:bCs w:val="0"/>
          <w:kern w:val="0"/>
          <w:sz w:val="32"/>
          <w:szCs w:val="32"/>
        </w:rPr>
        <w:t>，达到自治区对各地州市辐射环境监管和应急监测任务的要求</w:t>
      </w:r>
      <w:r>
        <w:rPr>
          <w:rFonts w:hint="eastAsia" w:ascii="仿宋_GB2312" w:hAnsi="仿宋_GB2312" w:eastAsia="仿宋_GB2312" w:cs="仿宋_GB2312"/>
          <w:b w:val="0"/>
          <w:bCs w:val="0"/>
          <w:kern w:val="0"/>
          <w:sz w:val="32"/>
          <w:szCs w:val="32"/>
          <w:lang w:eastAsia="zh-CN"/>
        </w:rPr>
        <w:t>，满足辐射环境监管工组需要</w:t>
      </w:r>
      <w:r>
        <w:rPr>
          <w:rFonts w:hint="eastAsia" w:ascii="仿宋_GB2312" w:hAnsi="仿宋_GB2312" w:eastAsia="仿宋_GB2312" w:cs="仿宋_GB2312"/>
          <w:b w:val="0"/>
          <w:bCs w:val="0"/>
          <w:kern w:val="0"/>
          <w:sz w:val="32"/>
          <w:szCs w:val="32"/>
          <w:lang w:val="en-US" w:eastAsia="zh-CN"/>
        </w:rPr>
        <w:t>,</w:t>
      </w:r>
      <w:r>
        <w:rPr>
          <w:rFonts w:hint="eastAsia" w:ascii="仿宋_GB2312" w:hAnsi="仿宋_GB2312" w:eastAsia="仿宋_GB2312" w:cs="仿宋_GB2312"/>
          <w:b w:val="0"/>
          <w:bCs w:val="0"/>
          <w:kern w:val="0"/>
          <w:sz w:val="32"/>
          <w:szCs w:val="32"/>
          <w:lang w:eastAsia="zh-CN"/>
        </w:rPr>
        <w:t>维护人民群众环境权益</w:t>
      </w:r>
      <w:r>
        <w:rPr>
          <w:rFonts w:hint="eastAsia" w:ascii="仿宋_GB2312" w:hAnsi="仿宋_GB2312" w:eastAsia="仿宋_GB2312" w:cs="仿宋_GB2312"/>
          <w:b w:val="0"/>
          <w:bCs w:val="0"/>
          <w:kern w:val="0"/>
          <w:sz w:val="32"/>
          <w:szCs w:val="32"/>
        </w:rPr>
        <w:t>。</w:t>
      </w:r>
    </w:p>
    <w:p>
      <w:pPr>
        <w:keepNext w:val="0"/>
        <w:keepLines w:val="0"/>
        <w:pageBreakBefore w:val="0"/>
        <w:kinsoku/>
        <w:wordWrap/>
        <w:overflowPunct/>
        <w:topLinePunct w:val="0"/>
        <w:autoSpaceDE/>
        <w:autoSpaceDN/>
        <w:bidi w:val="0"/>
        <w:adjustRightInd/>
        <w:snapToGrid/>
        <w:spacing w:line="52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pPr>
        <w:pStyle w:val="18"/>
        <w:keepNext w:val="0"/>
        <w:keepLines w:val="0"/>
        <w:pageBreakBefore w:val="0"/>
        <w:widowControl/>
        <w:kinsoku/>
        <w:wordWrap/>
        <w:overflowPunct/>
        <w:topLinePunct w:val="0"/>
        <w:autoSpaceDE/>
        <w:autoSpaceDN/>
        <w:bidi w:val="0"/>
        <w:adjustRightInd/>
        <w:snapToGrid/>
        <w:spacing w:line="520" w:lineRule="atLeast"/>
        <w:ind w:firstLine="643"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bCs/>
          <w:kern w:val="2"/>
        </w:rPr>
        <w:t>项目主要内容：</w:t>
      </w:r>
      <w:r>
        <w:rPr>
          <w:rFonts w:hint="eastAsia" w:ascii="仿宋_GB2312" w:hAnsi="仿宋_GB2312" w:eastAsia="仿宋_GB2312" w:cs="仿宋_GB2312"/>
          <w:b w:val="0"/>
          <w:bCs w:val="0"/>
          <w:kern w:val="0"/>
          <w:sz w:val="32"/>
          <w:szCs w:val="32"/>
          <w:lang w:eastAsia="zh-CN"/>
        </w:rPr>
        <w:t>为进一步推进塔城地区辐射监管能力建设和补齐核与辐射快速响应能力建设项目，全面夯实核与辐射事故应急监测、预警、抢险救援、信息系统、后果评价和决策指挥能力建设的基础，达到自治区对各地州市辐射环境监管和应急监测任务的要求，</w:t>
      </w:r>
      <w:r>
        <w:rPr>
          <w:rFonts w:hint="eastAsia" w:ascii="仿宋_GB2312" w:hAnsi="仿宋_GB2312" w:eastAsia="仿宋_GB2312" w:cs="仿宋_GB2312"/>
          <w:b w:val="0"/>
          <w:bCs w:val="0"/>
          <w:kern w:val="0"/>
          <w:sz w:val="32"/>
          <w:szCs w:val="32"/>
          <w:lang w:val="en-US" w:eastAsia="zh-CN"/>
        </w:rPr>
        <w:t>根据自治区环保厅下发了通知文件要求，分两批通过政采云采购7件/套辐射快速监测设备和辐射监管车辆。辐射快速监测设备中标合同价共计44.75万元，辐射监管车辆中标合同价22.93万元。</w:t>
      </w:r>
    </w:p>
    <w:p>
      <w:pPr>
        <w:pStyle w:val="18"/>
        <w:keepNext w:val="0"/>
        <w:keepLines w:val="0"/>
        <w:pageBreakBefore w:val="0"/>
        <w:widowControl/>
        <w:kinsoku/>
        <w:wordWrap/>
        <w:overflowPunct/>
        <w:topLinePunct w:val="0"/>
        <w:autoSpaceDE/>
        <w:autoSpaceDN/>
        <w:bidi w:val="0"/>
        <w:adjustRightInd/>
        <w:snapToGrid/>
        <w:spacing w:line="520" w:lineRule="atLeast"/>
        <w:ind w:firstLine="640" w:firstLineChars="200"/>
        <w:jc w:val="both"/>
        <w:textAlignment w:val="auto"/>
        <w:rPr>
          <w:rFonts w:hint="default"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2019年12月17日按照合同约定我局预付辐射快速监测设备30%的预付款，共计13.42万元，2020年按照合同约定我局支付了剩余70%辐射快速监测设备采购款，共计31.325万元，同年，我局一次性支付了辐射监管车辆采购款22.93万元。2020年我局实际支付了套辐射快速监测设备和辐射监管车辆采购款54.26万元。</w:t>
      </w:r>
    </w:p>
    <w:p>
      <w:pPr>
        <w:ind w:firstLine="643" w:firstLineChars="200"/>
      </w:pPr>
      <w:r>
        <w:rPr>
          <w:rFonts w:hint="eastAsia" w:ascii="仿宋_GB2312" w:hAnsi="仿宋_GB2312" w:eastAsia="仿宋_GB2312" w:cs="仿宋_GB2312"/>
          <w:b/>
          <w:bCs/>
          <w:sz w:val="32"/>
          <w:szCs w:val="32"/>
        </w:rPr>
        <w:t>项目实施情况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2020年塔城地区</w:t>
      </w:r>
      <w:r>
        <w:rPr>
          <w:rFonts w:hint="eastAsia" w:ascii="仿宋_GB2312" w:hAnsi="仿宋_GB2312" w:eastAsia="仿宋_GB2312" w:cs="仿宋_GB2312"/>
          <w:b w:val="0"/>
          <w:bCs/>
          <w:sz w:val="32"/>
          <w:szCs w:val="32"/>
          <w:lang w:val="en-US" w:eastAsia="zh-CN"/>
        </w:rPr>
        <w:t>辐射监管快速响应能力</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全部</w:t>
      </w:r>
      <w:r>
        <w:rPr>
          <w:rFonts w:hint="eastAsia" w:ascii="仿宋_GB2312" w:hAnsi="仿宋_GB2312" w:eastAsia="仿宋_GB2312" w:cs="仿宋_GB2312"/>
          <w:sz w:val="32"/>
          <w:szCs w:val="32"/>
        </w:rPr>
        <w:t>完成实际设立的目标，项目在实施过程中严格按照目标设立的各阶段任务进行开展工作，在前期立项过程中严格把质量关，建立安全防护机制，保证项目实施各阶段安全顺利进行。</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本项目总投资</w:t>
      </w:r>
      <w:r>
        <w:rPr>
          <w:rFonts w:hint="eastAsia" w:ascii="仿宋_GB2312" w:hAnsi="仿宋_GB2312" w:eastAsia="仿宋_GB2312" w:cs="仿宋_GB2312"/>
          <w:b w:val="0"/>
          <w:bCs w:val="0"/>
          <w:kern w:val="0"/>
          <w:sz w:val="32"/>
          <w:szCs w:val="32"/>
          <w:lang w:val="en-US" w:eastAsia="zh-CN"/>
        </w:rPr>
        <w:t>54.26</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b w:val="0"/>
          <w:bCs w:val="0"/>
          <w:kern w:val="0"/>
          <w:sz w:val="32"/>
          <w:szCs w:val="32"/>
          <w:lang w:val="en-US" w:eastAsia="zh-CN"/>
        </w:rPr>
        <w:t>54.26</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b w:val="0"/>
          <w:bCs w:val="0"/>
          <w:kern w:val="0"/>
          <w:sz w:val="32"/>
          <w:szCs w:val="32"/>
          <w:lang w:val="en-US" w:eastAsia="zh-CN"/>
        </w:rPr>
        <w:t>54.26</w:t>
      </w:r>
      <w:r>
        <w:rPr>
          <w:rFonts w:hint="eastAsia" w:ascii="仿宋_GB2312" w:hAnsi="仿宋_GB2312" w:eastAsia="仿宋_GB2312" w:cs="仿宋_GB2312"/>
          <w:sz w:val="32"/>
          <w:szCs w:val="32"/>
        </w:rPr>
        <w:t>万元， 支出率为100%。</w:t>
      </w:r>
    </w:p>
    <w:p>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spacing w:line="600" w:lineRule="exact"/>
        <w:ind w:firstLine="641"/>
        <w:rPr>
          <w:rFonts w:ascii="仿宋_GB2312" w:hAnsi="仿宋_GB2312" w:eastAsia="仿宋_GB2312" w:cs="仿宋_GB2312"/>
          <w:b/>
          <w:bCs/>
          <w:sz w:val="20"/>
          <w:szCs w:val="20"/>
        </w:rPr>
      </w:pPr>
      <w:r>
        <w:rPr>
          <w:rFonts w:hint="eastAsia" w:ascii="仿宋_GB2312" w:hAnsi="仿宋_GB2312" w:eastAsia="仿宋_GB2312" w:cs="仿宋_GB2312"/>
          <w:b/>
          <w:bCs/>
          <w:sz w:val="32"/>
          <w:szCs w:val="32"/>
        </w:rPr>
        <w:t>（1）资金安排</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2020年塔城地区</w:t>
      </w:r>
      <w:r>
        <w:rPr>
          <w:rFonts w:hint="eastAsia" w:ascii="仿宋_GB2312" w:hAnsi="仿宋_GB2312" w:eastAsia="仿宋_GB2312" w:cs="仿宋_GB2312"/>
          <w:b w:val="0"/>
          <w:bCs/>
          <w:sz w:val="32"/>
          <w:szCs w:val="32"/>
          <w:lang w:val="en-US" w:eastAsia="zh-CN"/>
        </w:rPr>
        <w:t>辐射监管快速响应能力</w:t>
      </w:r>
      <w:r>
        <w:rPr>
          <w:rFonts w:hint="eastAsia" w:ascii="仿宋_GB2312" w:hAnsi="仿宋_GB2312" w:eastAsia="仿宋_GB2312" w:cs="仿宋_GB2312"/>
          <w:sz w:val="32"/>
          <w:szCs w:val="32"/>
        </w:rPr>
        <w:t>项目总投资</w:t>
      </w:r>
      <w:r>
        <w:rPr>
          <w:rFonts w:hint="eastAsia" w:ascii="仿宋_GB2312" w:hAnsi="仿宋_GB2312" w:eastAsia="仿宋_GB2312" w:cs="仿宋_GB2312"/>
          <w:b w:val="0"/>
          <w:bCs w:val="0"/>
          <w:kern w:val="0"/>
          <w:sz w:val="32"/>
          <w:szCs w:val="32"/>
          <w:lang w:val="en-US" w:eastAsia="zh-CN"/>
        </w:rPr>
        <w:t>54.26</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eastAsia="zh-CN"/>
        </w:rPr>
        <w:t>专户上解</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lang w:eastAsia="zh-CN"/>
        </w:rPr>
        <w:t>专户上解</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eastAsia="zh-CN"/>
        </w:rPr>
        <w:t>专户上解</w:t>
      </w:r>
      <w:r>
        <w:rPr>
          <w:rFonts w:hint="eastAsia" w:ascii="仿宋_GB2312" w:hAnsi="仿宋_GB2312" w:eastAsia="仿宋_GB2312" w:cs="仿宋_GB2312"/>
          <w:sz w:val="32"/>
          <w:szCs w:val="32"/>
        </w:rPr>
        <w:t>专项资金的拨付程序，认真审核项目实施各阶段的相关材料和手续，根据项目实施进展情况拨付资金。</w:t>
      </w:r>
    </w:p>
    <w:p>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（2）预算资金来源及使用情况</w:t>
      </w:r>
      <w:bookmarkStart w:id="0" w:name="page10"/>
      <w:bookmarkEnd w:id="0"/>
    </w:p>
    <w:p>
      <w:pPr>
        <w:pStyle w:val="18"/>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val="en-US" w:eastAsia="zh-CN"/>
        </w:rPr>
        <w:t>地区财政</w:t>
      </w:r>
      <w:r>
        <w:rPr>
          <w:rFonts w:hint="eastAsia" w:ascii="仿宋_GB2312" w:hAnsi="仿宋_GB2312" w:eastAsia="仿宋_GB2312" w:cs="仿宋_GB2312"/>
          <w:b w:val="0"/>
          <w:bCs w:val="0"/>
          <w:kern w:val="2"/>
        </w:rPr>
        <w:t>批复的资金，</w:t>
      </w:r>
      <w:r>
        <w:rPr>
          <w:rFonts w:hint="eastAsia" w:ascii="仿宋_GB2312" w:hAnsi="仿宋_GB2312" w:eastAsia="仿宋_GB2312" w:cs="仿宋_GB2312"/>
          <w:b w:val="0"/>
          <w:bCs w:val="0"/>
          <w:kern w:val="2"/>
          <w:lang w:val="en-US" w:eastAsia="zh-CN"/>
        </w:rPr>
        <w:t>2020年塔城地区辐射监管快速响应能力</w:t>
      </w:r>
      <w:r>
        <w:rPr>
          <w:rFonts w:hint="eastAsia" w:ascii="仿宋_GB2312" w:hAnsi="仿宋_GB2312" w:eastAsia="仿宋_GB2312" w:cs="仿宋_GB2312"/>
          <w:b w:val="0"/>
          <w:bCs w:val="0"/>
          <w:kern w:val="2"/>
        </w:rPr>
        <w:t>项目资金到位</w:t>
      </w:r>
      <w:r>
        <w:rPr>
          <w:rFonts w:hint="eastAsia" w:ascii="仿宋_GB2312" w:hAnsi="仿宋_GB2312" w:eastAsia="仿宋_GB2312" w:cs="仿宋_GB2312"/>
          <w:b w:val="0"/>
          <w:bCs w:val="0"/>
          <w:kern w:val="0"/>
          <w:sz w:val="32"/>
          <w:szCs w:val="32"/>
          <w:lang w:val="en-US" w:eastAsia="zh-CN"/>
        </w:rPr>
        <w:t>54.26</w:t>
      </w:r>
      <w:r>
        <w:rPr>
          <w:rFonts w:hint="eastAsia" w:ascii="仿宋_GB2312" w:hAnsi="仿宋_GB2312" w:eastAsia="仿宋_GB2312" w:cs="仿宋_GB2312"/>
          <w:b w:val="0"/>
          <w:bCs w:val="0"/>
          <w:kern w:val="2"/>
        </w:rPr>
        <w:t>万元，用于支付项目实施进程中</w:t>
      </w:r>
      <w:r>
        <w:rPr>
          <w:rFonts w:hint="eastAsia" w:ascii="仿宋_GB2312" w:hAnsi="仿宋_GB2312" w:eastAsia="仿宋_GB2312" w:cs="仿宋_GB2312"/>
          <w:b w:val="0"/>
          <w:bCs w:val="0"/>
          <w:kern w:val="2"/>
          <w:lang w:eastAsia="zh-CN"/>
        </w:rPr>
        <w:t>所需采购</w:t>
      </w:r>
      <w:r>
        <w:rPr>
          <w:rFonts w:hint="eastAsia" w:ascii="仿宋_GB2312" w:hAnsi="仿宋_GB2312" w:eastAsia="仿宋_GB2312" w:cs="仿宋_GB2312"/>
          <w:b w:val="0"/>
          <w:bCs w:val="0"/>
          <w:kern w:val="2"/>
        </w:rPr>
        <w:t>费用。</w:t>
      </w:r>
    </w:p>
    <w:p>
      <w:pPr>
        <w:tabs>
          <w:tab w:val="right" w:pos="7908"/>
        </w:tabs>
        <w:spacing w:line="600" w:lineRule="exact"/>
        <w:ind w:firstLine="641"/>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（二）项目绩效目标</w:t>
      </w:r>
      <w:r>
        <w:rPr>
          <w:rFonts w:hint="eastAsia" w:ascii="楷体_GB2312" w:hAnsi="楷体_GB2312" w:eastAsia="楷体_GB2312" w:cs="楷体_GB2312"/>
          <w:b/>
          <w:bCs/>
          <w:sz w:val="32"/>
          <w:szCs w:val="32"/>
          <w:lang w:eastAsia="zh-CN"/>
        </w:rPr>
        <w:tab/>
      </w:r>
    </w:p>
    <w:p>
      <w:pPr>
        <w:spacing w:line="600" w:lineRule="exact"/>
        <w:ind w:firstLine="641"/>
        <w:rPr>
          <w:b/>
          <w:bCs/>
        </w:rPr>
      </w:pPr>
      <w:r>
        <w:rPr>
          <w:rFonts w:hint="eastAsia" w:ascii="仿宋_GB2312" w:hAnsi="仿宋_GB2312" w:eastAsia="仿宋_GB2312" w:cs="仿宋_GB2312"/>
          <w:b/>
          <w:bCs/>
          <w:sz w:val="32"/>
          <w:szCs w:val="32"/>
        </w:rPr>
        <w:t>1、总体目标</w:t>
      </w:r>
    </w:p>
    <w:p>
      <w:pPr>
        <w:spacing w:line="600" w:lineRule="exact"/>
        <w:ind w:firstLine="64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塔城</w:t>
      </w:r>
      <w:r>
        <w:rPr>
          <w:rFonts w:hint="eastAsia" w:ascii="仿宋_GB2312" w:hAnsi="仿宋_GB2312" w:eastAsia="仿宋_GB2312" w:cs="仿宋_GB2312"/>
          <w:sz w:val="32"/>
          <w:szCs w:val="32"/>
        </w:rPr>
        <w:t>地区辐射监管能力建设和补齐核与辐射快速响应能力建设项目，全面夯实核与辐射事故应急监测、预警、抢险救援、信息系统、后果评价和决策指挥能力</w:t>
      </w:r>
      <w:r>
        <w:rPr>
          <w:rFonts w:hint="eastAsia" w:ascii="仿宋_GB2312" w:hAnsi="仿宋_GB2312" w:eastAsia="仿宋_GB2312" w:cs="仿宋_GB2312"/>
          <w:sz w:val="32"/>
          <w:szCs w:val="32"/>
          <w:lang w:eastAsia="zh-CN"/>
        </w:rPr>
        <w:t>建设的基础</w:t>
      </w:r>
      <w:r>
        <w:rPr>
          <w:rFonts w:hint="eastAsia" w:ascii="仿宋_GB2312" w:hAnsi="仿宋_GB2312" w:eastAsia="仿宋_GB2312" w:cs="仿宋_GB2312"/>
          <w:sz w:val="32"/>
          <w:szCs w:val="32"/>
        </w:rPr>
        <w:t>，达到自治区对各地州市辐射环境监管和应急监测任务的要求</w:t>
      </w:r>
      <w:r>
        <w:rPr>
          <w:rFonts w:hint="eastAsia" w:ascii="仿宋_GB2312" w:hAnsi="仿宋_GB2312" w:eastAsia="仿宋_GB2312" w:cs="仿宋_GB2312"/>
          <w:sz w:val="32"/>
          <w:szCs w:val="32"/>
          <w:lang w:eastAsia="zh-CN"/>
        </w:rPr>
        <w:t>。</w:t>
      </w:r>
    </w:p>
    <w:p>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塔城地区辐射监管快速响应能力</w:t>
      </w:r>
      <w:r>
        <w:rPr>
          <w:rFonts w:hint="eastAsia" w:ascii="仿宋_GB2312" w:hAnsi="仿宋_GB2312" w:eastAsia="仿宋_GB2312" w:cs="仿宋_GB2312"/>
          <w:sz w:val="32"/>
          <w:szCs w:val="32"/>
        </w:rPr>
        <w:t>方案》，通过制定项目实施方案，经项目负责人审核通过后，有序开展后续工程。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w:t>
      </w:r>
      <w:r>
        <w:rPr>
          <w:rFonts w:hint="eastAsia" w:ascii="仿宋_GB2312" w:hAnsi="仿宋_GB2312" w:eastAsia="仿宋_GB2312" w:cs="仿宋_GB2312"/>
          <w:sz w:val="32"/>
          <w:szCs w:val="32"/>
          <w:lang w:val="en-US" w:eastAsia="zh-CN"/>
        </w:rPr>
        <w:t>塔城地区辐射监管快速响应能力</w:t>
      </w:r>
      <w:r>
        <w:rPr>
          <w:rFonts w:hint="eastAsia" w:ascii="仿宋_GB2312" w:hAnsi="仿宋_GB2312" w:eastAsia="仿宋_GB2312" w:cs="仿宋_GB2312"/>
          <w:sz w:val="32"/>
          <w:szCs w:val="32"/>
        </w:rPr>
        <w:t>项目要求实施项目。项目责任人按照《</w:t>
      </w:r>
      <w:r>
        <w:rPr>
          <w:rFonts w:hint="eastAsia" w:ascii="仿宋_GB2312" w:hAnsi="仿宋_GB2312" w:eastAsia="仿宋_GB2312" w:cs="仿宋_GB2312"/>
          <w:sz w:val="32"/>
          <w:szCs w:val="32"/>
          <w:lang w:val="en-US" w:eastAsia="zh-CN"/>
        </w:rPr>
        <w:t>塔城地区辐射监管快速响应能力</w:t>
      </w:r>
      <w:r>
        <w:rPr>
          <w:rFonts w:hint="eastAsia" w:ascii="仿宋_GB2312" w:hAnsi="仿宋_GB2312" w:eastAsia="仿宋_GB2312" w:cs="仿宋_GB2312"/>
          <w:sz w:val="32"/>
          <w:szCs w:val="32"/>
        </w:rPr>
        <w:t>方案》要求逐一进行项目部署安排，提高项目质量及效率性。</w:t>
      </w:r>
    </w:p>
    <w:p>
      <w:pPr>
        <w:spacing w:line="600" w:lineRule="exact"/>
        <w:ind w:firstLine="641"/>
        <w:rPr>
          <w:rFonts w:ascii="黑体" w:hAnsi="黑体" w:eastAsia="黑体"/>
          <w:sz w:val="32"/>
          <w:szCs w:val="32"/>
        </w:rPr>
      </w:pPr>
      <w:r>
        <w:rPr>
          <w:rFonts w:hint="eastAsia" w:ascii="黑体" w:hAnsi="黑体" w:eastAsia="黑体"/>
          <w:sz w:val="32"/>
          <w:szCs w:val="32"/>
        </w:rPr>
        <w:t>二、绩效评价工作开展情况</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18"/>
        <w:widowControl w:val="0"/>
        <w:spacing w:line="60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spacing w:line="600" w:lineRule="exact"/>
        <w:ind w:firstLine="641"/>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本项目评价的目的是为</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塔城</w:t>
      </w:r>
      <w:r>
        <w:rPr>
          <w:rFonts w:hint="eastAsia" w:ascii="仿宋_GB2312" w:hAnsi="仿宋_GB2312" w:eastAsia="仿宋_GB2312" w:cs="仿宋_GB2312"/>
          <w:sz w:val="32"/>
          <w:szCs w:val="32"/>
        </w:rPr>
        <w:t>地区辐射监管能力建设和补齐核与辐射快速响应能力建设，全面夯实核与辐射事故应急监测、预警、抢险救援、信息系统、后果评价和决策指挥能力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达到自治区对各地州市辐射环境监管和应急监测任务的要求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通过对</w:t>
      </w:r>
      <w:r>
        <w:rPr>
          <w:rFonts w:hint="eastAsia" w:ascii="仿宋_GB2312" w:hAnsi="仿宋_GB2312" w:eastAsia="仿宋_GB2312" w:cs="仿宋_GB2312"/>
          <w:sz w:val="32"/>
          <w:szCs w:val="32"/>
          <w:lang w:val="en-US" w:eastAsia="zh-CN"/>
        </w:rPr>
        <w:t>塔城地区辐射监管快速响应能力</w:t>
      </w:r>
      <w:r>
        <w:rPr>
          <w:rFonts w:hint="eastAsia" w:ascii="仿宋_GB2312" w:hAnsi="仿宋_GB2312" w:eastAsia="仿宋_GB2312" w:cs="仿宋_GB2312"/>
          <w:sz w:val="32"/>
          <w:szCs w:val="32"/>
        </w:rPr>
        <w:t>项目</w:t>
      </w:r>
      <w:r>
        <w:rPr>
          <w:rFonts w:hint="eastAsia" w:ascii="仿宋_GB2312" w:hAnsi="仿宋_GB2312" w:eastAsia="仿宋_GB2312" w:cs="仿宋_GB2312"/>
          <w:b w:val="0"/>
          <w:bCs w:val="0"/>
          <w:sz w:val="32"/>
          <w:szCs w:val="32"/>
          <w:lang w:eastAsia="zh-CN"/>
        </w:rPr>
        <w:t>进行绩效评价，对项目的决策、过程、产出和效益四个方面进行客观、公正的评价，进一步</w:t>
      </w:r>
      <w:r>
        <w:rPr>
          <w:rFonts w:hint="eastAsia" w:ascii="仿宋_GB2312" w:hAnsi="仿宋_GB2312" w:eastAsia="仿宋_GB2312" w:cs="仿宋_GB2312"/>
          <w:sz w:val="32"/>
          <w:szCs w:val="32"/>
        </w:rPr>
        <w:t>发挥财政调控功能、提高财政资金安排科学性、促进财政支持社会经济目标实现的重要保证</w:t>
      </w:r>
      <w:r>
        <w:rPr>
          <w:rFonts w:hint="eastAsia" w:ascii="仿宋_GB2312" w:hAnsi="仿宋_GB2312" w:eastAsia="仿宋_GB2312" w:cs="仿宋_GB2312"/>
          <w:b w:val="0"/>
          <w:bCs w:val="0"/>
          <w:sz w:val="32"/>
          <w:szCs w:val="32"/>
          <w:lang w:eastAsia="zh-CN"/>
        </w:rPr>
        <w:t>。</w:t>
      </w:r>
    </w:p>
    <w:p>
      <w:pPr>
        <w:numPr>
          <w:ilvl w:val="0"/>
          <w:numId w:val="1"/>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spacing w:line="60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8"/>
        <w:widowControl w:val="0"/>
        <w:spacing w:line="60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spacing w:line="560" w:lineRule="exact"/>
        <w:ind w:firstLine="645"/>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本次绩效项目评价对象为</w:t>
      </w:r>
      <w:r>
        <w:rPr>
          <w:rFonts w:hint="eastAsia" w:ascii="仿宋_GB2312" w:hAnsi="仿宋_GB2312" w:eastAsia="仿宋_GB2312" w:cs="仿宋_GB2312"/>
          <w:b w:val="0"/>
          <w:bCs w:val="0"/>
          <w:sz w:val="32"/>
          <w:szCs w:val="32"/>
          <w:lang w:val="en-US" w:eastAsia="zh-CN"/>
        </w:rPr>
        <w:t>2020年塔城地区辐射监管快速响应能力项目资金的使用绩效。</w:t>
      </w:r>
    </w:p>
    <w:p>
      <w:pPr>
        <w:pStyle w:val="18"/>
        <w:widowControl w:val="0"/>
        <w:spacing w:line="60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spacing w:line="600" w:lineRule="exact"/>
        <w:ind w:firstLine="64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从2020年塔城地区辐射监管快速响应能力项目的决策、过程、产出、效益等方面进行评价。</w:t>
      </w:r>
    </w:p>
    <w:p>
      <w:pPr>
        <w:spacing w:line="600" w:lineRule="exact"/>
        <w:ind w:firstLine="641"/>
        <w:rPr>
          <w:rFonts w:ascii="仿宋_GB2312"/>
        </w:rPr>
      </w:pPr>
      <w:r>
        <w:rPr>
          <w:rFonts w:hint="eastAsia" w:ascii="楷体_GB2312" w:hAnsi="楷体_GB2312" w:eastAsia="楷体_GB2312" w:cs="楷体_GB2312"/>
          <w:b/>
          <w:bCs/>
          <w:sz w:val="32"/>
          <w:szCs w:val="32"/>
        </w:rPr>
        <w:t>（二）绩效评价原则、评价指标体系、评价方法、评价标准。</w:t>
      </w:r>
    </w:p>
    <w:p>
      <w:pPr>
        <w:pStyle w:val="18"/>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1、绩效评价原则</w:t>
      </w:r>
    </w:p>
    <w:p>
      <w:pPr>
        <w:spacing w:line="60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8"/>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18"/>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8"/>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18"/>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18"/>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2、评价指标体系</w:t>
      </w:r>
    </w:p>
    <w:p>
      <w:pPr>
        <w:spacing w:line="60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8"/>
        <w:spacing w:line="60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8"/>
        <w:spacing w:line="600" w:lineRule="exact"/>
        <w:ind w:firstLine="708" w:firstLineChars="200"/>
        <w:jc w:val="both"/>
        <w:rPr>
          <w:rFonts w:hint="eastAsia" w:ascii="仿宋_GB2312" w:hAnsi="仿宋_GB2312" w:eastAsia="仿宋_GB2312" w:cs="仿宋_GB2312"/>
          <w:b w:val="0"/>
          <w:bCs w:val="0"/>
          <w:color w:val="000000"/>
          <w:spacing w:val="17"/>
          <w:kern w:val="2"/>
          <w:lang w:eastAsia="zh-CN"/>
        </w:rPr>
      </w:pPr>
      <w:r>
        <w:rPr>
          <w:rFonts w:hint="eastAsia" w:ascii="仿宋_GB2312" w:hAnsi="仿宋_GB2312" w:eastAsia="仿宋_GB2312" w:cs="仿宋_GB2312"/>
          <w:b w:val="0"/>
          <w:bCs w:val="0"/>
          <w:color w:val="000000"/>
          <w:spacing w:val="17"/>
          <w:kern w:val="2"/>
        </w:rPr>
        <w:t>具体评价指标体系详情见</w:t>
      </w:r>
      <w:r>
        <w:rPr>
          <w:rFonts w:hint="eastAsia" w:ascii="仿宋_GB2312" w:hAnsi="仿宋_GB2312" w:eastAsia="仿宋_GB2312" w:cs="仿宋_GB2312"/>
          <w:b w:val="0"/>
          <w:bCs w:val="0"/>
          <w:color w:val="000000"/>
          <w:spacing w:val="17"/>
          <w:kern w:val="2"/>
          <w:lang w:val="en-US" w:eastAsia="zh-CN"/>
        </w:rPr>
        <w:t>附件</w:t>
      </w:r>
      <w:r>
        <w:rPr>
          <w:rFonts w:hint="eastAsia" w:ascii="仿宋_GB2312" w:hAnsi="仿宋_GB2312" w:eastAsia="仿宋_GB2312" w:cs="仿宋_GB2312"/>
          <w:b w:val="0"/>
          <w:bCs w:val="0"/>
          <w:color w:val="000000"/>
          <w:spacing w:val="17"/>
          <w:kern w:val="2"/>
        </w:rPr>
        <w:t>1</w:t>
      </w:r>
      <w:r>
        <w:rPr>
          <w:rFonts w:hint="eastAsia" w:ascii="仿宋_GB2312" w:hAnsi="仿宋_GB2312" w:eastAsia="仿宋_GB2312" w:cs="仿宋_GB2312"/>
          <w:b w:val="0"/>
          <w:bCs w:val="0"/>
          <w:color w:val="000000"/>
          <w:spacing w:val="17"/>
          <w:kern w:val="2"/>
          <w:lang w:eastAsia="zh-CN"/>
        </w:rPr>
        <w:t>。</w:t>
      </w:r>
    </w:p>
    <w:p>
      <w:pPr>
        <w:pStyle w:val="18"/>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3、绩效评价方法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spacing w:line="60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8"/>
        <w:widowControl w:val="0"/>
        <w:spacing w:line="600" w:lineRule="exact"/>
        <w:ind w:firstLine="641"/>
        <w:jc w:val="both"/>
        <w:outlineLvl w:val="9"/>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4</w:t>
      </w:r>
      <w:r>
        <w:rPr>
          <w:rFonts w:hint="eastAsia" w:ascii="仿宋_GB2312" w:hAnsi="仿宋_GB2312" w:eastAsia="仿宋_GB2312" w:cs="仿宋_GB2312"/>
          <w:b w:val="0"/>
          <w:bCs w:val="0"/>
        </w:rPr>
        <w:t>、绩效评价</w:t>
      </w:r>
      <w:r>
        <w:rPr>
          <w:rFonts w:hint="eastAsia" w:ascii="仿宋_GB2312" w:hAnsi="仿宋_GB2312" w:eastAsia="仿宋_GB2312" w:cs="仿宋_GB2312"/>
          <w:b w:val="0"/>
          <w:bCs w:val="0"/>
          <w:lang w:val="en-US" w:eastAsia="zh-CN"/>
        </w:rPr>
        <w:t>标准</w:t>
      </w:r>
    </w:p>
    <w:p>
      <w:pPr>
        <w:spacing w:line="60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spacing w:line="600" w:lineRule="exac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41"/>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2"/>
        </w:numPr>
        <w:spacing w:line="60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18"/>
        <w:widowControl w:val="0"/>
        <w:spacing w:line="600" w:lineRule="exact"/>
        <w:ind w:firstLine="641"/>
        <w:jc w:val="both"/>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对</w:t>
      </w:r>
      <w:r>
        <w:rPr>
          <w:rFonts w:hint="eastAsia" w:ascii="仿宋_GB2312" w:hAnsi="仿宋_GB2312" w:eastAsia="仿宋_GB2312" w:cs="仿宋_GB2312"/>
          <w:b w:val="0"/>
          <w:bCs w:val="0"/>
          <w:color w:val="auto"/>
          <w:highlight w:val="none"/>
          <w:lang w:val="en-US" w:eastAsia="zh-CN"/>
        </w:rPr>
        <w:t>塔城地区辐射监管快速响应能力</w:t>
      </w:r>
      <w:r>
        <w:rPr>
          <w:rFonts w:hint="eastAsia" w:ascii="仿宋_GB2312" w:hAnsi="仿宋_GB2312" w:eastAsia="仿宋_GB2312" w:cs="仿宋_GB2312"/>
          <w:b w:val="0"/>
          <w:bCs w:val="0"/>
          <w:color w:val="auto"/>
          <w:highlight w:val="none"/>
        </w:rPr>
        <w:t>项目进行客观评价，最终评分结果：总得分为</w:t>
      </w:r>
      <w:r>
        <w:rPr>
          <w:rFonts w:hint="eastAsia" w:ascii="仿宋_GB2312" w:hAnsi="仿宋_GB2312" w:eastAsia="仿宋_GB2312" w:cs="仿宋_GB2312"/>
          <w:b w:val="0"/>
          <w:bCs w:val="0"/>
          <w:color w:val="auto"/>
          <w:highlight w:val="none"/>
          <w:lang w:val="en-US" w:eastAsia="zh-CN"/>
        </w:rPr>
        <w:t>100</w:t>
      </w:r>
      <w:r>
        <w:rPr>
          <w:rFonts w:hint="eastAsia" w:ascii="仿宋_GB2312" w:hAnsi="仿宋_GB2312" w:eastAsia="仿宋_GB2312" w:cs="仿宋_GB2312"/>
          <w:b w:val="0"/>
          <w:bCs w:val="0"/>
          <w:color w:val="auto"/>
          <w:highlight w:val="none"/>
        </w:rPr>
        <w:t>分，属于“优”。其中，项目决策类指标权重为5分，得分为 5分，得分率为 100%。项目过程类指标权重为5分，得分为5 分，得分率为 100%。项目产出类指标权重为50分，得分为50分，得分率为 100%。项目效益类指标权重为40分，得分为</w:t>
      </w:r>
      <w:r>
        <w:rPr>
          <w:rFonts w:hint="eastAsia" w:ascii="仿宋_GB2312" w:hAnsi="仿宋_GB2312" w:eastAsia="仿宋_GB2312" w:cs="仿宋_GB2312"/>
          <w:b w:val="0"/>
          <w:bCs w:val="0"/>
          <w:color w:val="auto"/>
          <w:highlight w:val="none"/>
          <w:lang w:val="en-US" w:eastAsia="zh-CN"/>
        </w:rPr>
        <w:t>40</w:t>
      </w:r>
      <w:r>
        <w:rPr>
          <w:rFonts w:hint="eastAsia" w:ascii="仿宋_GB2312" w:hAnsi="仿宋_GB2312" w:eastAsia="仿宋_GB2312" w:cs="仿宋_GB2312"/>
          <w:b w:val="0"/>
          <w:bCs w:val="0"/>
          <w:color w:val="auto"/>
          <w:highlight w:val="none"/>
        </w:rPr>
        <w:t xml:space="preserve">分，得分率为 </w:t>
      </w:r>
      <w:r>
        <w:rPr>
          <w:rFonts w:hint="eastAsia" w:ascii="仿宋_GB2312" w:hAnsi="仿宋_GB2312" w:eastAsia="仿宋_GB2312" w:cs="仿宋_GB2312"/>
          <w:b w:val="0"/>
          <w:bCs w:val="0"/>
          <w:color w:val="auto"/>
          <w:highlight w:val="none"/>
          <w:lang w:val="en-US" w:eastAsia="zh-CN"/>
        </w:rPr>
        <w:t>100</w:t>
      </w:r>
      <w:r>
        <w:rPr>
          <w:rFonts w:hint="eastAsia" w:ascii="仿宋_GB2312" w:hAnsi="仿宋_GB2312" w:eastAsia="仿宋_GB2312" w:cs="仿宋_GB2312"/>
          <w:b w:val="0"/>
          <w:bCs w:val="0"/>
          <w:color w:val="auto"/>
          <w:highlight w:val="none"/>
        </w:rPr>
        <w:t>%。</w:t>
      </w:r>
    </w:p>
    <w:p>
      <w:pPr>
        <w:pStyle w:val="18"/>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p/>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924"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spacing w:line="60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18"/>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rPr>
        <w:t>自治区</w:t>
      </w:r>
      <w:r>
        <w:rPr>
          <w:rFonts w:hint="eastAsia" w:ascii="仿宋_GB2312" w:hAnsi="仿宋_GB2312" w:eastAsia="仿宋_GB2312" w:cs="仿宋_GB2312"/>
          <w:sz w:val="32"/>
          <w:szCs w:val="32"/>
          <w:lang w:eastAsia="zh-CN"/>
        </w:rPr>
        <w:t>生态环境厅下发通知</w:t>
      </w:r>
      <w:r>
        <w:rPr>
          <w:rFonts w:hint="eastAsia" w:ascii="仿宋_GB2312" w:hAnsi="仿宋_GB2312" w:eastAsia="仿宋_GB2312" w:cs="仿宋_GB2312"/>
          <w:sz w:val="32"/>
          <w:szCs w:val="32"/>
          <w:lang w:val="en-US" w:eastAsia="zh-CN"/>
        </w:rPr>
        <w:t>文件精神，购置</w:t>
      </w:r>
      <w:r>
        <w:rPr>
          <w:rFonts w:hint="eastAsia" w:ascii="仿宋_GB2312" w:hAnsi="仿宋_GB2312" w:eastAsia="仿宋_GB2312" w:cs="仿宋_GB2312"/>
          <w:sz w:val="32"/>
          <w:szCs w:val="32"/>
          <w:lang w:eastAsia="zh-CN"/>
        </w:rPr>
        <w:t>辐射</w:t>
      </w:r>
      <w:r>
        <w:rPr>
          <w:rFonts w:hint="eastAsia" w:ascii="仿宋_GB2312" w:hAnsi="仿宋_GB2312" w:eastAsia="仿宋_GB2312" w:cs="仿宋_GB2312"/>
          <w:sz w:val="32"/>
          <w:szCs w:val="32"/>
        </w:rPr>
        <w:t>监管快速</w:t>
      </w:r>
      <w:r>
        <w:rPr>
          <w:rFonts w:hint="eastAsia" w:ascii="仿宋_GB2312" w:hAnsi="仿宋_GB2312" w:eastAsia="仿宋_GB2312" w:cs="仿宋_GB2312"/>
          <w:sz w:val="32"/>
          <w:szCs w:val="32"/>
          <w:lang w:eastAsia="zh-CN"/>
        </w:rPr>
        <w:t>测定设备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塔城</w:t>
      </w:r>
      <w:r>
        <w:rPr>
          <w:rFonts w:hint="eastAsia" w:ascii="仿宋_GB2312" w:hAnsi="仿宋_GB2312" w:eastAsia="仿宋_GB2312" w:cs="仿宋_GB2312"/>
          <w:sz w:val="32"/>
          <w:szCs w:val="32"/>
        </w:rPr>
        <w:t>地区辐射监管能力建设和补齐核与辐射快速响应能力建设，全面夯实核与辐射事故应急监测、预警、抢险救援、信息系统、后果评价和决策指挥能力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达到自治区对各地州市辐射环境监管和应急监测任务的要求</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lang w:val="en-US" w:eastAsia="zh-CN"/>
        </w:rPr>
      </w:pPr>
      <w:r>
        <w:rPr>
          <w:rFonts w:hint="eastAsia" w:ascii="仿宋_GB2312" w:hAnsi="仿宋_GB2312" w:eastAsia="仿宋_GB2312" w:cs="仿宋_GB2312"/>
          <w:sz w:val="32"/>
          <w:szCs w:val="32"/>
        </w:rPr>
        <w:t>项目决策指标从</w:t>
      </w:r>
      <w:r>
        <w:rPr>
          <w:rFonts w:hint="eastAsia" w:ascii="仿宋_GB2312" w:hAnsi="仿宋_GB2312" w:eastAsia="仿宋_GB2312" w:cs="仿宋_GB2312"/>
          <w:sz w:val="32"/>
          <w:szCs w:val="32"/>
          <w:lang w:eastAsia="zh-CN"/>
        </w:rPr>
        <w:t>项目立项、</w:t>
      </w:r>
      <w:r>
        <w:rPr>
          <w:rFonts w:hint="eastAsia" w:ascii="仿宋_GB2312" w:hAnsi="仿宋_GB2312" w:eastAsia="仿宋_GB2312" w:cs="仿宋_GB2312"/>
          <w:i w:val="0"/>
          <w:color w:val="000000"/>
          <w:kern w:val="0"/>
          <w:sz w:val="32"/>
          <w:szCs w:val="32"/>
          <w:u w:val="none"/>
          <w:lang w:val="en-US" w:eastAsia="zh-CN" w:bidi="ar"/>
        </w:rPr>
        <w:t>绩效目标、资金投入</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个方面对项目依据情况进行考察，</w:t>
      </w:r>
      <w:r>
        <w:rPr>
          <w:rFonts w:hint="eastAsia" w:ascii="仿宋_GB2312" w:hAnsi="仿宋_GB2312" w:eastAsia="仿宋_GB2312" w:cs="仿宋_GB2312"/>
          <w:sz w:val="32"/>
          <w:szCs w:val="32"/>
          <w:lang w:eastAsia="zh-CN"/>
        </w:rPr>
        <w:t>项目立项分值</w:t>
      </w:r>
      <w:r>
        <w:rPr>
          <w:rFonts w:hint="eastAsia" w:ascii="仿宋_GB2312" w:hAnsi="仿宋_GB2312" w:eastAsia="仿宋_GB2312" w:cs="仿宋_GB2312"/>
          <w:sz w:val="32"/>
          <w:szCs w:val="32"/>
          <w:lang w:val="en-US" w:eastAsia="zh-CN"/>
        </w:rPr>
        <w:t>1分，</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color w:val="000000"/>
          <w:kern w:val="0"/>
          <w:sz w:val="32"/>
          <w:szCs w:val="32"/>
          <w:u w:val="none"/>
          <w:lang w:val="en-US" w:eastAsia="zh-CN" w:bidi="ar"/>
        </w:rPr>
        <w:t>绩效目标</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color w:val="000000"/>
          <w:kern w:val="0"/>
          <w:sz w:val="32"/>
          <w:szCs w:val="32"/>
          <w:u w:val="none"/>
          <w:lang w:val="en-US" w:eastAsia="zh-CN" w:bidi="ar"/>
        </w:rPr>
        <w:t>资金投入</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8"/>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项目过程</w:t>
      </w:r>
      <w:r>
        <w:rPr>
          <w:rFonts w:hint="eastAsia" w:ascii="仿宋_GB2312" w:hAnsi="仿宋_GB2312" w:eastAsia="仿宋_GB2312" w:cs="仿宋_GB2312"/>
          <w:sz w:val="32"/>
          <w:szCs w:val="32"/>
        </w:rPr>
        <w:t>指标从</w:t>
      </w:r>
      <w:r>
        <w:rPr>
          <w:rFonts w:hint="eastAsia" w:ascii="仿宋_GB2312" w:hAnsi="仿宋_GB2312" w:eastAsia="仿宋_GB2312" w:cs="仿宋_GB2312"/>
          <w:i w:val="0"/>
          <w:color w:val="000000"/>
          <w:kern w:val="0"/>
          <w:sz w:val="32"/>
          <w:szCs w:val="32"/>
          <w:u w:val="none"/>
          <w:lang w:val="en-US" w:eastAsia="zh-CN" w:bidi="ar"/>
        </w:rPr>
        <w:t>资金到位率、预算执行率、资金使用合规性、管理制度健全性、制度执行有效性5</w:t>
      </w:r>
      <w:r>
        <w:rPr>
          <w:rFonts w:hint="eastAsia" w:ascii="仿宋_GB2312" w:hAnsi="仿宋_GB2312" w:eastAsia="仿宋_GB2312" w:cs="仿宋_GB2312"/>
          <w:sz w:val="32"/>
          <w:szCs w:val="32"/>
        </w:rPr>
        <w:t>个方面对项目的管理情况进行考察，资金到位率分值</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，预算执行率</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，资金使用合规性</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，管理制度健全性</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，制度执行有效性</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项目决策指标得分情况如表所示。</w:t>
      </w:r>
    </w:p>
    <w:tbl>
      <w:tblPr>
        <w:tblStyle w:val="21"/>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252"/>
        <w:gridCol w:w="1252"/>
        <w:gridCol w:w="1252"/>
        <w:gridCol w:w="1252"/>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Merge w:val="restart"/>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资金管理</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资金到位率</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100%</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Merge w:val="continue"/>
          </w:tcPr>
          <w:p>
            <w:pPr>
              <w:pStyle w:val="5"/>
              <w:rPr>
                <w:rFonts w:hint="eastAsia" w:asciiTheme="majorEastAsia" w:hAnsiTheme="majorEastAsia" w:eastAsiaTheme="majorEastAsia" w:cstheme="majorEastAsia"/>
                <w:sz w:val="22"/>
                <w:szCs w:val="22"/>
                <w:vertAlign w:val="baseline"/>
              </w:rPr>
            </w:pP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预算执行率</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100%</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资金管理</w:t>
            </w:r>
          </w:p>
        </w:tc>
        <w:tc>
          <w:tcPr>
            <w:tcW w:w="1252" w:type="dxa"/>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合规性</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100%</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Merge w:val="restart"/>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组织实施</w:t>
            </w:r>
          </w:p>
        </w:tc>
        <w:tc>
          <w:tcPr>
            <w:tcW w:w="1252" w:type="dxa"/>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健全性</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100%</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Merge w:val="continue"/>
          </w:tcPr>
          <w:p>
            <w:pPr>
              <w:pStyle w:val="5"/>
              <w:rPr>
                <w:rFonts w:hint="eastAsia" w:asciiTheme="majorEastAsia" w:hAnsiTheme="majorEastAsia" w:eastAsiaTheme="majorEastAsia" w:cstheme="majorEastAsia"/>
                <w:sz w:val="22"/>
                <w:szCs w:val="22"/>
                <w:vertAlign w:val="baseline"/>
              </w:rPr>
            </w:pPr>
          </w:p>
        </w:tc>
        <w:tc>
          <w:tcPr>
            <w:tcW w:w="1252" w:type="dxa"/>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有效性</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100%</w:t>
            </w:r>
          </w:p>
        </w:tc>
        <w:tc>
          <w:tcPr>
            <w:tcW w:w="1252" w:type="dxa"/>
            <w:vAlign w:val="center"/>
          </w:tcPr>
          <w:p>
            <w:pPr>
              <w:widowControl/>
              <w:spacing w:line="0" w:lineRule="atLeast"/>
              <w:jc w:val="center"/>
              <w:rPr>
                <w:rFonts w:hint="eastAsia" w:asciiTheme="majorEastAsia" w:hAnsiTheme="majorEastAsia" w:eastAsiaTheme="majorEastAsia" w:cstheme="majorEastAsia"/>
                <w:sz w:val="22"/>
                <w:szCs w:val="22"/>
                <w:vertAlign w:val="baseline"/>
              </w:rPr>
            </w:pPr>
            <w:r>
              <w:rPr>
                <w:rFonts w:hint="eastAsia" w:ascii="宋体" w:hAnsi="宋体" w:cs="宋体"/>
                <w:color w:val="000000"/>
                <w:kern w:val="0"/>
                <w:sz w:val="22"/>
                <w:szCs w:val="22"/>
                <w:lang w:val="en-US" w:eastAsia="zh-CN"/>
              </w:rPr>
              <w:t>1</w:t>
            </w:r>
          </w:p>
        </w:tc>
      </w:tr>
    </w:tbl>
    <w:p>
      <w:pPr>
        <w:rPr>
          <w:rFonts w:hint="eastAsia"/>
        </w:rPr>
      </w:pPr>
    </w:p>
    <w:p>
      <w:pPr>
        <w:pageBreakBefore w:val="0"/>
        <w:shd w:val="clear"/>
        <w:kinsoku/>
        <w:wordWrap/>
        <w:overflowPunct/>
        <w:topLinePunct w:val="0"/>
        <w:autoSpaceDE/>
        <w:autoSpaceDN/>
        <w:bidi w:val="0"/>
        <w:adjustRightInd/>
        <w:snapToGrid/>
        <w:spacing w:line="540" w:lineRule="exact"/>
        <w:ind w:left="0" w:firstLine="640" w:firstLineChars="200"/>
        <w:jc w:val="left"/>
        <w:rPr>
          <w:rFonts w:hint="eastAsia" w:ascii="楷体_GB2312" w:hAnsi="楷体_GB2312" w:eastAsia="楷体_GB2312" w:cs="楷体_GB2312"/>
          <w:b/>
          <w:bCs/>
          <w:sz w:val="32"/>
          <w:szCs w:val="32"/>
        </w:rPr>
      </w:pPr>
      <w:r>
        <w:rPr>
          <w:rFonts w:hint="eastAsia" w:ascii="仿宋_GB2312" w:hAnsi="仿宋_GB2312" w:eastAsia="仿宋_GB2312" w:cs="仿宋_GB2312"/>
          <w:b w:val="0"/>
          <w:bCs w:val="0"/>
          <w:sz w:val="32"/>
          <w:szCs w:val="32"/>
        </w:rPr>
        <w:t>资金使用依据合格，无虚列套取项目支出，无超标准开支，按评分标准，该指标实际得分率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p>
    <w:p>
      <w:pPr>
        <w:pStyle w:val="19"/>
        <w:numPr>
          <w:ilvl w:val="0"/>
          <w:numId w:val="0"/>
        </w:numPr>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项目产出</w:t>
      </w:r>
    </w:p>
    <w:p>
      <w:pPr>
        <w:spacing w:line="540" w:lineRule="exact"/>
        <w:ind w:firstLine="640"/>
        <w:rPr>
          <w:rFonts w:hint="eastAsia" w:ascii="仿宋_GB2312" w:hAnsi="仿宋_GB2312" w:eastAsia="仿宋_GB2312" w:cs="仿宋_GB2312"/>
          <w:sz w:val="32"/>
          <w:szCs w:val="32"/>
          <w:highlight w:val="none"/>
          <w:lang w:val="en-US" w:eastAsia="zh-CN"/>
        </w:rPr>
      </w:pPr>
      <w:r>
        <w:rPr>
          <w:rStyle w:val="23"/>
          <w:rFonts w:hint="eastAsia" w:ascii="仿宋" w:hAnsi="仿宋" w:eastAsia="仿宋" w:cs="仿宋"/>
          <w:b w:val="0"/>
          <w:bCs/>
          <w:spacing w:val="-4"/>
          <w:sz w:val="32"/>
          <w:szCs w:val="32"/>
          <w:highlight w:val="none"/>
        </w:rPr>
        <w:t>数量指标方面：</w:t>
      </w:r>
      <w:r>
        <w:rPr>
          <w:rFonts w:hint="eastAsia" w:ascii="仿宋_GB2312" w:hAnsi="仿宋_GB2312" w:eastAsia="仿宋_GB2312" w:cs="仿宋_GB2312"/>
          <w:sz w:val="32"/>
          <w:szCs w:val="32"/>
          <w:highlight w:val="none"/>
          <w:lang w:eastAsia="zh-CN"/>
        </w:rPr>
        <w:t>产出数量三级指标：购置车载数据通讯与处理系统年度指标值≥</w:t>
      </w:r>
      <w:r>
        <w:rPr>
          <w:rFonts w:hint="eastAsia" w:ascii="仿宋_GB2312" w:hAnsi="仿宋_GB2312" w:eastAsia="仿宋_GB2312" w:cs="仿宋_GB2312"/>
          <w:sz w:val="32"/>
          <w:szCs w:val="32"/>
          <w:highlight w:val="none"/>
          <w:lang w:val="en-US" w:eastAsia="zh-CN"/>
        </w:rPr>
        <w:t>1套，实际完成值1套，指标完成率100%；购置αβ表面污染仪，年度指标值≥1套，实际完成值1套，指标完成率100%；个人剂量报警器，年度指标值≥2台，实际完成值2台，指标完成率100%；个人防护设备，年度指标值≥3套，实际完成值3套，指标完成率100%；空气采样器，年度指标值≥1台，实际完成值1台，指标完成率100%；手提式巡测γ谱仪，年度指标值≥1台，实际完成值1台，指标完成率100%；热释光探测器，年度指标值≥1台，实际完成值1台，指标完成率100%；辐射监管快速响应车，年度指标值≥1辆，实际完成值1辆，指标完成率100%；</w:t>
      </w:r>
    </w:p>
    <w:p>
      <w:pPr>
        <w:spacing w:line="540" w:lineRule="exact"/>
        <w:ind w:firstLine="640"/>
        <w:rPr>
          <w:rFonts w:hint="eastAsia" w:ascii="仿宋_GB2312" w:hAnsi="仿宋_GB2312" w:eastAsia="仿宋_GB2312" w:cs="仿宋_GB2312"/>
          <w:sz w:val="32"/>
          <w:szCs w:val="32"/>
          <w:highlight w:val="none"/>
          <w:lang w:eastAsia="zh-CN"/>
        </w:rPr>
      </w:pPr>
      <w:r>
        <w:rPr>
          <w:rStyle w:val="23"/>
          <w:rFonts w:hint="eastAsia" w:ascii="仿宋" w:hAnsi="仿宋" w:eastAsia="仿宋" w:cs="仿宋"/>
          <w:b w:val="0"/>
          <w:bCs/>
          <w:spacing w:val="-4"/>
          <w:sz w:val="32"/>
          <w:szCs w:val="32"/>
          <w:highlight w:val="none"/>
          <w:lang w:eastAsia="zh-CN"/>
        </w:rPr>
        <w:t>项目数量指标从实际完成率对项目产出数量情况进行考察，实际完成率</w:t>
      </w:r>
      <w:r>
        <w:rPr>
          <w:rFonts w:hint="eastAsia" w:ascii="仿宋_GB2312" w:hAnsi="仿宋_GB2312" w:eastAsia="仿宋_GB2312" w:cs="仿宋_GB2312"/>
          <w:sz w:val="32"/>
          <w:szCs w:val="32"/>
          <w:highlight w:val="none"/>
          <w:lang w:eastAsia="zh-CN"/>
        </w:rPr>
        <w:t>分值</w:t>
      </w:r>
      <w:r>
        <w:rPr>
          <w:rFonts w:hint="eastAsia" w:ascii="仿宋_GB2312" w:hAnsi="仿宋_GB2312" w:eastAsia="仿宋_GB2312" w:cs="仿宋_GB2312"/>
          <w:sz w:val="32"/>
          <w:szCs w:val="32"/>
          <w:highlight w:val="none"/>
          <w:lang w:val="en-US" w:eastAsia="zh-CN"/>
        </w:rPr>
        <w:t>15分，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40" w:lineRule="exact"/>
        <w:ind w:firstLine="640"/>
        <w:rPr>
          <w:rFonts w:hint="eastAsia" w:ascii="仿宋_GB2312" w:hAnsi="仿宋_GB2312" w:eastAsia="仿宋_GB2312" w:cs="仿宋_GB2312"/>
          <w:sz w:val="32"/>
          <w:szCs w:val="32"/>
          <w:highlight w:val="none"/>
          <w:lang w:val="en-US" w:eastAsia="zh-CN"/>
        </w:rPr>
      </w:pPr>
      <w:r>
        <w:rPr>
          <w:rStyle w:val="52"/>
          <w:rFonts w:hint="eastAsia"/>
          <w:color w:val="auto"/>
          <w:highlight w:val="none"/>
        </w:rPr>
        <w:t>质量指标方面：</w:t>
      </w:r>
      <w:r>
        <w:rPr>
          <w:rFonts w:hint="eastAsia" w:ascii="仿宋_GB2312" w:hAnsi="仿宋_GB2312" w:eastAsia="仿宋_GB2312" w:cs="仿宋_GB2312"/>
          <w:sz w:val="32"/>
          <w:szCs w:val="32"/>
          <w:highlight w:val="none"/>
          <w:lang w:val="en-US" w:eastAsia="zh-CN"/>
        </w:rPr>
        <w:t>政府采购率，年度指标值=100%，实际完成值100%，指标完成率100%；购置合同执行违规率，年度指标值=0，实际完成值0，指标完成率100%；购置验收通过率，年度指标值≥95%，实际完成值95%，指标完成率100%；</w:t>
      </w:r>
    </w:p>
    <w:p>
      <w:pPr>
        <w:spacing w:line="540" w:lineRule="exact"/>
        <w:ind w:firstLine="640"/>
        <w:rPr>
          <w:rStyle w:val="23"/>
          <w:rFonts w:hint="default" w:ascii="仿宋" w:hAnsi="仿宋" w:eastAsia="仿宋_GB2312" w:cs="仿宋"/>
          <w:b w:val="0"/>
          <w:bCs/>
          <w:spacing w:val="-4"/>
          <w:sz w:val="32"/>
          <w:szCs w:val="32"/>
          <w:highlight w:val="none"/>
          <w:lang w:val="en-US" w:eastAsia="zh-CN"/>
        </w:rPr>
      </w:pPr>
      <w:r>
        <w:rPr>
          <w:rStyle w:val="23"/>
          <w:rFonts w:hint="eastAsia" w:ascii="仿宋" w:hAnsi="仿宋" w:eastAsia="仿宋" w:cs="仿宋"/>
          <w:b w:val="0"/>
          <w:bCs/>
          <w:spacing w:val="-4"/>
          <w:sz w:val="32"/>
          <w:szCs w:val="32"/>
          <w:highlight w:val="none"/>
          <w:lang w:eastAsia="zh-CN"/>
        </w:rPr>
        <w:t>项目质量指标从质量达标率对项目产出质量情况进行考察，质量达标率</w:t>
      </w:r>
      <w:r>
        <w:rPr>
          <w:rFonts w:hint="eastAsia" w:ascii="仿宋_GB2312" w:hAnsi="仿宋_GB2312" w:eastAsia="仿宋_GB2312" w:cs="仿宋_GB2312"/>
          <w:sz w:val="32"/>
          <w:szCs w:val="32"/>
          <w:highlight w:val="none"/>
          <w:lang w:eastAsia="zh-CN"/>
        </w:rPr>
        <w:t>分值</w:t>
      </w:r>
      <w:r>
        <w:rPr>
          <w:rFonts w:hint="eastAsia" w:ascii="仿宋_GB2312" w:hAnsi="仿宋_GB2312" w:eastAsia="仿宋_GB2312" w:cs="仿宋_GB2312"/>
          <w:sz w:val="32"/>
          <w:szCs w:val="32"/>
          <w:highlight w:val="none"/>
          <w:lang w:val="en-US" w:eastAsia="zh-CN"/>
        </w:rPr>
        <w:t>10分，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40" w:lineRule="exact"/>
        <w:ind w:firstLine="640"/>
        <w:rPr>
          <w:rFonts w:hint="eastAsia" w:ascii="仿宋_GB2312" w:hAnsi="仿宋_GB2312" w:eastAsia="仿宋_GB2312" w:cs="仿宋_GB2312"/>
          <w:sz w:val="32"/>
          <w:szCs w:val="32"/>
          <w:highlight w:val="none"/>
          <w:lang w:val="en-US" w:eastAsia="zh-CN"/>
        </w:rPr>
      </w:pPr>
      <w:r>
        <w:rPr>
          <w:rStyle w:val="52"/>
          <w:rFonts w:hint="eastAsia"/>
          <w:b w:val="0"/>
          <w:bCs w:val="0"/>
          <w:color w:val="auto"/>
          <w:highlight w:val="none"/>
          <w:lang w:val="en-US" w:eastAsia="zh-CN"/>
        </w:rPr>
        <w:t>成本指标方面：</w:t>
      </w:r>
      <w:r>
        <w:rPr>
          <w:rFonts w:hint="eastAsia" w:ascii="仿宋_GB2312" w:hAnsi="仿宋_GB2312" w:eastAsia="仿宋_GB2312" w:cs="仿宋_GB2312"/>
          <w:sz w:val="32"/>
          <w:szCs w:val="32"/>
          <w:highlight w:val="none"/>
          <w:lang w:eastAsia="zh-CN"/>
        </w:rPr>
        <w:t>本年支付购置成本，年度指标值≤</w:t>
      </w:r>
      <w:r>
        <w:rPr>
          <w:rFonts w:hint="eastAsia" w:ascii="仿宋_GB2312" w:hAnsi="仿宋_GB2312" w:eastAsia="仿宋_GB2312" w:cs="仿宋_GB2312"/>
          <w:sz w:val="32"/>
          <w:szCs w:val="32"/>
          <w:highlight w:val="none"/>
          <w:lang w:val="en-US" w:eastAsia="zh-CN"/>
        </w:rPr>
        <w:t>54.26万元，实际完成值54.26万元，指标完成率100%；</w:t>
      </w:r>
    </w:p>
    <w:p>
      <w:pPr>
        <w:spacing w:line="540" w:lineRule="exact"/>
        <w:ind w:firstLine="640"/>
        <w:rPr>
          <w:rStyle w:val="23"/>
          <w:rFonts w:hint="default" w:ascii="仿宋" w:hAnsi="仿宋" w:eastAsia="仿宋" w:cs="仿宋"/>
          <w:b w:val="0"/>
          <w:bCs/>
          <w:spacing w:val="-4"/>
          <w:sz w:val="32"/>
          <w:szCs w:val="32"/>
          <w:highlight w:val="none"/>
          <w:lang w:val="en-US" w:eastAsia="zh-CN"/>
        </w:rPr>
      </w:pPr>
      <w:r>
        <w:rPr>
          <w:rStyle w:val="23"/>
          <w:rFonts w:hint="eastAsia" w:ascii="仿宋" w:hAnsi="仿宋" w:eastAsia="仿宋" w:cs="仿宋"/>
          <w:b w:val="0"/>
          <w:bCs/>
          <w:spacing w:val="-4"/>
          <w:sz w:val="32"/>
          <w:szCs w:val="32"/>
          <w:highlight w:val="none"/>
          <w:lang w:eastAsia="zh-CN"/>
        </w:rPr>
        <w:t>项目</w:t>
      </w:r>
      <w:r>
        <w:rPr>
          <w:rStyle w:val="52"/>
          <w:rFonts w:hint="eastAsia"/>
          <w:b w:val="0"/>
          <w:bCs w:val="0"/>
          <w:color w:val="auto"/>
          <w:highlight w:val="none"/>
          <w:lang w:val="en-US" w:eastAsia="zh-CN"/>
        </w:rPr>
        <w:t>成本</w:t>
      </w:r>
      <w:r>
        <w:rPr>
          <w:rStyle w:val="23"/>
          <w:rFonts w:hint="eastAsia" w:ascii="仿宋" w:hAnsi="仿宋" w:eastAsia="仿宋" w:cs="仿宋"/>
          <w:b w:val="0"/>
          <w:bCs/>
          <w:spacing w:val="-4"/>
          <w:sz w:val="32"/>
          <w:szCs w:val="32"/>
          <w:highlight w:val="none"/>
          <w:lang w:eastAsia="zh-CN"/>
        </w:rPr>
        <w:t>指标从成本节约率对项目产出</w:t>
      </w:r>
      <w:r>
        <w:rPr>
          <w:rStyle w:val="52"/>
          <w:rFonts w:hint="eastAsia"/>
          <w:b w:val="0"/>
          <w:bCs w:val="0"/>
          <w:color w:val="auto"/>
          <w:highlight w:val="none"/>
          <w:lang w:val="en-US" w:eastAsia="zh-CN"/>
        </w:rPr>
        <w:t>成本</w:t>
      </w:r>
      <w:r>
        <w:rPr>
          <w:rStyle w:val="23"/>
          <w:rFonts w:hint="eastAsia" w:ascii="仿宋" w:hAnsi="仿宋" w:eastAsia="仿宋" w:cs="仿宋"/>
          <w:b w:val="0"/>
          <w:bCs/>
          <w:spacing w:val="-4"/>
          <w:sz w:val="32"/>
          <w:szCs w:val="32"/>
          <w:highlight w:val="none"/>
          <w:lang w:eastAsia="zh-CN"/>
        </w:rPr>
        <w:t>情况进行考察，成本节约率</w:t>
      </w:r>
      <w:r>
        <w:rPr>
          <w:rFonts w:hint="eastAsia" w:ascii="仿宋_GB2312" w:hAnsi="仿宋_GB2312" w:eastAsia="仿宋_GB2312" w:cs="仿宋_GB2312"/>
          <w:sz w:val="32"/>
          <w:szCs w:val="32"/>
          <w:highlight w:val="none"/>
          <w:lang w:eastAsia="zh-CN"/>
        </w:rPr>
        <w:t>分值</w:t>
      </w:r>
      <w:r>
        <w:rPr>
          <w:rFonts w:hint="eastAsia" w:ascii="仿宋_GB2312" w:hAnsi="仿宋_GB2312" w:eastAsia="仿宋_GB2312" w:cs="仿宋_GB2312"/>
          <w:sz w:val="32"/>
          <w:szCs w:val="32"/>
          <w:highlight w:val="none"/>
          <w:lang w:val="en-US" w:eastAsia="zh-CN"/>
        </w:rPr>
        <w:t>10分，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40" w:lineRule="exact"/>
        <w:ind w:firstLine="640"/>
        <w:rPr>
          <w:rFonts w:ascii="楷体_GB2312" w:hAnsi="楷体_GB2312" w:eastAsia="楷体_GB2312" w:cs="楷体_GB2312"/>
          <w:b/>
          <w:bCs/>
          <w:sz w:val="32"/>
          <w:szCs w:val="32"/>
          <w:highlight w:val="none"/>
        </w:rPr>
      </w:pPr>
      <w:r>
        <w:rPr>
          <w:rStyle w:val="52"/>
          <w:rFonts w:hint="eastAsia"/>
          <w:color w:val="auto"/>
          <w:highlight w:val="none"/>
          <w:lang w:val="en-US" w:eastAsia="zh-CN"/>
        </w:rPr>
        <w:t>时效指标方面：</w:t>
      </w:r>
      <w:r>
        <w:rPr>
          <w:rStyle w:val="23"/>
          <w:rFonts w:hint="eastAsia" w:ascii="仿宋" w:hAnsi="仿宋" w:eastAsia="仿宋" w:cs="仿宋"/>
          <w:b w:val="0"/>
          <w:bCs/>
          <w:spacing w:val="-4"/>
          <w:sz w:val="32"/>
          <w:szCs w:val="32"/>
          <w:highlight w:val="none"/>
          <w:lang w:eastAsia="zh-CN"/>
        </w:rPr>
        <w:t>项目</w:t>
      </w:r>
      <w:r>
        <w:rPr>
          <w:rStyle w:val="52"/>
          <w:rFonts w:hint="eastAsia"/>
          <w:color w:val="auto"/>
          <w:highlight w:val="none"/>
          <w:lang w:val="en-US" w:eastAsia="zh-CN"/>
        </w:rPr>
        <w:t>时效</w:t>
      </w:r>
      <w:r>
        <w:rPr>
          <w:rStyle w:val="23"/>
          <w:rFonts w:hint="eastAsia" w:ascii="仿宋" w:hAnsi="仿宋" w:eastAsia="仿宋" w:cs="仿宋"/>
          <w:b w:val="0"/>
          <w:bCs/>
          <w:spacing w:val="-4"/>
          <w:sz w:val="32"/>
          <w:szCs w:val="32"/>
          <w:highlight w:val="none"/>
          <w:lang w:eastAsia="zh-CN"/>
        </w:rPr>
        <w:t>指标从完成及时性对项目产出</w:t>
      </w:r>
      <w:r>
        <w:rPr>
          <w:rStyle w:val="52"/>
          <w:rFonts w:hint="eastAsia"/>
          <w:color w:val="auto"/>
          <w:highlight w:val="none"/>
          <w:lang w:val="en-US" w:eastAsia="zh-CN"/>
        </w:rPr>
        <w:t>时效</w:t>
      </w:r>
      <w:r>
        <w:rPr>
          <w:rStyle w:val="23"/>
          <w:rFonts w:hint="eastAsia" w:ascii="仿宋" w:hAnsi="仿宋" w:eastAsia="仿宋" w:cs="仿宋"/>
          <w:b w:val="0"/>
          <w:bCs/>
          <w:spacing w:val="-4"/>
          <w:sz w:val="32"/>
          <w:szCs w:val="32"/>
          <w:highlight w:val="none"/>
          <w:lang w:eastAsia="zh-CN"/>
        </w:rPr>
        <w:t>情况进行考察，完成及时性</w:t>
      </w:r>
      <w:r>
        <w:rPr>
          <w:rFonts w:hint="eastAsia" w:ascii="仿宋_GB2312" w:hAnsi="仿宋_GB2312" w:eastAsia="仿宋_GB2312" w:cs="仿宋_GB2312"/>
          <w:sz w:val="32"/>
          <w:szCs w:val="32"/>
          <w:highlight w:val="none"/>
          <w:lang w:eastAsia="zh-CN"/>
        </w:rPr>
        <w:t>分值</w:t>
      </w:r>
      <w:r>
        <w:rPr>
          <w:rFonts w:hint="eastAsia" w:ascii="仿宋_GB2312" w:hAnsi="仿宋_GB2312" w:eastAsia="仿宋_GB2312" w:cs="仿宋_GB2312"/>
          <w:sz w:val="32"/>
          <w:szCs w:val="32"/>
          <w:highlight w:val="none"/>
          <w:lang w:val="en-US" w:eastAsia="zh-CN"/>
        </w:rPr>
        <w:t>15分，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Style w:val="19"/>
        <w:numPr>
          <w:ilvl w:val="0"/>
          <w:numId w:val="0"/>
        </w:numPr>
        <w:ind w:firstLine="643" w:firstLineChars="200"/>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（四）</w:t>
      </w:r>
      <w:r>
        <w:rPr>
          <w:rFonts w:hint="eastAsia" w:ascii="楷体_GB2312" w:hAnsi="楷体_GB2312" w:eastAsia="楷体_GB2312" w:cs="楷体_GB2312"/>
          <w:b/>
          <w:bCs/>
          <w:sz w:val="32"/>
          <w:szCs w:val="32"/>
          <w:highlight w:val="none"/>
        </w:rPr>
        <w:t>效益情况</w:t>
      </w:r>
    </w:p>
    <w:p>
      <w:pPr>
        <w:spacing w:line="540" w:lineRule="exact"/>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社会效益指标：业务保障能力提升，年度指标值有所提升，实际完成值有所提升，指标完成率</w:t>
      </w:r>
      <w:r>
        <w:rPr>
          <w:rFonts w:hint="eastAsia" w:ascii="仿宋_GB2312" w:hAnsi="仿宋_GB2312" w:eastAsia="仿宋_GB2312" w:cs="仿宋_GB2312"/>
          <w:sz w:val="32"/>
          <w:szCs w:val="32"/>
          <w:highlight w:val="none"/>
          <w:lang w:val="en-US" w:eastAsia="zh-CN"/>
        </w:rPr>
        <w:t>100%；</w:t>
      </w:r>
    </w:p>
    <w:p>
      <w:pPr>
        <w:spacing w:line="540" w:lineRule="exact"/>
        <w:ind w:firstLine="640"/>
        <w:rPr>
          <w:rFonts w:hint="default" w:ascii="楷体_GB2312" w:hAnsi="楷体_GB2312" w:eastAsia="楷体_GB2312" w:cs="楷体_GB2312"/>
          <w:b/>
          <w:bCs/>
          <w:sz w:val="32"/>
          <w:szCs w:val="32"/>
          <w:highlight w:val="none"/>
          <w:lang w:val="en-US"/>
        </w:rPr>
      </w:pPr>
      <w:r>
        <w:rPr>
          <w:rFonts w:hint="eastAsia" w:ascii="仿宋_GB2312" w:hAnsi="仿宋_GB2312" w:eastAsia="仿宋_GB2312" w:cs="仿宋_GB2312"/>
          <w:sz w:val="32"/>
          <w:szCs w:val="32"/>
          <w:highlight w:val="none"/>
          <w:lang w:val="en-US" w:eastAsia="zh-CN"/>
        </w:rPr>
        <w:t>可持续影响指标：提高环境监察能力，年度指标值有所提升，实际完成值有所提升，指标完成率100%。</w:t>
      </w:r>
    </w:p>
    <w:p>
      <w:pPr>
        <w:spacing w:line="540" w:lineRule="exact"/>
        <w:ind w:firstLine="640"/>
        <w:rPr>
          <w:rFonts w:hint="eastAsia" w:ascii="仿宋_GB2312" w:hAnsi="仿宋_GB2312" w:eastAsia="仿宋_GB2312" w:cs="仿宋_GB2312"/>
          <w:sz w:val="32"/>
          <w:szCs w:val="32"/>
          <w:highlight w:val="none"/>
          <w:lang w:eastAsia="zh-CN"/>
        </w:rPr>
      </w:pPr>
      <w:r>
        <w:rPr>
          <w:rStyle w:val="23"/>
          <w:rFonts w:hint="eastAsia" w:ascii="仿宋" w:hAnsi="仿宋" w:eastAsia="仿宋" w:cs="仿宋"/>
          <w:b w:val="0"/>
          <w:bCs/>
          <w:spacing w:val="-4"/>
          <w:sz w:val="32"/>
          <w:szCs w:val="32"/>
          <w:highlight w:val="none"/>
          <w:lang w:eastAsia="zh-CN"/>
        </w:rPr>
        <w:t>项目实施效益从社会效益、可持续效益对项目</w:t>
      </w:r>
      <w:r>
        <w:rPr>
          <w:rStyle w:val="52"/>
          <w:rFonts w:hint="eastAsia"/>
          <w:color w:val="auto"/>
          <w:highlight w:val="none"/>
        </w:rPr>
        <w:t>效益</w:t>
      </w:r>
      <w:r>
        <w:rPr>
          <w:rStyle w:val="23"/>
          <w:rFonts w:hint="eastAsia" w:ascii="仿宋" w:hAnsi="仿宋" w:eastAsia="仿宋" w:cs="仿宋"/>
          <w:b w:val="0"/>
          <w:bCs/>
          <w:spacing w:val="-4"/>
          <w:sz w:val="32"/>
          <w:szCs w:val="32"/>
          <w:highlight w:val="none"/>
          <w:lang w:eastAsia="zh-CN"/>
        </w:rPr>
        <w:t>情况进行考察，完成及时性</w:t>
      </w:r>
      <w:r>
        <w:rPr>
          <w:rFonts w:hint="eastAsia" w:ascii="仿宋_GB2312" w:hAnsi="仿宋_GB2312" w:eastAsia="仿宋_GB2312" w:cs="仿宋_GB2312"/>
          <w:sz w:val="32"/>
          <w:szCs w:val="32"/>
          <w:highlight w:val="none"/>
          <w:lang w:eastAsia="zh-CN"/>
        </w:rPr>
        <w:t>分值</w:t>
      </w:r>
      <w:r>
        <w:rPr>
          <w:rFonts w:hint="eastAsia" w:ascii="仿宋_GB2312" w:hAnsi="仿宋_GB2312" w:eastAsia="仿宋_GB2312" w:cs="仿宋_GB2312"/>
          <w:sz w:val="32"/>
          <w:szCs w:val="32"/>
          <w:highlight w:val="none"/>
          <w:lang w:val="en-US" w:eastAsia="zh-CN"/>
        </w:rPr>
        <w:t>30分，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40" w:lineRule="exact"/>
        <w:ind w:firstLine="640"/>
        <w:rPr>
          <w:rFonts w:hint="eastAsia" w:ascii="仿宋_GB2312" w:hAnsi="仿宋_GB2312" w:eastAsia="仿宋_GB2312" w:cs="仿宋_GB2312"/>
          <w:sz w:val="32"/>
          <w:szCs w:val="32"/>
          <w:highlight w:val="none"/>
          <w:lang w:val="en-US" w:eastAsia="zh-CN"/>
        </w:rPr>
      </w:pPr>
      <w:r>
        <w:rPr>
          <w:rStyle w:val="52"/>
          <w:color w:val="auto"/>
          <w:highlight w:val="none"/>
        </w:rPr>
        <w:t>满意度指标</w:t>
      </w:r>
      <w:r>
        <w:rPr>
          <w:rStyle w:val="52"/>
          <w:rFonts w:hint="eastAsia"/>
          <w:color w:val="auto"/>
          <w:highlight w:val="none"/>
        </w:rPr>
        <w:t>方面：</w:t>
      </w:r>
      <w:r>
        <w:rPr>
          <w:rFonts w:hint="eastAsia" w:ascii="仿宋_GB2312" w:hAnsi="仿宋_GB2312" w:eastAsia="仿宋_GB2312" w:cs="仿宋_GB2312"/>
          <w:sz w:val="32"/>
          <w:szCs w:val="32"/>
          <w:highlight w:val="none"/>
          <w:lang w:eastAsia="zh-CN"/>
        </w:rPr>
        <w:t>使用人员满意度指标，年度指标值≥</w:t>
      </w:r>
      <w:r>
        <w:rPr>
          <w:rFonts w:hint="eastAsia" w:ascii="仿宋_GB2312" w:hAnsi="仿宋_GB2312" w:eastAsia="仿宋_GB2312" w:cs="仿宋_GB2312"/>
          <w:sz w:val="32"/>
          <w:szCs w:val="32"/>
          <w:highlight w:val="none"/>
          <w:lang w:val="en-US" w:eastAsia="zh-CN"/>
        </w:rPr>
        <w:t>90%，实际完成值90%。指标完成率100%。</w:t>
      </w:r>
    </w:p>
    <w:p>
      <w:pPr>
        <w:spacing w:line="540" w:lineRule="exact"/>
        <w:ind w:firstLine="640"/>
        <w:rPr>
          <w:rFonts w:hint="default" w:ascii="仿宋_GB2312" w:hAnsi="仿宋_GB2312" w:eastAsia="仿宋_GB2312" w:cs="仿宋_GB2312"/>
          <w:sz w:val="32"/>
          <w:szCs w:val="32"/>
          <w:highlight w:val="none"/>
          <w:lang w:val="en-US" w:eastAsia="zh-CN"/>
        </w:rPr>
      </w:pPr>
      <w:r>
        <w:rPr>
          <w:rStyle w:val="23"/>
          <w:rFonts w:hint="eastAsia" w:ascii="仿宋" w:hAnsi="仿宋" w:eastAsia="仿宋" w:cs="仿宋"/>
          <w:b w:val="0"/>
          <w:bCs/>
          <w:spacing w:val="-4"/>
          <w:sz w:val="32"/>
          <w:szCs w:val="32"/>
          <w:highlight w:val="none"/>
          <w:lang w:eastAsia="zh-CN"/>
        </w:rPr>
        <w:t>对项目满意度情况进行考察，</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600" w:lineRule="exact"/>
        <w:ind w:firstLine="641"/>
        <w:rPr>
          <w:rStyle w:val="52"/>
          <w:color w:val="auto"/>
        </w:rPr>
      </w:pPr>
      <w:r>
        <w:rPr>
          <w:rFonts w:hint="eastAsia" w:ascii="黑体" w:hAnsi="黑体" w:eastAsia="黑体"/>
          <w:sz w:val="32"/>
          <w:szCs w:val="32"/>
        </w:rPr>
        <w:t>五、主要经验及做法、存在的问题及原因分析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Style w:val="18"/>
        <w:spacing w:before="0" w:line="600" w:lineRule="exact"/>
        <w:ind w:firstLine="640" w:firstLineChars="200"/>
        <w:jc w:val="both"/>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主要经验及做法</w:t>
      </w:r>
      <w:r>
        <w:rPr>
          <w:rFonts w:hint="eastAsia" w:ascii="仿宋_GB2312" w:hAnsi="仿宋_GB2312" w:eastAsia="仿宋_GB2312" w:cs="仿宋_GB2312"/>
          <w:b w:val="0"/>
          <w:bCs w:val="0"/>
          <w:kern w:val="2"/>
          <w:lang w:eastAsia="zh-CN"/>
        </w:rPr>
        <w:t>：我局</w:t>
      </w:r>
      <w:r>
        <w:rPr>
          <w:rFonts w:hint="eastAsia" w:ascii="仿宋_GB2312" w:hAnsi="仿宋_GB2312" w:eastAsia="仿宋_GB2312" w:cs="仿宋_GB2312"/>
          <w:b w:val="0"/>
          <w:bCs w:val="0"/>
          <w:kern w:val="2"/>
        </w:rPr>
        <w:t>严格坚持先做事、后验收、再拨付的原则，杜绝了资金被挤占和挪用现象的发生</w:t>
      </w:r>
      <w:r>
        <w:rPr>
          <w:rFonts w:hint="eastAsia" w:ascii="仿宋_GB2312" w:hAnsi="仿宋_GB2312" w:eastAsia="仿宋_GB2312" w:cs="仿宋_GB2312"/>
          <w:b w:val="0"/>
          <w:bCs w:val="0"/>
          <w:kern w:val="2"/>
          <w:lang w:eastAsia="zh-CN"/>
        </w:rPr>
        <w:t>，通过</w:t>
      </w:r>
      <w:r>
        <w:rPr>
          <w:rFonts w:hint="eastAsia" w:ascii="仿宋_GB2312" w:hAnsi="仿宋_GB2312" w:eastAsia="仿宋_GB2312" w:cs="仿宋_GB2312"/>
          <w:b w:val="0"/>
          <w:bCs w:val="0"/>
          <w:kern w:val="2"/>
          <w:lang w:val="en-US" w:eastAsia="zh-CN"/>
        </w:rPr>
        <w:t>塔城地区辐射监管快速响应能力项目的实施，</w:t>
      </w:r>
      <w:r>
        <w:rPr>
          <w:rFonts w:hint="eastAsia" w:ascii="仿宋_GB2312" w:hAnsi="仿宋_GB2312" w:eastAsia="仿宋_GB2312" w:cs="仿宋_GB2312"/>
          <w:b w:val="0"/>
          <w:bCs w:val="0"/>
          <w:kern w:val="2"/>
          <w:lang w:eastAsia="zh-CN"/>
        </w:rPr>
        <w:t>进一步推进塔城地区辐射监管能力建设和补齐核与辐射快速响应能力建设项目，全面夯实核与辐射事故应急监测、预警、抢险救援、信息系统、后果评价和决策指挥能力建设的基础，达到自治区对各地州市辐射环境监管和应急监测任务的要求，</w:t>
      </w:r>
      <w:r>
        <w:rPr>
          <w:rFonts w:hint="eastAsia" w:ascii="仿宋_GB2312" w:hAnsi="仿宋_GB2312" w:eastAsia="仿宋_GB2312" w:cs="仿宋_GB2312"/>
          <w:b w:val="0"/>
          <w:bCs w:val="0"/>
          <w:kern w:val="2"/>
        </w:rPr>
        <w:t>项目开展过程中取得了良好的效果</w:t>
      </w:r>
      <w:r>
        <w:rPr>
          <w:rFonts w:hint="eastAsia" w:ascii="仿宋_GB2312" w:hAnsi="仿宋_GB2312" w:eastAsia="仿宋_GB2312" w:cs="仿宋_GB2312"/>
          <w:b w:val="0"/>
          <w:bCs w:val="0"/>
          <w:kern w:val="2"/>
          <w:lang w:eastAsia="zh-CN"/>
        </w:rPr>
        <w:t>，满足辐射环境监管需要</w:t>
      </w:r>
      <w:r>
        <w:rPr>
          <w:rFonts w:hint="eastAsia" w:ascii="仿宋_GB2312" w:hAnsi="仿宋_GB2312" w:eastAsia="仿宋_GB2312" w:cs="仿宋_GB2312"/>
          <w:b w:val="0"/>
          <w:bCs w:val="0"/>
          <w:kern w:val="2"/>
          <w:lang w:val="en-US" w:eastAsia="zh-CN"/>
        </w:rPr>
        <w:t>,</w:t>
      </w:r>
      <w:r>
        <w:rPr>
          <w:rFonts w:hint="eastAsia" w:ascii="仿宋_GB2312" w:hAnsi="仿宋_GB2312" w:eastAsia="仿宋_GB2312" w:cs="仿宋_GB2312"/>
          <w:b w:val="0"/>
          <w:bCs w:val="0"/>
          <w:kern w:val="2"/>
          <w:lang w:eastAsia="zh-CN"/>
        </w:rPr>
        <w:t>维护人民群众环境权益。</w:t>
      </w:r>
    </w:p>
    <w:p>
      <w:pPr>
        <w:keepNext/>
        <w:keepLines/>
        <w:numPr>
          <w:ilvl w:val="0"/>
          <w:numId w:val="3"/>
        </w:num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18"/>
        <w:numPr>
          <w:ilvl w:val="0"/>
          <w:numId w:val="4"/>
        </w:numPr>
        <w:ind w:firstLine="640" w:firstLineChars="200"/>
        <w:jc w:val="both"/>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存在的问题</w:t>
      </w:r>
    </w:p>
    <w:p>
      <w:pPr>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eastAsia="仿宋_GB2312"/>
          <w:sz w:val="32"/>
          <w:szCs w:val="32"/>
          <w:lang w:eastAsia="zh-CN"/>
        </w:rPr>
        <w:t>一方面在工作落实到实处可能会有些遗漏，落实具体项目实施不够到位。在以后的工作中，要继续熟悉业务，将业务熟练</w:t>
      </w:r>
      <w:bookmarkStart w:id="2" w:name="_GoBack"/>
      <w:bookmarkEnd w:id="2"/>
      <w:r>
        <w:rPr>
          <w:rFonts w:hint="eastAsia" w:eastAsia="仿宋_GB2312"/>
          <w:sz w:val="32"/>
          <w:szCs w:val="32"/>
          <w:lang w:eastAsia="zh-CN"/>
        </w:rPr>
        <w:t>度尽可能做到极致。另一方面</w:t>
      </w:r>
      <w:r>
        <w:rPr>
          <w:rFonts w:hint="eastAsia" w:ascii="仿宋_GB2312" w:hAnsi="仿宋_GB2312" w:eastAsia="仿宋_GB2312" w:cs="仿宋_GB2312"/>
          <w:b w:val="0"/>
          <w:bCs w:val="0"/>
          <w:kern w:val="2"/>
          <w:sz w:val="32"/>
          <w:szCs w:val="32"/>
          <w:highlight w:val="none"/>
          <w:lang w:val="en-US" w:eastAsia="zh-CN" w:bidi="ar-SA"/>
        </w:rPr>
        <w:t xml:space="preserve">项目前期工作不全面，没有深入细致科学规划地做好各项前期工作，项目实施前期已根据项目内容设置绩效目标，但项目绩效目标级绩效指标设置过于笼统，不够细化，在实际实施绩效监控和绩效评价时较为困难。绩效目标的设置应符合量化、细化的要求。 </w:t>
      </w:r>
    </w:p>
    <w:p>
      <w:pPr>
        <w:numPr>
          <w:ilvl w:val="0"/>
          <w:numId w:val="4"/>
        </w:numPr>
        <w:spacing w:line="60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原因分析</w:t>
      </w:r>
    </w:p>
    <w:p>
      <w:pPr>
        <w:pStyle w:val="18"/>
        <w:spacing w:before="0" w:line="600" w:lineRule="exact"/>
        <w:ind w:firstLine="640" w:firstLineChars="200"/>
        <w:jc w:val="both"/>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lang w:eastAsia="zh-CN"/>
        </w:rPr>
        <w:t>由于人员较少，在以后的工作中，要继续熟悉业务，将业务熟练度尽可能做到极致。</w:t>
      </w:r>
      <w:r>
        <w:rPr>
          <w:rFonts w:hint="eastAsia" w:ascii="仿宋_GB2312" w:hAnsi="仿宋_GB2312" w:eastAsia="仿宋_GB2312" w:cs="仿宋_GB2312"/>
          <w:b w:val="0"/>
          <w:bCs w:val="0"/>
          <w:kern w:val="2"/>
          <w:sz w:val="32"/>
          <w:szCs w:val="32"/>
          <w:lang w:val="en-US" w:eastAsia="zh-CN" w:bidi="ar-SA"/>
        </w:rPr>
        <w:t>加强项目预算审核，严格按照项目资金年度额度编制预算；项目预算及支出管理的科学性有待进一步提高，做好项目实施过程中资金支出与预算的比较，定期向项目实施人员了解项目执行情况，更好的提高资金使用效率。</w:t>
      </w:r>
    </w:p>
    <w:p>
      <w:pPr>
        <w:numPr>
          <w:ilvl w:val="0"/>
          <w:numId w:val="5"/>
        </w:numPr>
        <w:spacing w:line="600" w:lineRule="exact"/>
        <w:ind w:firstLine="641"/>
        <w:rPr>
          <w:rFonts w:ascii="黑体" w:hAnsi="黑体" w:eastAsia="黑体"/>
          <w:sz w:val="32"/>
          <w:szCs w:val="32"/>
        </w:rPr>
      </w:pPr>
      <w:r>
        <w:rPr>
          <w:rFonts w:hint="eastAsia" w:ascii="黑体" w:hAnsi="黑体" w:eastAsia="黑体"/>
          <w:sz w:val="32"/>
          <w:szCs w:val="32"/>
        </w:rPr>
        <w:t>有关建议</w:t>
      </w:r>
    </w:p>
    <w:p>
      <w:pPr>
        <w:numPr>
          <w:ilvl w:val="0"/>
          <w:numId w:val="6"/>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保证项目实施的制度需进一步完善，制定适合本单位的实施全面实施绩效预算管理工作办法，加强预算绩效管理工作的考核，切实做到“花钱必问效，无效必问责”。</w:t>
      </w:r>
    </w:p>
    <w:p>
      <w:pPr>
        <w:numPr>
          <w:ilvl w:val="0"/>
          <w:numId w:val="6"/>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细化绩效指标，各项指标可以进一步细化，</w:t>
      </w:r>
      <w:r>
        <w:rPr>
          <w:rFonts w:hint="eastAsia" w:ascii="仿宋_GB2312" w:hAnsi="仿宋_GB2312" w:eastAsia="仿宋_GB2312" w:cs="仿宋_GB2312"/>
          <w:sz w:val="32"/>
          <w:szCs w:val="32"/>
          <w:lang w:val="en-US" w:eastAsia="zh-CN"/>
        </w:rPr>
        <w:t>提高</w:t>
      </w:r>
      <w:r>
        <w:rPr>
          <w:rFonts w:hint="eastAsia" w:ascii="仿宋_GB2312" w:hAnsi="仿宋_GB2312" w:eastAsia="仿宋_GB2312" w:cs="仿宋_GB2312"/>
          <w:sz w:val="32"/>
          <w:szCs w:val="32"/>
        </w:rPr>
        <w:t>项目可量化的三级绩效指标。</w:t>
      </w:r>
    </w:p>
    <w:p>
      <w:pPr>
        <w:numPr>
          <w:ilvl w:val="0"/>
          <w:numId w:val="5"/>
        </w:numPr>
        <w:spacing w:line="60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18"/>
        <w:ind w:firstLine="640" w:firstLineChars="200"/>
        <w:jc w:val="both"/>
        <w:rPr>
          <w:rFonts w:hint="default" w:ascii="仿宋_GB2312" w:hAnsi="仿宋_GB2312" w:eastAsia="仿宋_GB2312" w:cs="仿宋_GB2312"/>
          <w:b w:val="0"/>
          <w:bCs w:val="0"/>
          <w:kern w:val="2"/>
          <w:highlight w:val="none"/>
          <w:lang w:val="en-US" w:eastAsia="zh-CN"/>
        </w:rPr>
      </w:pPr>
      <w:r>
        <w:rPr>
          <w:rFonts w:hint="eastAsia" w:ascii="仿宋_GB2312" w:hAnsi="仿宋_GB2312" w:eastAsia="仿宋_GB2312" w:cs="仿宋_GB2312"/>
          <w:b w:val="0"/>
          <w:bCs w:val="0"/>
          <w:kern w:val="2"/>
          <w:highlight w:val="none"/>
          <w:lang w:val="en-US" w:eastAsia="zh-CN"/>
        </w:rPr>
        <w:t>无。</w:t>
      </w:r>
    </w:p>
    <w:p>
      <w:pPr>
        <w:rPr>
          <w:rFonts w:hint="eastAsia" w:ascii="黑体" w:hAnsi="黑体" w:eastAsia="黑体"/>
          <w:sz w:val="32"/>
          <w:szCs w:val="32"/>
        </w:rPr>
      </w:pPr>
    </w:p>
    <w:p>
      <w:pPr>
        <w:pStyle w:val="18"/>
        <w:rPr>
          <w:rFonts w:hint="eastAsia" w:ascii="黑体" w:hAnsi="黑体" w:eastAsia="黑体"/>
          <w:sz w:val="32"/>
          <w:szCs w:val="32"/>
        </w:rPr>
      </w:pPr>
    </w:p>
    <w:p/>
    <w:p>
      <w:pPr>
        <w:pStyle w:val="18"/>
        <w:rPr>
          <w:rFonts w:hint="eastAsia" w:ascii="黑体" w:hAnsi="黑体" w:eastAsia="黑体"/>
          <w:sz w:val="32"/>
          <w:szCs w:val="32"/>
        </w:rPr>
      </w:pPr>
    </w:p>
    <w:p>
      <w:pPr>
        <w:rPr>
          <w:rFonts w:hint="eastAsia" w:ascii="黑体" w:hAnsi="黑体" w:eastAsia="黑体"/>
          <w:sz w:val="32"/>
          <w:szCs w:val="32"/>
        </w:rPr>
      </w:pPr>
    </w:p>
    <w:p>
      <w:pPr>
        <w:pStyle w:val="18"/>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w:t>
            </w:r>
          </w:p>
        </w:tc>
      </w:tr>
    </w:tbl>
    <w:p>
      <w:pPr>
        <w:pStyle w:val="18"/>
        <w:rPr>
          <w:rFonts w:hint="default"/>
          <w:lang w:val="en-US" w:eastAsia="zh-CN"/>
        </w:rPr>
      </w:pPr>
    </w:p>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0"/>
        <w:tblW w:w="8832" w:type="dxa"/>
        <w:tblInd w:w="96" w:type="dxa"/>
        <w:shd w:val="clear" w:color="auto" w:fill="auto"/>
        <w:tblLayout w:type="fixed"/>
        <w:tblCellMar>
          <w:top w:w="0" w:type="dxa"/>
          <w:left w:w="108" w:type="dxa"/>
          <w:bottom w:w="0" w:type="dxa"/>
          <w:right w:w="108" w:type="dxa"/>
        </w:tblCellMar>
      </w:tblPr>
      <w:tblGrid>
        <w:gridCol w:w="864"/>
        <w:gridCol w:w="864"/>
        <w:gridCol w:w="864"/>
        <w:gridCol w:w="1027"/>
        <w:gridCol w:w="1140"/>
        <w:gridCol w:w="1176"/>
        <w:gridCol w:w="1068"/>
        <w:gridCol w:w="828"/>
        <w:gridCol w:w="1001"/>
      </w:tblGrid>
      <w:tr>
        <w:tblPrEx>
          <w:shd w:val="clear" w:color="auto" w:fill="auto"/>
          <w:tblCellMar>
            <w:top w:w="0" w:type="dxa"/>
            <w:left w:w="108" w:type="dxa"/>
            <w:bottom w:w="0" w:type="dxa"/>
            <w:right w:w="108" w:type="dxa"/>
          </w:tblCellMar>
        </w:tblPrEx>
        <w:trPr>
          <w:trHeight w:val="409" w:hRule="atLeast"/>
        </w:trPr>
        <w:tc>
          <w:tcPr>
            <w:tcW w:w="700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 xml:space="preserve">          项目支出绩效自评表</w:t>
            </w:r>
          </w:p>
        </w:tc>
        <w:tc>
          <w:tcPr>
            <w:tcW w:w="1829" w:type="dxa"/>
            <w:gridSpan w:val="2"/>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32"/>
                <w:szCs w:val="32"/>
                <w:u w:val="none"/>
              </w:rPr>
            </w:pPr>
          </w:p>
        </w:tc>
      </w:tr>
      <w:tr>
        <w:tblPrEx>
          <w:shd w:val="clear" w:color="auto" w:fill="auto"/>
          <w:tblCellMar>
            <w:top w:w="0" w:type="dxa"/>
            <w:left w:w="108" w:type="dxa"/>
            <w:bottom w:w="0" w:type="dxa"/>
            <w:right w:w="108" w:type="dxa"/>
          </w:tblCellMar>
        </w:tblPrEx>
        <w:trPr>
          <w:trHeight w:val="409" w:hRule="atLeast"/>
        </w:trPr>
        <w:tc>
          <w:tcPr>
            <w:tcW w:w="700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 xml:space="preserve">        （   2020 年度）</w:t>
            </w:r>
          </w:p>
        </w:tc>
        <w:tc>
          <w:tcPr>
            <w:tcW w:w="1829" w:type="dxa"/>
            <w:gridSpan w:val="2"/>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32"/>
                <w:szCs w:val="32"/>
                <w:u w:val="none"/>
              </w:rPr>
            </w:pPr>
          </w:p>
        </w:tc>
      </w:tr>
      <w:tr>
        <w:tblPrEx>
          <w:shd w:val="clear" w:color="auto" w:fill="auto"/>
          <w:tblCellMar>
            <w:top w:w="0" w:type="dxa"/>
            <w:left w:w="108" w:type="dxa"/>
            <w:bottom w:w="0" w:type="dxa"/>
            <w:right w:w="108" w:type="dxa"/>
          </w:tblCellMar>
        </w:tblPrEx>
        <w:trPr>
          <w:trHeight w:val="270" w:hRule="atLeast"/>
        </w:trPr>
        <w:tc>
          <w:tcPr>
            <w:tcW w:w="1728"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1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塔城地区辐射监管快速响应能力项目</w:t>
            </w:r>
          </w:p>
        </w:tc>
      </w:tr>
      <w:tr>
        <w:tblPrEx>
          <w:shd w:val="clear" w:color="auto" w:fill="auto"/>
          <w:tblCellMar>
            <w:top w:w="0" w:type="dxa"/>
            <w:left w:w="108" w:type="dxa"/>
            <w:bottom w:w="0" w:type="dxa"/>
            <w:right w:w="108" w:type="dxa"/>
          </w:tblCellMar>
        </w:tblPrEx>
        <w:trPr>
          <w:trHeight w:val="270" w:hRule="atLeast"/>
        </w:trPr>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7104" w:type="dxa"/>
            <w:gridSpan w:val="7"/>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塔城地区生态环境局</w:t>
            </w:r>
          </w:p>
        </w:tc>
      </w:tr>
      <w:tr>
        <w:tblPrEx>
          <w:shd w:val="clear" w:color="auto" w:fill="auto"/>
          <w:tblCellMar>
            <w:top w:w="0" w:type="dxa"/>
            <w:left w:w="108" w:type="dxa"/>
            <w:bottom w:w="0" w:type="dxa"/>
            <w:right w:w="108" w:type="dxa"/>
          </w:tblCellMar>
        </w:tblPrEx>
        <w:trPr>
          <w:trHeight w:val="392" w:hRule="atLeast"/>
        </w:trPr>
        <w:tc>
          <w:tcPr>
            <w:tcW w:w="17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891" w:type="dxa"/>
            <w:gridSpan w:val="2"/>
            <w:tcBorders>
              <w:top w:val="nil"/>
              <w:left w:val="nil"/>
              <w:bottom w:val="nil"/>
              <w:right w:val="nil"/>
            </w:tcBorders>
            <w:shd w:val="clear" w:color="auto" w:fill="auto"/>
            <w:noWrap/>
            <w:vAlign w:val="bottom"/>
          </w:tcPr>
          <w:p>
            <w:pPr>
              <w:jc w:val="center"/>
              <w:rPr>
                <w:rFonts w:hint="eastAsia" w:ascii="Arial" w:hAnsi="Arial" w:cs="Arial"/>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r>
      <w:tr>
        <w:tblPrEx>
          <w:shd w:val="clear" w:color="auto" w:fill="auto"/>
          <w:tblCellMar>
            <w:top w:w="0" w:type="dxa"/>
            <w:left w:w="108" w:type="dxa"/>
            <w:bottom w:w="0" w:type="dxa"/>
            <w:right w:w="108" w:type="dxa"/>
          </w:tblCellMar>
        </w:tblPrEx>
        <w:trPr>
          <w:trHeight w:val="392" w:hRule="atLeast"/>
        </w:trPr>
        <w:tc>
          <w:tcPr>
            <w:tcW w:w="17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r>
      <w:tr>
        <w:tblPrEx>
          <w:shd w:val="clear" w:color="auto" w:fill="auto"/>
          <w:tblCellMar>
            <w:top w:w="0" w:type="dxa"/>
            <w:left w:w="108" w:type="dxa"/>
            <w:bottom w:w="0" w:type="dxa"/>
            <w:right w:w="108" w:type="dxa"/>
          </w:tblCellMar>
        </w:tblPrEx>
        <w:trPr>
          <w:trHeight w:val="372" w:hRule="atLeast"/>
        </w:trPr>
        <w:tc>
          <w:tcPr>
            <w:tcW w:w="17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433" w:hRule="atLeast"/>
        </w:trPr>
        <w:tc>
          <w:tcPr>
            <w:tcW w:w="17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392" w:hRule="atLeast"/>
        </w:trPr>
        <w:tc>
          <w:tcPr>
            <w:tcW w:w="17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c>
          <w:tcPr>
            <w:tcW w:w="2897"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w:t>
            </w:r>
          </w:p>
        </w:tc>
      </w:tr>
      <w:tr>
        <w:tblPrEx>
          <w:shd w:val="clear" w:color="auto" w:fill="auto"/>
          <w:tblCellMar>
            <w:top w:w="0" w:type="dxa"/>
            <w:left w:w="108" w:type="dxa"/>
            <w:bottom w:w="0" w:type="dxa"/>
            <w:right w:w="108" w:type="dxa"/>
          </w:tblCellMar>
        </w:tblPrEx>
        <w:trPr>
          <w:trHeight w:val="433"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071"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154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71"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1.完成购买车载数据通讯与处理系统、购置表面污染仪、个人剂量报警器、个人防护设备、空气采样器、手提式巡测谱仪、热释光探测器，辐射监测车辆。</w:t>
            </w:r>
          </w:p>
        </w:tc>
        <w:tc>
          <w:tcPr>
            <w:tcW w:w="2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1.完成购买车载数据通讯与处理系统、购置表面污染仪、个人剂量报警器、个人防护设备、空气采样器、手提式巡测谱仪、热释光探测器，辐射监测车辆。</w:t>
            </w:r>
          </w:p>
        </w:tc>
      </w:tr>
      <w:tr>
        <w:tblPrEx>
          <w:shd w:val="clear" w:color="auto" w:fill="auto"/>
          <w:tblCellMar>
            <w:top w:w="0" w:type="dxa"/>
            <w:left w:w="108" w:type="dxa"/>
            <w:bottom w:w="0" w:type="dxa"/>
            <w:right w:w="108" w:type="dxa"/>
          </w:tblCellMar>
        </w:tblPrEx>
        <w:trPr>
          <w:trHeight w:val="312"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3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6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82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0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312"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6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购置车载数据通讯与处理系统</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1套</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购置αβ表面污染仪</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1套</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个人剂量报警器</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个人防护设备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3套</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空气采样器</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手提式巡测γ谱仪</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热释光探测器</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≥1台</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辐射监管快速响应车辆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≥1辆</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1辆</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购置合同执行违规率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shd w:val="clear" w:color="auto" w:fill="auto"/>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购置验收通过率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本年支付购置成本</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≤54.26万元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54.26万元</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业务保障能力提升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有所提升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提高环境监察能力</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有所提升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4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3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pStyle w:val="2"/>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rPr>
          <w:rStyle w:val="23"/>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0B6CC028"/>
    <w:multiLevelType w:val="singleLevel"/>
    <w:tmpl w:val="0B6CC028"/>
    <w:lvl w:ilvl="0" w:tentative="0">
      <w:start w:val="1"/>
      <w:numFmt w:val="decimal"/>
      <w:suff w:val="nothing"/>
      <w:lvlText w:val="%1、"/>
      <w:lvlJc w:val="left"/>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5CA33FA1"/>
    <w:multiLevelType w:val="singleLevel"/>
    <w:tmpl w:val="5CA33FA1"/>
    <w:lvl w:ilvl="0" w:tentative="0">
      <w:start w:val="1"/>
      <w:numFmt w:val="chineseCounting"/>
      <w:suff w:val="nothing"/>
      <w:lvlText w:val="（%1）"/>
      <w:lvlJc w:val="left"/>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8C662D4"/>
    <w:rsid w:val="08D23BDF"/>
    <w:rsid w:val="09BD4D95"/>
    <w:rsid w:val="0F8D41CB"/>
    <w:rsid w:val="117E75ED"/>
    <w:rsid w:val="11C75270"/>
    <w:rsid w:val="12637CC3"/>
    <w:rsid w:val="12E657C5"/>
    <w:rsid w:val="14827FF3"/>
    <w:rsid w:val="167C7687"/>
    <w:rsid w:val="168B3546"/>
    <w:rsid w:val="18F65138"/>
    <w:rsid w:val="1918116B"/>
    <w:rsid w:val="19BD71CE"/>
    <w:rsid w:val="1A2374E0"/>
    <w:rsid w:val="1BA61D1C"/>
    <w:rsid w:val="1C317CE2"/>
    <w:rsid w:val="1DD45808"/>
    <w:rsid w:val="1DED42AC"/>
    <w:rsid w:val="20005763"/>
    <w:rsid w:val="20FB313D"/>
    <w:rsid w:val="220B4804"/>
    <w:rsid w:val="282475E3"/>
    <w:rsid w:val="2C6100C1"/>
    <w:rsid w:val="3264220D"/>
    <w:rsid w:val="32F430F9"/>
    <w:rsid w:val="3963178C"/>
    <w:rsid w:val="3F067403"/>
    <w:rsid w:val="3F0E15E7"/>
    <w:rsid w:val="41CC2676"/>
    <w:rsid w:val="46710636"/>
    <w:rsid w:val="46B21672"/>
    <w:rsid w:val="49244E4E"/>
    <w:rsid w:val="4CCB2B74"/>
    <w:rsid w:val="4D695862"/>
    <w:rsid w:val="4D930057"/>
    <w:rsid w:val="4F552460"/>
    <w:rsid w:val="4FCC6863"/>
    <w:rsid w:val="500A214A"/>
    <w:rsid w:val="51395E11"/>
    <w:rsid w:val="522D604D"/>
    <w:rsid w:val="5297585E"/>
    <w:rsid w:val="52AD7D6F"/>
    <w:rsid w:val="5549519D"/>
    <w:rsid w:val="5557596B"/>
    <w:rsid w:val="58A606A3"/>
    <w:rsid w:val="5B596DFC"/>
    <w:rsid w:val="5B9D21F7"/>
    <w:rsid w:val="5DF03945"/>
    <w:rsid w:val="637C2815"/>
    <w:rsid w:val="63C01196"/>
    <w:rsid w:val="6D0A5D93"/>
    <w:rsid w:val="74AF5BB8"/>
    <w:rsid w:val="759302D0"/>
    <w:rsid w:val="77C453CE"/>
    <w:rsid w:val="780806A5"/>
    <w:rsid w:val="7A353D0B"/>
    <w:rsid w:val="7AAB044D"/>
    <w:rsid w:val="7ACE1DF7"/>
    <w:rsid w:val="7AE3741A"/>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3"/>
    <w:qFormat/>
    <w:uiPriority w:val="0"/>
    <w:pPr>
      <w:spacing w:after="0"/>
      <w:ind w:firstLine="200" w:firstLineChars="200"/>
    </w:p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18"/>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5</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2025-09-05T10:23:11Z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FAFAF47B082142638BE80E81364AB1EE</vt:lpwstr>
  </property>
</Properties>
</file>