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bCs w:val="0"/>
          <w:kern w:val="0"/>
          <w:sz w:val="52"/>
          <w:szCs w:val="52"/>
        </w:rPr>
      </w:pPr>
    </w:p>
    <w:p>
      <w:pPr>
        <w:spacing w:line="540" w:lineRule="exact"/>
        <w:jc w:val="center"/>
        <w:rPr>
          <w:rFonts w:hint="eastAsia" w:ascii="方正小标宋简体" w:hAnsi="方正小标宋简体" w:eastAsia="方正小标宋简体" w:cs="方正小标宋简体"/>
          <w:b/>
          <w:bCs w:val="0"/>
          <w:kern w:val="0"/>
          <w:sz w:val="44"/>
          <w:szCs w:val="44"/>
        </w:rPr>
      </w:pPr>
      <w:r>
        <w:rPr>
          <w:rFonts w:hint="eastAsia" w:ascii="方正小标宋简体" w:hAnsi="方正小标宋简体" w:eastAsia="方正小标宋简体" w:cs="方正小标宋简体"/>
          <w:b/>
          <w:bCs w:val="0"/>
          <w:kern w:val="0"/>
          <w:sz w:val="44"/>
          <w:szCs w:val="44"/>
          <w:lang w:val="en-US" w:eastAsia="zh-CN"/>
        </w:rPr>
        <w:t>第二次全国污染源普查</w:t>
      </w:r>
      <w:r>
        <w:rPr>
          <w:rFonts w:hint="eastAsia" w:ascii="方正小标宋简体" w:hAnsi="方正小标宋简体" w:eastAsia="方正小标宋简体" w:cs="方正小标宋简体"/>
          <w:b/>
          <w:bCs w:val="0"/>
          <w:kern w:val="0"/>
          <w:sz w:val="44"/>
          <w:szCs w:val="44"/>
        </w:rPr>
        <w:t>资金项目支出</w:t>
      </w:r>
    </w:p>
    <w:p>
      <w:pPr>
        <w:spacing w:line="540" w:lineRule="exact"/>
        <w:jc w:val="center"/>
        <w:rPr>
          <w:rFonts w:hint="eastAsia" w:ascii="方正小标宋简体" w:hAnsi="方正小标宋简体" w:eastAsia="方正小标宋简体" w:cs="方正小标宋简体"/>
          <w:b/>
          <w:bCs w:val="0"/>
          <w:kern w:val="0"/>
          <w:sz w:val="44"/>
          <w:szCs w:val="44"/>
        </w:rPr>
      </w:pPr>
      <w:r>
        <w:rPr>
          <w:rFonts w:hint="eastAsia" w:ascii="方正小标宋简体" w:hAnsi="方正小标宋简体" w:eastAsia="方正小标宋简体" w:cs="方正小标宋简体"/>
          <w:b/>
          <w:bCs w:val="0"/>
          <w:kern w:val="0"/>
          <w:sz w:val="44"/>
          <w:szCs w:val="44"/>
        </w:rPr>
        <w:t>绩效评价报告</w:t>
      </w: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 20</w:t>
      </w:r>
      <w:r>
        <w:rPr>
          <w:rFonts w:hint="eastAsia" w:ascii="仿宋_GB2312" w:hAnsi="仿宋_GB2312" w:eastAsia="仿宋_GB2312" w:cs="仿宋_GB2312"/>
          <w:kern w:val="0"/>
          <w:sz w:val="36"/>
          <w:szCs w:val="36"/>
          <w:lang w:val="en-US" w:eastAsia="zh-CN"/>
        </w:rPr>
        <w:t>20</w:t>
      </w:r>
      <w:r>
        <w:rPr>
          <w:rFonts w:hint="eastAsia" w:ascii="仿宋_GB2312" w:hAnsi="仿宋_GB2312" w:eastAsia="仿宋_GB2312" w:cs="仿宋_GB2312"/>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line="560" w:lineRule="exact"/>
        <w:ind w:firstLine="720" w:firstLineChars="200"/>
        <w:jc w:val="center"/>
        <w:textAlignment w:val="auto"/>
        <w:rPr>
          <w:rFonts w:hint="default" w:hAnsi="宋体" w:eastAsia="仿宋_GB2312" w:cs="宋体"/>
          <w:kern w:val="0"/>
          <w:sz w:val="36"/>
          <w:szCs w:val="36"/>
          <w:lang w:val="en-US" w:eastAsia="zh-CN"/>
        </w:rPr>
      </w:pPr>
      <w:r>
        <w:rPr>
          <w:rFonts w:hint="eastAsia" w:hAnsi="宋体" w:eastAsia="仿宋_GB2312" w:cs="宋体"/>
          <w:kern w:val="0"/>
          <w:sz w:val="36"/>
          <w:szCs w:val="36"/>
        </w:rPr>
        <w:t>项目名称：</w:t>
      </w:r>
      <w:r>
        <w:rPr>
          <w:rFonts w:hint="eastAsia" w:hAnsi="宋体" w:eastAsia="仿宋_GB2312" w:cs="宋体"/>
          <w:kern w:val="0"/>
          <w:sz w:val="36"/>
          <w:szCs w:val="36"/>
          <w:lang w:val="en-US" w:eastAsia="zh-CN"/>
        </w:rPr>
        <w:t>第二次全国污染源普查专项</w:t>
      </w:r>
    </w:p>
    <w:p>
      <w:pPr>
        <w:keepNext w:val="0"/>
        <w:keepLines w:val="0"/>
        <w:pageBreakBefore w:val="0"/>
        <w:widowControl w:val="0"/>
        <w:kinsoku/>
        <w:wordWrap/>
        <w:overflowPunct/>
        <w:topLinePunct w:val="0"/>
        <w:autoSpaceDE/>
        <w:autoSpaceDN/>
        <w:bidi w:val="0"/>
        <w:adjustRightInd/>
        <w:snapToGrid/>
        <w:spacing w:line="560" w:lineRule="exact"/>
        <w:ind w:firstLine="720" w:firstLineChars="200"/>
        <w:jc w:val="center"/>
        <w:textAlignment w:val="auto"/>
        <w:rPr>
          <w:rFonts w:hint="default" w:hAnsi="宋体" w:eastAsia="仿宋_GB2312" w:cs="宋体"/>
          <w:kern w:val="0"/>
          <w:sz w:val="36"/>
          <w:szCs w:val="36"/>
          <w:lang w:val="en-US" w:eastAsia="zh-CN"/>
        </w:rPr>
      </w:pPr>
      <w:r>
        <w:rPr>
          <w:rFonts w:hint="eastAsia" w:hAnsi="宋体" w:eastAsia="仿宋_GB2312" w:cs="宋体"/>
          <w:kern w:val="0"/>
          <w:sz w:val="36"/>
          <w:szCs w:val="36"/>
          <w:lang w:val="en-US" w:eastAsia="zh-CN"/>
        </w:rPr>
        <w:t xml:space="preserve"> </w:t>
      </w:r>
      <w:r>
        <w:rPr>
          <w:rFonts w:hint="eastAsia" w:hAnsi="宋体" w:eastAsia="仿宋_GB2312" w:cs="宋体"/>
          <w:kern w:val="0"/>
          <w:sz w:val="36"/>
          <w:szCs w:val="36"/>
        </w:rPr>
        <w:t>实施单位（公章）：</w:t>
      </w:r>
      <w:r>
        <w:rPr>
          <w:rFonts w:hint="eastAsia" w:hAnsi="宋体" w:eastAsia="仿宋_GB2312" w:cs="宋体"/>
          <w:kern w:val="0"/>
          <w:sz w:val="36"/>
          <w:szCs w:val="36"/>
          <w:lang w:val="en-US" w:eastAsia="zh-CN"/>
        </w:rPr>
        <w:t>塔城地区环境监测站</w:t>
      </w:r>
    </w:p>
    <w:p>
      <w:pPr>
        <w:keepNext w:val="0"/>
        <w:keepLines w:val="0"/>
        <w:pageBreakBefore w:val="0"/>
        <w:widowControl w:val="0"/>
        <w:kinsoku/>
        <w:wordWrap/>
        <w:overflowPunct/>
        <w:topLinePunct w:val="0"/>
        <w:autoSpaceDE/>
        <w:autoSpaceDN/>
        <w:bidi w:val="0"/>
        <w:adjustRightInd/>
        <w:snapToGrid/>
        <w:spacing w:line="560" w:lineRule="exact"/>
        <w:ind w:firstLine="720" w:firstLineChars="200"/>
        <w:jc w:val="center"/>
        <w:textAlignment w:val="auto"/>
        <w:rPr>
          <w:rFonts w:hint="default" w:hAnsi="宋体" w:eastAsia="仿宋_GB2312" w:cs="宋体"/>
          <w:kern w:val="0"/>
          <w:sz w:val="36"/>
          <w:szCs w:val="36"/>
          <w:lang w:val="en-US" w:eastAsia="zh-CN"/>
        </w:rPr>
      </w:pPr>
      <w:r>
        <w:rPr>
          <w:rFonts w:hint="eastAsia" w:hAnsi="宋体" w:eastAsia="仿宋_GB2312" w:cs="宋体"/>
          <w:kern w:val="0"/>
          <w:sz w:val="36"/>
          <w:szCs w:val="36"/>
          <w:lang w:val="en-US" w:eastAsia="zh-CN"/>
        </w:rPr>
        <w:t xml:space="preserve"> </w:t>
      </w:r>
      <w:r>
        <w:rPr>
          <w:rFonts w:hint="eastAsia" w:hAnsi="宋体" w:eastAsia="仿宋_GB2312" w:cs="宋体"/>
          <w:kern w:val="0"/>
          <w:sz w:val="36"/>
          <w:szCs w:val="36"/>
        </w:rPr>
        <w:t>主管部门（公章）：</w:t>
      </w:r>
      <w:r>
        <w:rPr>
          <w:rFonts w:hint="eastAsia" w:hAnsi="宋体" w:eastAsia="仿宋_GB2312" w:cs="宋体"/>
          <w:kern w:val="0"/>
          <w:sz w:val="36"/>
          <w:szCs w:val="36"/>
          <w:lang w:val="en-US" w:eastAsia="zh-CN"/>
        </w:rPr>
        <w:t>塔城地区生态环境局</w:t>
      </w:r>
    </w:p>
    <w:p>
      <w:pPr>
        <w:keepNext w:val="0"/>
        <w:keepLines w:val="0"/>
        <w:pageBreakBefore w:val="0"/>
        <w:widowControl w:val="0"/>
        <w:kinsoku/>
        <w:wordWrap/>
        <w:overflowPunct/>
        <w:topLinePunct w:val="0"/>
        <w:autoSpaceDE/>
        <w:autoSpaceDN/>
        <w:bidi w:val="0"/>
        <w:adjustRightInd/>
        <w:snapToGrid/>
        <w:spacing w:line="560" w:lineRule="exact"/>
        <w:ind w:firstLine="1440" w:firstLineChars="400"/>
        <w:jc w:val="both"/>
        <w:textAlignment w:val="auto"/>
        <w:rPr>
          <w:rFonts w:hint="default" w:hAnsi="宋体" w:eastAsia="仿宋_GB2312" w:cs="宋体"/>
          <w:kern w:val="0"/>
          <w:sz w:val="36"/>
          <w:szCs w:val="36"/>
          <w:lang w:val="en-US"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val="en-US" w:eastAsia="zh-CN"/>
        </w:rPr>
        <w:t>李万钢</w:t>
      </w:r>
    </w:p>
    <w:p>
      <w:pPr>
        <w:keepNext w:val="0"/>
        <w:keepLines w:val="0"/>
        <w:pageBreakBefore w:val="0"/>
        <w:widowControl w:val="0"/>
        <w:kinsoku/>
        <w:wordWrap/>
        <w:overflowPunct/>
        <w:topLinePunct w:val="0"/>
        <w:autoSpaceDE/>
        <w:autoSpaceDN/>
        <w:bidi w:val="0"/>
        <w:adjustRightInd/>
        <w:snapToGrid/>
        <w:spacing w:line="560" w:lineRule="exact"/>
        <w:ind w:firstLine="1440" w:firstLineChars="400"/>
        <w:jc w:val="both"/>
        <w:textAlignment w:val="auto"/>
        <w:rPr>
          <w:rFonts w:hAnsi="宋体" w:eastAsia="仿宋_GB2312" w:cs="宋体"/>
          <w:kern w:val="0"/>
          <w:sz w:val="36"/>
          <w:szCs w:val="36"/>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2021</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4</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6</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540" w:lineRule="exact"/>
        <w:rPr>
          <w:rStyle w:val="20"/>
          <w:rFonts w:ascii="黑体" w:hAnsi="黑体" w:eastAsia="黑体"/>
          <w:b w:val="0"/>
          <w:spacing w:val="-4"/>
          <w:sz w:val="32"/>
          <w:szCs w:val="32"/>
        </w:rPr>
      </w:pPr>
    </w:p>
    <w:p>
      <w:pPr>
        <w:spacing w:line="540" w:lineRule="exact"/>
        <w:ind w:firstLine="640"/>
        <w:rPr>
          <w:rStyle w:val="20"/>
          <w:rFonts w:ascii="黑体" w:hAnsi="黑体" w:eastAsia="黑体"/>
          <w:b w:val="0"/>
          <w:spacing w:val="-4"/>
          <w:sz w:val="32"/>
          <w:szCs w:val="32"/>
        </w:rPr>
      </w:pPr>
    </w:p>
    <w:p>
      <w:pPr>
        <w:pStyle w:val="2"/>
      </w:pPr>
    </w:p>
    <w:p>
      <w:pPr>
        <w:pageBreakBefore w:val="0"/>
        <w:kinsoku/>
        <w:wordWrap/>
        <w:overflowPunct/>
        <w:topLinePunct w:val="0"/>
        <w:autoSpaceDE/>
        <w:autoSpaceDN/>
        <w:bidi w:val="0"/>
        <w:adjustRightInd/>
        <w:snapToGrid/>
        <w:spacing w:line="560" w:lineRule="exact"/>
        <w:textAlignment w:val="auto"/>
        <w:rPr>
          <w:rStyle w:val="20"/>
          <w:rFonts w:ascii="黑体" w:hAnsi="黑体" w:eastAsia="黑体"/>
          <w:b w:val="0"/>
          <w:spacing w:val="-4"/>
          <w:sz w:val="32"/>
          <w:szCs w:val="32"/>
        </w:rPr>
      </w:pPr>
      <w:bookmarkStart w:id="2" w:name="_GoBack"/>
    </w:p>
    <w:p>
      <w:pPr>
        <w:keepNext w:val="0"/>
        <w:keepLines w:val="0"/>
        <w:pageBreakBefore w:val="0"/>
        <w:widowControl w:val="0"/>
        <w:shd w:val="clear"/>
        <w:kinsoku/>
        <w:wordWrap/>
        <w:overflowPunct/>
        <w:topLinePunct w:val="0"/>
        <w:autoSpaceDE/>
        <w:autoSpaceDN/>
        <w:bidi w:val="0"/>
        <w:adjustRightInd/>
        <w:snapToGrid/>
        <w:spacing w:line="560" w:lineRule="exact"/>
        <w:ind w:firstLine="643" w:firstLineChars="200"/>
        <w:textAlignment w:val="auto"/>
        <w:rPr>
          <w:rFonts w:ascii="黑体" w:hAnsi="黑体" w:eastAsia="黑体" w:cs="黑体"/>
          <w:b/>
          <w:bCs w:val="0"/>
          <w:sz w:val="32"/>
          <w:szCs w:val="32"/>
          <w:highlight w:val="none"/>
        </w:rPr>
      </w:pPr>
      <w:r>
        <w:rPr>
          <w:rFonts w:hint="eastAsia" w:ascii="黑体" w:hAnsi="黑体" w:eastAsia="黑体" w:cs="黑体"/>
          <w:b/>
          <w:bCs w:val="0"/>
          <w:sz w:val="32"/>
          <w:szCs w:val="32"/>
          <w:highlight w:val="none"/>
        </w:rPr>
        <w:t>一、基本情况</w:t>
      </w:r>
    </w:p>
    <w:p>
      <w:pPr>
        <w:keepNext w:val="0"/>
        <w:keepLines w:val="0"/>
        <w:pageBreakBefore w:val="0"/>
        <w:widowControl w:val="0"/>
        <w:shd w:val="clear"/>
        <w:kinsoku/>
        <w:wordWrap/>
        <w:overflowPunct/>
        <w:topLinePunct w:val="0"/>
        <w:autoSpaceDE/>
        <w:autoSpaceDN/>
        <w:bidi w:val="0"/>
        <w:adjustRightInd/>
        <w:snapToGrid/>
        <w:spacing w:line="560" w:lineRule="exact"/>
        <w:ind w:firstLine="643" w:firstLineChars="200"/>
        <w:textAlignment w:val="auto"/>
        <w:rPr>
          <w:rFonts w:ascii="楷体_GB2312" w:hAnsi="楷体_GB2312" w:eastAsia="楷体_GB2312" w:cs="楷体_GB2312"/>
          <w:b/>
          <w:bCs/>
          <w:sz w:val="32"/>
          <w:szCs w:val="32"/>
          <w:highlight w:val="none"/>
        </w:rPr>
      </w:pPr>
      <w:r>
        <w:rPr>
          <w:rFonts w:hint="eastAsia" w:ascii="楷体_GB2312" w:hAnsi="楷体_GB2312" w:eastAsia="楷体_GB2312" w:cs="楷体_GB2312"/>
          <w:b/>
          <w:bCs/>
          <w:sz w:val="32"/>
          <w:szCs w:val="32"/>
          <w:highlight w:val="none"/>
        </w:rPr>
        <w:t>（一）项目概况</w:t>
      </w:r>
    </w:p>
    <w:p>
      <w:pPr>
        <w:keepNext w:val="0"/>
        <w:keepLines w:val="0"/>
        <w:pageBreakBefore w:val="0"/>
        <w:widowControl w:val="0"/>
        <w:shd w:val="clear"/>
        <w:kinsoku/>
        <w:wordWrap/>
        <w:overflowPunct/>
        <w:topLinePunct w:val="0"/>
        <w:autoSpaceDE/>
        <w:autoSpaceDN/>
        <w:bidi w:val="0"/>
        <w:adjustRightInd/>
        <w:snapToGrid/>
        <w:spacing w:line="560" w:lineRule="exact"/>
        <w:ind w:firstLine="643" w:firstLineChars="200"/>
        <w:textAlignment w:val="auto"/>
        <w:rPr>
          <w:rFonts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1、项目背景</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（1）项目实施的政策背景</w:t>
      </w:r>
    </w:p>
    <w:p>
      <w:pPr>
        <w:keepNext w:val="0"/>
        <w:keepLines w:val="0"/>
        <w:pageBreakBefore w:val="0"/>
        <w:widowControl w:val="0"/>
        <w:shd w:val="clear"/>
        <w:kinsoku/>
        <w:wordWrap/>
        <w:overflowPunct/>
        <w:topLinePunct w:val="0"/>
        <w:autoSpaceDE/>
        <w:autoSpaceDN/>
        <w:bidi w:val="0"/>
        <w:adjustRightInd/>
        <w:snapToGrid/>
        <w:spacing w:line="560" w:lineRule="exact"/>
        <w:ind w:firstLine="624" w:firstLineChars="200"/>
        <w:textAlignment w:val="auto"/>
        <w:rPr>
          <w:rStyle w:val="20"/>
          <w:rFonts w:hint="eastAsia" w:ascii="仿宋_GB2312" w:hAnsi="楷体" w:eastAsia="仿宋_GB2312" w:cstheme="minorBidi"/>
          <w:b w:val="0"/>
          <w:spacing w:val="-4"/>
          <w:sz w:val="32"/>
          <w:szCs w:val="32"/>
          <w:highlight w:val="none"/>
          <w:lang w:eastAsia="zh-CN"/>
        </w:rPr>
      </w:pPr>
      <w:r>
        <w:rPr>
          <w:rStyle w:val="20"/>
          <w:rFonts w:hint="eastAsia" w:ascii="仿宋_GB2312" w:hAnsi="楷体" w:eastAsia="仿宋_GB2312" w:cstheme="minorBidi"/>
          <w:b w:val="0"/>
          <w:spacing w:val="-4"/>
          <w:sz w:val="32"/>
          <w:szCs w:val="32"/>
          <w:highlight w:val="none"/>
        </w:rPr>
        <w:t>第二次全国污染源普查是在国务院统一部署下，依据《</w:t>
      </w:r>
      <w:r>
        <w:rPr>
          <w:rStyle w:val="20"/>
          <w:rFonts w:hint="eastAsia" w:ascii="仿宋_GB2312" w:hAnsi="楷体" w:eastAsia="仿宋_GB2312" w:cstheme="minorBidi"/>
          <w:b w:val="0"/>
          <w:spacing w:val="-4"/>
          <w:sz w:val="32"/>
          <w:szCs w:val="32"/>
          <w:highlight w:val="none"/>
          <w:lang w:val="en-US" w:eastAsia="zh-CN"/>
        </w:rPr>
        <w:t>国务院办公厅关于印发第二次全国污染源普查方案的通知</w:t>
      </w:r>
      <w:r>
        <w:rPr>
          <w:rStyle w:val="20"/>
          <w:rFonts w:hint="eastAsia" w:ascii="仿宋_GB2312" w:hAnsi="楷体" w:eastAsia="仿宋_GB2312" w:cstheme="minorBidi"/>
          <w:b w:val="0"/>
          <w:spacing w:val="-4"/>
          <w:sz w:val="32"/>
          <w:szCs w:val="32"/>
          <w:highlight w:val="none"/>
        </w:rPr>
        <w:t>》开展的一次重大国情调查，从服务国家战略决策、打好污染防治攻坚战、推动生态文明建设</w:t>
      </w:r>
      <w:r>
        <w:rPr>
          <w:rStyle w:val="20"/>
          <w:rFonts w:hint="eastAsia" w:ascii="仿宋_GB2312" w:hAnsi="楷体" w:eastAsia="仿宋_GB2312" w:cstheme="minorBidi"/>
          <w:b w:val="0"/>
          <w:spacing w:val="-4"/>
          <w:sz w:val="32"/>
          <w:szCs w:val="32"/>
          <w:highlight w:val="none"/>
          <w:lang w:eastAsia="zh-CN"/>
        </w:rPr>
        <w:t>、</w:t>
      </w:r>
      <w:r>
        <w:rPr>
          <w:rStyle w:val="20"/>
          <w:rFonts w:hint="eastAsia" w:ascii="仿宋_GB2312" w:hAnsi="楷体" w:eastAsia="仿宋_GB2312" w:cstheme="minorBidi"/>
          <w:b w:val="0"/>
          <w:spacing w:val="-4"/>
          <w:sz w:val="32"/>
          <w:szCs w:val="32"/>
          <w:highlight w:val="none"/>
        </w:rPr>
        <w:t>建设美丽中国的高度，全面认识开展第二次</w:t>
      </w:r>
      <w:r>
        <w:rPr>
          <w:rStyle w:val="20"/>
          <w:rFonts w:hint="eastAsia" w:ascii="仿宋_GB2312" w:hAnsi="楷体" w:eastAsia="仿宋_GB2312" w:cstheme="minorBidi"/>
          <w:b w:val="0"/>
          <w:spacing w:val="-4"/>
          <w:sz w:val="32"/>
          <w:szCs w:val="32"/>
          <w:highlight w:val="none"/>
          <w:lang w:val="en-US" w:eastAsia="zh-CN"/>
        </w:rPr>
        <w:t>全国</w:t>
      </w:r>
      <w:r>
        <w:rPr>
          <w:rStyle w:val="20"/>
          <w:rFonts w:hint="eastAsia" w:ascii="仿宋_GB2312" w:hAnsi="楷体" w:eastAsia="仿宋_GB2312" w:cstheme="minorBidi"/>
          <w:b w:val="0"/>
          <w:spacing w:val="-4"/>
          <w:sz w:val="32"/>
          <w:szCs w:val="32"/>
          <w:highlight w:val="none"/>
        </w:rPr>
        <w:t>污染源普查的重大意义。</w:t>
      </w:r>
    </w:p>
    <w:p>
      <w:pPr>
        <w:pStyle w:val="2"/>
        <w:keepNext w:val="0"/>
        <w:keepLines w:val="0"/>
        <w:pageBreakBefore w:val="0"/>
        <w:widowControl w:val="0"/>
        <w:numPr>
          <w:ilvl w:val="0"/>
          <w:numId w:val="1"/>
        </w:numPr>
        <w:shd w:val="clear"/>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hAnsi="仿宋_GB2312" w:eastAsia="仿宋_GB2312" w:cs="仿宋_GB2312"/>
          <w:b w:val="0"/>
          <w:bCs w:val="0"/>
          <w:kern w:val="0"/>
          <w:highlight w:val="none"/>
        </w:rPr>
      </w:pPr>
      <w:r>
        <w:rPr>
          <w:rFonts w:hint="eastAsia" w:ascii="仿宋_GB2312" w:hAnsi="仿宋_GB2312" w:eastAsia="仿宋_GB2312" w:cs="仿宋_GB2312"/>
          <w:b w:val="0"/>
          <w:bCs w:val="0"/>
          <w:kern w:val="0"/>
          <w:highlight w:val="none"/>
        </w:rPr>
        <w:t>项目实施的历史概况</w:t>
      </w:r>
    </w:p>
    <w:p>
      <w:pPr>
        <w:pStyle w:val="2"/>
        <w:keepNext w:val="0"/>
        <w:keepLines w:val="0"/>
        <w:pageBreakBefore w:val="0"/>
        <w:widowControl w:val="0"/>
        <w:shd w:val="clear"/>
        <w:kinsoku/>
        <w:wordWrap/>
        <w:overflowPunct/>
        <w:topLinePunct w:val="0"/>
        <w:autoSpaceDE/>
        <w:autoSpaceDN/>
        <w:bidi w:val="0"/>
        <w:adjustRightInd/>
        <w:snapToGrid/>
        <w:spacing w:before="0" w:after="0" w:line="560" w:lineRule="exact"/>
        <w:ind w:firstLine="624" w:firstLineChars="200"/>
        <w:jc w:val="both"/>
        <w:textAlignment w:val="auto"/>
        <w:rPr>
          <w:rFonts w:hint="eastAsia" w:ascii="仿宋_GB2312" w:hAnsi="仿宋_GB2312" w:eastAsia="仿宋_GB2312" w:cs="仿宋_GB2312"/>
          <w:b w:val="0"/>
          <w:bCs w:val="0"/>
          <w:kern w:val="2"/>
          <w:highlight w:val="none"/>
        </w:rPr>
      </w:pPr>
      <w:r>
        <w:rPr>
          <w:rStyle w:val="20"/>
          <w:rFonts w:hint="eastAsia" w:ascii="仿宋_GB2312" w:hAnsi="楷体" w:eastAsia="仿宋_GB2312" w:cstheme="minorBidi"/>
          <w:b w:val="0"/>
          <w:bCs/>
          <w:spacing w:val="-4"/>
          <w:sz w:val="32"/>
          <w:szCs w:val="32"/>
          <w:highlight w:val="none"/>
          <w:lang w:val="en-US" w:eastAsia="zh-CN"/>
        </w:rPr>
        <w:t>塔城地区</w:t>
      </w:r>
      <w:r>
        <w:rPr>
          <w:rStyle w:val="20"/>
          <w:rFonts w:hint="eastAsia" w:ascii="仿宋_GB2312" w:hAnsi="楷体" w:eastAsia="仿宋_GB2312" w:cstheme="minorBidi"/>
          <w:b w:val="0"/>
          <w:bCs/>
          <w:spacing w:val="-4"/>
          <w:sz w:val="32"/>
          <w:szCs w:val="32"/>
          <w:highlight w:val="none"/>
          <w:lang w:eastAsia="zh-CN"/>
        </w:rPr>
        <w:t>第</w:t>
      </w:r>
      <w:r>
        <w:rPr>
          <w:rStyle w:val="20"/>
          <w:rFonts w:hint="eastAsia" w:ascii="仿宋_GB2312" w:hAnsi="楷体" w:eastAsia="仿宋_GB2312" w:cstheme="minorBidi"/>
          <w:b w:val="0"/>
          <w:bCs/>
          <w:spacing w:val="-4"/>
          <w:sz w:val="32"/>
          <w:szCs w:val="32"/>
          <w:highlight w:val="none"/>
          <w:lang w:val="en-US" w:eastAsia="zh-CN"/>
        </w:rPr>
        <w:t>二</w:t>
      </w:r>
      <w:r>
        <w:rPr>
          <w:rStyle w:val="20"/>
          <w:rFonts w:hint="eastAsia" w:ascii="仿宋_GB2312" w:hAnsi="楷体" w:eastAsia="仿宋_GB2312" w:cstheme="minorBidi"/>
          <w:b w:val="0"/>
          <w:bCs/>
          <w:spacing w:val="-4"/>
          <w:sz w:val="32"/>
          <w:szCs w:val="32"/>
          <w:highlight w:val="none"/>
          <w:lang w:eastAsia="zh-CN"/>
        </w:rPr>
        <w:t>次</w:t>
      </w:r>
      <w:r>
        <w:rPr>
          <w:rStyle w:val="20"/>
          <w:rFonts w:hint="eastAsia" w:ascii="仿宋_GB2312" w:hAnsi="楷体" w:eastAsia="仿宋_GB2312" w:cstheme="minorBidi"/>
          <w:b w:val="0"/>
          <w:bCs/>
          <w:spacing w:val="-4"/>
          <w:sz w:val="32"/>
          <w:szCs w:val="32"/>
          <w:highlight w:val="none"/>
          <w:lang w:val="en-US" w:eastAsia="zh-CN"/>
        </w:rPr>
        <w:t>全国</w:t>
      </w:r>
      <w:r>
        <w:rPr>
          <w:rStyle w:val="20"/>
          <w:rFonts w:hint="eastAsia" w:ascii="仿宋_GB2312" w:hAnsi="楷体" w:eastAsia="仿宋_GB2312" w:cstheme="minorBidi"/>
          <w:b w:val="0"/>
          <w:bCs/>
          <w:spacing w:val="-4"/>
          <w:sz w:val="32"/>
          <w:szCs w:val="32"/>
          <w:highlight w:val="none"/>
          <w:lang w:eastAsia="zh-CN"/>
        </w:rPr>
        <w:t>污染源普查工作从20</w:t>
      </w:r>
      <w:r>
        <w:rPr>
          <w:rStyle w:val="20"/>
          <w:rFonts w:hint="eastAsia" w:ascii="仿宋_GB2312" w:hAnsi="楷体" w:eastAsia="仿宋_GB2312" w:cstheme="minorBidi"/>
          <w:b w:val="0"/>
          <w:bCs/>
          <w:spacing w:val="-4"/>
          <w:sz w:val="32"/>
          <w:szCs w:val="32"/>
          <w:highlight w:val="none"/>
          <w:lang w:val="en-US" w:eastAsia="zh-CN"/>
        </w:rPr>
        <w:t>17</w:t>
      </w:r>
      <w:r>
        <w:rPr>
          <w:rStyle w:val="20"/>
          <w:rFonts w:hint="eastAsia" w:ascii="仿宋_GB2312" w:hAnsi="楷体" w:eastAsia="仿宋_GB2312" w:cstheme="minorBidi"/>
          <w:b w:val="0"/>
          <w:bCs/>
          <w:spacing w:val="-4"/>
          <w:sz w:val="32"/>
          <w:szCs w:val="32"/>
          <w:highlight w:val="none"/>
          <w:lang w:eastAsia="zh-CN"/>
        </w:rPr>
        <w:t>年</w:t>
      </w:r>
      <w:r>
        <w:rPr>
          <w:rStyle w:val="20"/>
          <w:rFonts w:hint="eastAsia" w:ascii="仿宋_GB2312" w:hAnsi="楷体" w:eastAsia="仿宋_GB2312" w:cstheme="minorBidi"/>
          <w:b w:val="0"/>
          <w:bCs/>
          <w:spacing w:val="-4"/>
          <w:sz w:val="32"/>
          <w:szCs w:val="32"/>
          <w:highlight w:val="none"/>
          <w:lang w:val="en-US" w:eastAsia="zh-CN"/>
        </w:rPr>
        <w:t>9</w:t>
      </w:r>
      <w:r>
        <w:rPr>
          <w:rStyle w:val="20"/>
          <w:rFonts w:hint="eastAsia" w:ascii="仿宋_GB2312" w:hAnsi="楷体" w:eastAsia="仿宋_GB2312" w:cstheme="minorBidi"/>
          <w:b w:val="0"/>
          <w:bCs/>
          <w:spacing w:val="-4"/>
          <w:sz w:val="32"/>
          <w:szCs w:val="32"/>
          <w:highlight w:val="none"/>
          <w:lang w:eastAsia="zh-CN"/>
        </w:rPr>
        <w:t>月份开始启动，先后经历了准备、宣传动员、选聘“两员”、入户清查、普查、数据录入上报、审核汇总、档案整理、迎</w:t>
      </w:r>
      <w:r>
        <w:rPr>
          <w:rStyle w:val="20"/>
          <w:rFonts w:hint="eastAsia" w:ascii="仿宋_GB2312" w:hAnsi="楷体" w:eastAsia="仿宋_GB2312" w:cstheme="minorBidi"/>
          <w:b w:val="0"/>
          <w:bCs/>
          <w:spacing w:val="-4"/>
          <w:sz w:val="32"/>
          <w:szCs w:val="32"/>
          <w:highlight w:val="none"/>
          <w:lang w:val="en-US" w:eastAsia="zh-CN"/>
        </w:rPr>
        <w:t>接</w:t>
      </w:r>
      <w:r>
        <w:rPr>
          <w:rStyle w:val="20"/>
          <w:rFonts w:hint="eastAsia" w:ascii="仿宋_GB2312" w:hAnsi="楷体" w:eastAsia="仿宋_GB2312" w:cstheme="minorBidi"/>
          <w:b w:val="0"/>
          <w:bCs/>
          <w:spacing w:val="-4"/>
          <w:sz w:val="32"/>
          <w:szCs w:val="32"/>
          <w:highlight w:val="none"/>
          <w:lang w:eastAsia="zh-CN"/>
        </w:rPr>
        <w:t>验收等环节。</w:t>
      </w:r>
      <w:r>
        <w:rPr>
          <w:rFonts w:hint="eastAsia" w:ascii="仿宋_GB2312" w:hAnsi="仿宋_GB2312" w:eastAsia="仿宋_GB2312" w:cs="仿宋_GB2312"/>
          <w:b w:val="0"/>
          <w:bCs w:val="0"/>
          <w:kern w:val="2"/>
          <w:highlight w:val="none"/>
        </w:rPr>
        <w:t>对于准确判断我国当前环境形势，制定实施有针对性的经济社会发展和环境保护政策、规划，不断改善环境质量，加快推进生态文明建设，补齐全面建成小康社会的生态环境短板具有重要意义。</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60" w:lineRule="exact"/>
        <w:ind w:firstLine="643" w:firstLineChars="200"/>
        <w:textAlignment w:val="auto"/>
        <w:rPr>
          <w:rFonts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项目主要内容及实施情况</w:t>
      </w:r>
    </w:p>
    <w:p>
      <w:pPr>
        <w:pStyle w:val="2"/>
        <w:keepNext w:val="0"/>
        <w:keepLines w:val="0"/>
        <w:pageBreakBefore w:val="0"/>
        <w:widowControl w:val="0"/>
        <w:shd w:val="clear"/>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_GB2312" w:eastAsia="仿宋_GB2312" w:cs="仿宋_GB2312"/>
          <w:b w:val="0"/>
          <w:bCs w:val="0"/>
          <w:kern w:val="2"/>
          <w:highlight w:val="none"/>
        </w:rPr>
      </w:pPr>
      <w:r>
        <w:rPr>
          <w:rFonts w:hint="eastAsia" w:ascii="仿宋_GB2312" w:hAnsi="仿宋_GB2312" w:eastAsia="仿宋_GB2312" w:cs="仿宋_GB2312"/>
          <w:b w:val="0"/>
          <w:bCs w:val="0"/>
          <w:kern w:val="2"/>
          <w:highlight w:val="none"/>
        </w:rPr>
        <w:t>项目主要内容：全国污染源普查</w:t>
      </w:r>
      <w:r>
        <w:rPr>
          <w:rFonts w:hint="eastAsia" w:ascii="仿宋_GB2312" w:hAnsi="仿宋_GB2312" w:eastAsia="仿宋_GB2312" w:cs="仿宋_GB2312"/>
          <w:b w:val="0"/>
          <w:bCs w:val="0"/>
          <w:kern w:val="2"/>
          <w:highlight w:val="none"/>
          <w:lang w:eastAsia="zh-CN"/>
        </w:rPr>
        <w:t>的目的是摸清各类污染源基本情况，了解污染源数量、结构和分布情况，掌握国家、区域、流域、行业污染物产生、排放和处理情况，建立健全重点污染源档案、污染源信息数据库和环境统计平台，为加强污染源监管、改善环境质量、防控环境风险、服务环境与发展综合决策提供依据。</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highlight w:val="none"/>
        </w:rPr>
      </w:pPr>
      <w:r>
        <w:rPr>
          <w:rFonts w:hint="eastAsia" w:ascii="仿宋_GB2312" w:hAnsi="仿宋_GB2312" w:eastAsia="仿宋_GB2312" w:cs="仿宋_GB2312"/>
          <w:sz w:val="32"/>
          <w:szCs w:val="32"/>
          <w:highlight w:val="none"/>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本项目总投资</w:t>
      </w:r>
      <w:r>
        <w:rPr>
          <w:rFonts w:hint="eastAsia" w:ascii="仿宋_GB2312" w:hAnsi="仿宋_GB2312" w:eastAsia="仿宋_GB2312" w:cs="仿宋_GB2312"/>
          <w:sz w:val="32"/>
          <w:szCs w:val="32"/>
          <w:highlight w:val="none"/>
          <w:lang w:val="en-US" w:eastAsia="zh-CN"/>
        </w:rPr>
        <w:t>28.89</w:t>
      </w:r>
      <w:r>
        <w:rPr>
          <w:rFonts w:hint="eastAsia" w:ascii="仿宋_GB2312" w:hAnsi="仿宋_GB2312" w:eastAsia="仿宋_GB2312" w:cs="仿宋_GB2312"/>
          <w:sz w:val="32"/>
          <w:szCs w:val="32"/>
          <w:highlight w:val="none"/>
        </w:rPr>
        <w:t>万元，其中：财政本级资金</w:t>
      </w:r>
      <w:r>
        <w:rPr>
          <w:rFonts w:hint="eastAsia" w:ascii="仿宋_GB2312" w:hAnsi="仿宋_GB2312" w:eastAsia="仿宋_GB2312" w:cs="仿宋_GB2312"/>
          <w:sz w:val="32"/>
          <w:szCs w:val="32"/>
          <w:highlight w:val="none"/>
          <w:lang w:val="en-US" w:eastAsia="zh-CN"/>
        </w:rPr>
        <w:t>28.89</w:t>
      </w:r>
      <w:r>
        <w:rPr>
          <w:rFonts w:hint="eastAsia" w:ascii="仿宋_GB2312" w:hAnsi="仿宋_GB2312" w:eastAsia="仿宋_GB2312" w:cs="仿宋_GB2312"/>
          <w:sz w:val="32"/>
          <w:szCs w:val="32"/>
          <w:highlight w:val="none"/>
        </w:rPr>
        <w:t>万元。项目实际支出</w:t>
      </w:r>
      <w:r>
        <w:rPr>
          <w:rFonts w:hint="eastAsia" w:ascii="仿宋_GB2312" w:hAnsi="仿宋_GB2312" w:eastAsia="仿宋_GB2312" w:cs="仿宋_GB2312"/>
          <w:sz w:val="32"/>
          <w:szCs w:val="32"/>
          <w:highlight w:val="none"/>
          <w:lang w:val="en-US" w:eastAsia="zh-CN"/>
        </w:rPr>
        <w:t>28.89</w:t>
      </w:r>
      <w:r>
        <w:rPr>
          <w:rFonts w:hint="eastAsia" w:ascii="仿宋_GB2312" w:hAnsi="仿宋_GB2312" w:eastAsia="仿宋_GB2312" w:cs="仿宋_GB2312"/>
          <w:sz w:val="32"/>
          <w:szCs w:val="32"/>
          <w:highlight w:val="none"/>
        </w:rPr>
        <w:t>万元， 支出率为100%。</w:t>
      </w:r>
    </w:p>
    <w:p>
      <w:pPr>
        <w:keepNext w:val="0"/>
        <w:keepLines w:val="0"/>
        <w:pageBreakBefore w:val="0"/>
        <w:widowControl w:val="0"/>
        <w:shd w:val="clear"/>
        <w:kinsoku/>
        <w:wordWrap/>
        <w:overflowPunct/>
        <w:topLinePunct w:val="0"/>
        <w:autoSpaceDE/>
        <w:autoSpaceDN/>
        <w:bidi w:val="0"/>
        <w:adjustRightInd/>
        <w:snapToGrid/>
        <w:spacing w:line="560" w:lineRule="exact"/>
        <w:ind w:firstLine="643" w:firstLineChars="200"/>
        <w:textAlignment w:val="auto"/>
        <w:rPr>
          <w:rFonts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3、资金投入和使用情况</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20"/>
          <w:szCs w:val="20"/>
          <w:highlight w:val="none"/>
        </w:rPr>
      </w:pPr>
      <w:r>
        <w:rPr>
          <w:rFonts w:hint="eastAsia" w:ascii="仿宋_GB2312" w:hAnsi="仿宋_GB2312" w:eastAsia="仿宋_GB2312" w:cs="仿宋_GB2312"/>
          <w:sz w:val="32"/>
          <w:szCs w:val="32"/>
          <w:highlight w:val="none"/>
        </w:rPr>
        <w:t>（1）资金安排</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项目总投资</w:t>
      </w:r>
      <w:r>
        <w:rPr>
          <w:rFonts w:hint="eastAsia" w:ascii="仿宋_GB2312" w:hAnsi="仿宋_GB2312" w:eastAsia="仿宋_GB2312" w:cs="仿宋_GB2312"/>
          <w:sz w:val="32"/>
          <w:szCs w:val="32"/>
          <w:highlight w:val="none"/>
          <w:lang w:val="en-US" w:eastAsia="zh-CN"/>
        </w:rPr>
        <w:t>28.89</w:t>
      </w:r>
      <w:r>
        <w:rPr>
          <w:rFonts w:hint="eastAsia" w:ascii="仿宋_GB2312" w:hAnsi="仿宋_GB2312" w:eastAsia="仿宋_GB2312" w:cs="仿宋_GB2312"/>
          <w:sz w:val="32"/>
          <w:szCs w:val="32"/>
          <w:highlight w:val="none"/>
        </w:rPr>
        <w:t>万元，按照</w:t>
      </w:r>
      <w:r>
        <w:rPr>
          <w:rFonts w:hint="eastAsia" w:ascii="仿宋_GB2312" w:hAnsi="仿宋_GB2312" w:eastAsia="仿宋_GB2312" w:cs="仿宋_GB2312"/>
          <w:sz w:val="32"/>
          <w:szCs w:val="32"/>
          <w:highlight w:val="none"/>
          <w:lang w:val="en-US" w:eastAsia="zh-CN"/>
        </w:rPr>
        <w:t>财政项目</w:t>
      </w:r>
      <w:r>
        <w:rPr>
          <w:rFonts w:hint="eastAsia" w:ascii="仿宋_GB2312" w:hAnsi="仿宋_GB2312" w:eastAsia="仿宋_GB2312" w:cs="仿宋_GB2312"/>
          <w:sz w:val="32"/>
          <w:szCs w:val="32"/>
          <w:highlight w:val="none"/>
        </w:rPr>
        <w:t>资金管理办法及单位财务制度等相关规定，资金支出符合</w:t>
      </w:r>
      <w:r>
        <w:rPr>
          <w:rFonts w:hint="eastAsia" w:ascii="仿宋_GB2312" w:hAnsi="仿宋_GB2312" w:eastAsia="仿宋_GB2312" w:cs="仿宋_GB2312"/>
          <w:sz w:val="32"/>
          <w:szCs w:val="32"/>
          <w:highlight w:val="none"/>
          <w:lang w:val="en-US" w:eastAsia="zh-CN"/>
        </w:rPr>
        <w:t>第二次全国污染源普查</w:t>
      </w:r>
      <w:r>
        <w:rPr>
          <w:rFonts w:hint="eastAsia" w:ascii="仿宋_GB2312" w:hAnsi="仿宋_GB2312" w:eastAsia="仿宋_GB2312" w:cs="仿宋_GB2312"/>
          <w:sz w:val="32"/>
          <w:szCs w:val="32"/>
          <w:highlight w:val="none"/>
        </w:rPr>
        <w:t>专项资金费用范围，做到了专款专用。在项目资金拨付和使用过程中，为确保项目资金的安全性，提高项目资金使用效率，严格遵循</w:t>
      </w:r>
      <w:r>
        <w:rPr>
          <w:rFonts w:hint="eastAsia" w:ascii="仿宋_GB2312" w:hAnsi="仿宋_GB2312" w:eastAsia="仿宋_GB2312" w:cs="仿宋_GB2312"/>
          <w:sz w:val="32"/>
          <w:szCs w:val="32"/>
          <w:highlight w:val="none"/>
          <w:lang w:val="en-US" w:eastAsia="zh-CN"/>
        </w:rPr>
        <w:t>项目</w:t>
      </w:r>
      <w:r>
        <w:rPr>
          <w:rFonts w:hint="eastAsia" w:ascii="仿宋_GB2312" w:hAnsi="仿宋_GB2312" w:eastAsia="仿宋_GB2312" w:cs="仿宋_GB2312"/>
          <w:sz w:val="32"/>
          <w:szCs w:val="32"/>
          <w:highlight w:val="none"/>
        </w:rPr>
        <w:t>资金的拨付程序，认真审核项目实施各阶段的相关材料和手续，根据项目实施进展情况拨付资金。</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（2）预算资金来源及使用情况</w:t>
      </w:r>
      <w:bookmarkStart w:id="0" w:name="page10"/>
      <w:bookmarkEnd w:id="0"/>
    </w:p>
    <w:p>
      <w:pPr>
        <w:pStyle w:val="2"/>
        <w:keepNext w:val="0"/>
        <w:keepLines w:val="0"/>
        <w:pageBreakBefore w:val="0"/>
        <w:widowControl w:val="0"/>
        <w:shd w:val="clear"/>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hAnsi="仿宋_GB2312" w:eastAsia="仿宋_GB2312" w:cs="仿宋_GB2312"/>
          <w:b w:val="0"/>
          <w:bCs w:val="0"/>
          <w:kern w:val="2"/>
          <w:highlight w:val="none"/>
        </w:rPr>
      </w:pPr>
      <w:r>
        <w:rPr>
          <w:rFonts w:hint="eastAsia" w:ascii="仿宋_GB2312" w:hAnsi="仿宋_GB2312" w:eastAsia="仿宋_GB2312" w:cs="仿宋_GB2312"/>
          <w:b w:val="0"/>
          <w:bCs w:val="0"/>
          <w:kern w:val="2"/>
          <w:highlight w:val="none"/>
        </w:rPr>
        <w:t>项目预算资金来源于第二次全国污染源普查工作资金</w:t>
      </w:r>
      <w:r>
        <w:rPr>
          <w:rFonts w:hint="eastAsia" w:ascii="仿宋_GB2312" w:hAnsi="仿宋_GB2312" w:eastAsia="仿宋_GB2312" w:cs="仿宋_GB2312"/>
          <w:b w:val="0"/>
          <w:bCs w:val="0"/>
          <w:kern w:val="2"/>
          <w:highlight w:val="none"/>
          <w:lang w:val="en-US" w:eastAsia="zh-CN"/>
        </w:rPr>
        <w:t>塔财预</w:t>
      </w:r>
      <w:r>
        <w:rPr>
          <w:rFonts w:hint="eastAsia" w:ascii="仿宋_GB2312" w:hAnsi="仿宋_GB2312" w:eastAsia="仿宋_GB2312" w:cs="仿宋_GB2312"/>
          <w:b w:val="0"/>
          <w:bCs w:val="0"/>
          <w:kern w:val="2"/>
          <w:highlight w:val="none"/>
        </w:rPr>
        <w:t>（20</w:t>
      </w:r>
      <w:r>
        <w:rPr>
          <w:rFonts w:hint="eastAsia" w:ascii="仿宋_GB2312" w:hAnsi="仿宋_GB2312" w:eastAsia="仿宋_GB2312" w:cs="仿宋_GB2312"/>
          <w:b w:val="0"/>
          <w:bCs w:val="0"/>
          <w:kern w:val="2"/>
          <w:highlight w:val="none"/>
          <w:lang w:val="en-US" w:eastAsia="zh-CN"/>
        </w:rPr>
        <w:t>20</w:t>
      </w:r>
      <w:r>
        <w:rPr>
          <w:rFonts w:hint="eastAsia" w:ascii="仿宋_GB2312" w:hAnsi="仿宋_GB2312" w:eastAsia="仿宋_GB2312" w:cs="仿宋_GB2312"/>
          <w:b w:val="0"/>
          <w:bCs w:val="0"/>
          <w:kern w:val="2"/>
          <w:highlight w:val="none"/>
        </w:rPr>
        <w:t>）</w:t>
      </w:r>
      <w:r>
        <w:rPr>
          <w:rFonts w:hint="eastAsia" w:ascii="仿宋_GB2312" w:hAnsi="仿宋_GB2312" w:eastAsia="仿宋_GB2312" w:cs="仿宋_GB2312"/>
          <w:b w:val="0"/>
          <w:bCs w:val="0"/>
          <w:kern w:val="2"/>
          <w:highlight w:val="none"/>
          <w:lang w:val="en-US" w:eastAsia="zh-CN"/>
        </w:rPr>
        <w:t>1016</w:t>
      </w:r>
      <w:r>
        <w:rPr>
          <w:rFonts w:hint="eastAsia" w:ascii="仿宋_GB2312" w:hAnsi="仿宋_GB2312" w:eastAsia="仿宋_GB2312" w:cs="仿宋_GB2312"/>
          <w:b w:val="0"/>
          <w:bCs w:val="0"/>
          <w:kern w:val="2"/>
          <w:highlight w:val="none"/>
        </w:rPr>
        <w:t>文件中批复的资金，项目资金到位</w:t>
      </w:r>
      <w:r>
        <w:rPr>
          <w:rFonts w:hint="eastAsia" w:ascii="仿宋_GB2312" w:hAnsi="仿宋_GB2312" w:eastAsia="仿宋_GB2312" w:cs="仿宋_GB2312"/>
          <w:b w:val="0"/>
          <w:bCs w:val="0"/>
          <w:kern w:val="2"/>
          <w:highlight w:val="none"/>
          <w:lang w:val="en-US" w:eastAsia="zh-CN"/>
        </w:rPr>
        <w:t>28.89</w:t>
      </w:r>
      <w:r>
        <w:rPr>
          <w:rFonts w:hint="eastAsia" w:ascii="仿宋_GB2312" w:hAnsi="仿宋_GB2312" w:eastAsia="仿宋_GB2312" w:cs="仿宋_GB2312"/>
          <w:b w:val="0"/>
          <w:bCs w:val="0"/>
          <w:kern w:val="2"/>
          <w:highlight w:val="none"/>
        </w:rPr>
        <w:t>万元，实际支出28.89万元，用于支付项目实施进程中的各项费用。</w:t>
      </w:r>
    </w:p>
    <w:p>
      <w:pPr>
        <w:keepNext w:val="0"/>
        <w:keepLines w:val="0"/>
        <w:pageBreakBefore w:val="0"/>
        <w:widowControl w:val="0"/>
        <w:shd w:val="clear"/>
        <w:kinsoku/>
        <w:wordWrap/>
        <w:overflowPunct/>
        <w:topLinePunct w:val="0"/>
        <w:autoSpaceDE/>
        <w:autoSpaceDN/>
        <w:bidi w:val="0"/>
        <w:adjustRightInd/>
        <w:snapToGrid/>
        <w:spacing w:line="560" w:lineRule="exact"/>
        <w:ind w:firstLine="643" w:firstLineChars="200"/>
        <w:textAlignment w:val="auto"/>
        <w:rPr>
          <w:rFonts w:ascii="楷体_GB2312" w:hAnsi="楷体_GB2312" w:eastAsia="楷体_GB2312" w:cs="楷体_GB2312"/>
          <w:b/>
          <w:bCs/>
          <w:sz w:val="32"/>
          <w:szCs w:val="32"/>
          <w:highlight w:val="none"/>
        </w:rPr>
      </w:pPr>
      <w:r>
        <w:rPr>
          <w:rFonts w:hint="eastAsia" w:ascii="楷体_GB2312" w:hAnsi="楷体_GB2312" w:eastAsia="楷体_GB2312" w:cs="楷体_GB2312"/>
          <w:b/>
          <w:bCs/>
          <w:sz w:val="32"/>
          <w:szCs w:val="32"/>
          <w:highlight w:val="none"/>
        </w:rPr>
        <w:t>（二）项目绩效目标</w:t>
      </w:r>
    </w:p>
    <w:p>
      <w:pPr>
        <w:keepNext w:val="0"/>
        <w:keepLines w:val="0"/>
        <w:pageBreakBefore w:val="0"/>
        <w:widowControl w:val="0"/>
        <w:shd w:val="clea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1、总体目标</w:t>
      </w:r>
    </w:p>
    <w:p>
      <w:pPr>
        <w:keepNext w:val="0"/>
        <w:keepLines w:val="0"/>
        <w:pageBreakBefore w:val="0"/>
        <w:widowControl w:val="0"/>
        <w:shd w:val="clear"/>
        <w:kinsoku/>
        <w:wordWrap/>
        <w:overflowPunct/>
        <w:topLinePunct w:val="0"/>
        <w:autoSpaceDE/>
        <w:autoSpaceDN/>
        <w:bidi w:val="0"/>
        <w:adjustRightInd/>
        <w:snapToGrid/>
        <w:spacing w:line="560" w:lineRule="exact"/>
        <w:ind w:firstLine="624" w:firstLineChars="200"/>
        <w:textAlignment w:val="auto"/>
        <w:rPr>
          <w:rStyle w:val="20"/>
          <w:rFonts w:hint="eastAsia" w:ascii="仿宋_GB2312" w:hAnsi="楷体" w:eastAsia="仿宋_GB2312" w:cstheme="minorBidi"/>
          <w:b w:val="0"/>
          <w:spacing w:val="-4"/>
          <w:sz w:val="32"/>
          <w:szCs w:val="32"/>
          <w:highlight w:val="none"/>
          <w:lang w:val="en-US" w:eastAsia="zh-CN"/>
        </w:rPr>
      </w:pPr>
      <w:r>
        <w:rPr>
          <w:rStyle w:val="20"/>
          <w:rFonts w:hint="eastAsia" w:ascii="仿宋_GB2312" w:hAnsi="楷体" w:eastAsia="仿宋_GB2312" w:cstheme="minorBidi"/>
          <w:b w:val="0"/>
          <w:spacing w:val="-4"/>
          <w:sz w:val="32"/>
          <w:szCs w:val="32"/>
          <w:highlight w:val="none"/>
          <w:lang w:val="en-US" w:eastAsia="zh-CN"/>
        </w:rPr>
        <w:t>按照国家和自治区要求，按规定要求完成塔城地区满足条件的工业园、集中式处理设施、加油站、锅炉、村镇等2000余家的污染物的汇总和数据库建设，并根据普查结果，形成塔城地区污染源普查公告、污染源普查技术报告、污染源普查数据分析报告。</w:t>
      </w:r>
    </w:p>
    <w:p>
      <w:pPr>
        <w:keepNext w:val="0"/>
        <w:keepLines w:val="0"/>
        <w:pageBreakBefore w:val="0"/>
        <w:widowControl w:val="0"/>
        <w:shd w:val="clear"/>
        <w:kinsoku/>
        <w:wordWrap/>
        <w:overflowPunct/>
        <w:topLinePunct w:val="0"/>
        <w:autoSpaceDE/>
        <w:autoSpaceDN/>
        <w:bidi w:val="0"/>
        <w:adjustRightInd/>
        <w:snapToGrid/>
        <w:spacing w:line="560" w:lineRule="exact"/>
        <w:ind w:firstLine="643" w:firstLineChars="200"/>
        <w:textAlignment w:val="auto"/>
        <w:rPr>
          <w:rFonts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2、阶段性目标</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（1）前期准备：根据《</w:t>
      </w:r>
      <w:r>
        <w:rPr>
          <w:rFonts w:hint="eastAsia" w:ascii="仿宋_GB2312" w:hAnsi="仿宋_GB2312" w:eastAsia="仿宋_GB2312" w:cs="仿宋_GB2312"/>
          <w:sz w:val="32"/>
          <w:szCs w:val="32"/>
          <w:highlight w:val="none"/>
          <w:lang w:val="en-US" w:eastAsia="zh-CN"/>
        </w:rPr>
        <w:t>塔城地区第二次全国污染源普查工作</w:t>
      </w:r>
      <w:r>
        <w:rPr>
          <w:rFonts w:hint="eastAsia" w:ascii="仿宋_GB2312" w:hAnsi="仿宋_GB2312" w:eastAsia="仿宋_GB2312" w:cs="仿宋_GB2312"/>
          <w:sz w:val="32"/>
          <w:szCs w:val="32"/>
          <w:highlight w:val="none"/>
        </w:rPr>
        <w:t>方案》，通过制定项目实施方案，经项目负责人审核通过后，有序开展后续工程。</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（2）组织实施：资金到位</w:t>
      </w:r>
      <w:r>
        <w:rPr>
          <w:rFonts w:hint="eastAsia" w:ascii="仿宋_GB2312" w:hAnsi="仿宋_GB2312" w:eastAsia="仿宋_GB2312" w:cs="仿宋_GB2312"/>
          <w:sz w:val="32"/>
          <w:szCs w:val="32"/>
          <w:highlight w:val="none"/>
          <w:lang w:eastAsia="zh-CN"/>
        </w:rPr>
        <w:t>后</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由</w:t>
      </w:r>
      <w:r>
        <w:rPr>
          <w:rFonts w:hint="eastAsia" w:ascii="仿宋_GB2312" w:hAnsi="仿宋_GB2312" w:eastAsia="仿宋_GB2312" w:cs="仿宋_GB2312"/>
          <w:sz w:val="32"/>
          <w:szCs w:val="32"/>
          <w:highlight w:val="none"/>
        </w:rPr>
        <w:t>项目责任人</w:t>
      </w:r>
      <w:r>
        <w:rPr>
          <w:rFonts w:hint="eastAsia" w:ascii="仿宋_GB2312" w:hAnsi="仿宋_GB2312" w:eastAsia="仿宋_GB2312" w:cs="仿宋_GB2312"/>
          <w:sz w:val="32"/>
          <w:szCs w:val="32"/>
          <w:highlight w:val="none"/>
          <w:lang w:eastAsia="zh-CN"/>
        </w:rPr>
        <w:t>牵头，</w:t>
      </w:r>
      <w:r>
        <w:rPr>
          <w:rFonts w:hint="eastAsia" w:ascii="仿宋_GB2312" w:hAnsi="仿宋_GB2312" w:eastAsia="仿宋_GB2312" w:cs="仿宋_GB2312"/>
          <w:sz w:val="32"/>
          <w:szCs w:val="32"/>
          <w:highlight w:val="none"/>
        </w:rPr>
        <w:t>根据</w:t>
      </w:r>
      <w:r>
        <w:rPr>
          <w:rFonts w:hint="eastAsia" w:ascii="仿宋_GB2312" w:hAnsi="仿宋_GB2312" w:eastAsia="仿宋_GB2312" w:cs="仿宋_GB2312"/>
          <w:sz w:val="32"/>
          <w:szCs w:val="32"/>
          <w:highlight w:val="none"/>
          <w:lang w:eastAsia="zh-CN"/>
        </w:rPr>
        <w:t>第二次全国污染源普查</w:t>
      </w:r>
      <w:r>
        <w:rPr>
          <w:rFonts w:hint="eastAsia" w:ascii="仿宋_GB2312" w:hAnsi="仿宋_GB2312" w:eastAsia="仿宋_GB2312" w:cs="仿宋_GB2312"/>
          <w:sz w:val="32"/>
          <w:szCs w:val="32"/>
          <w:highlight w:val="none"/>
        </w:rPr>
        <w:t>项目</w:t>
      </w:r>
      <w:r>
        <w:rPr>
          <w:rFonts w:hint="eastAsia" w:ascii="仿宋_GB2312" w:hAnsi="仿宋_GB2312" w:eastAsia="仿宋_GB2312" w:cs="仿宋_GB2312"/>
          <w:sz w:val="32"/>
          <w:szCs w:val="32"/>
          <w:highlight w:val="none"/>
          <w:lang w:eastAsia="zh-CN"/>
        </w:rPr>
        <w:t>方案</w:t>
      </w:r>
      <w:r>
        <w:rPr>
          <w:rFonts w:hint="eastAsia" w:ascii="仿宋_GB2312" w:hAnsi="仿宋_GB2312" w:eastAsia="仿宋_GB2312" w:cs="仿宋_GB2312"/>
          <w:sz w:val="32"/>
          <w:szCs w:val="32"/>
          <w:highlight w:val="none"/>
        </w:rPr>
        <w:t>要求</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进行项目安排部署，立即实施项目</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提高项目质量及效率性。</w:t>
      </w:r>
    </w:p>
    <w:p>
      <w:pPr>
        <w:keepNext w:val="0"/>
        <w:keepLines w:val="0"/>
        <w:pageBreakBefore w:val="0"/>
        <w:widowControl w:val="0"/>
        <w:shd w:val="clear"/>
        <w:kinsoku/>
        <w:wordWrap/>
        <w:overflowPunct/>
        <w:topLinePunct w:val="0"/>
        <w:autoSpaceDE/>
        <w:autoSpaceDN/>
        <w:bidi w:val="0"/>
        <w:adjustRightInd/>
        <w:snapToGrid/>
        <w:spacing w:line="560" w:lineRule="exact"/>
        <w:ind w:firstLine="643" w:firstLineChars="200"/>
        <w:textAlignment w:val="auto"/>
        <w:rPr>
          <w:rFonts w:ascii="黑体" w:hAnsi="黑体" w:eastAsia="黑体"/>
          <w:b/>
          <w:bCs/>
          <w:sz w:val="32"/>
          <w:szCs w:val="32"/>
          <w:highlight w:val="none"/>
        </w:rPr>
      </w:pPr>
      <w:r>
        <w:rPr>
          <w:rFonts w:hint="eastAsia" w:ascii="黑体" w:hAnsi="黑体" w:eastAsia="黑体"/>
          <w:b/>
          <w:bCs/>
          <w:sz w:val="32"/>
          <w:szCs w:val="32"/>
          <w:highlight w:val="none"/>
        </w:rPr>
        <w:t>二、绩效评价工作开展情况</w:t>
      </w:r>
    </w:p>
    <w:p>
      <w:pPr>
        <w:keepNext w:val="0"/>
        <w:keepLines w:val="0"/>
        <w:pageBreakBefore w:val="0"/>
        <w:widowControl w:val="0"/>
        <w:shd w:val="clear"/>
        <w:kinsoku/>
        <w:wordWrap/>
        <w:overflowPunct/>
        <w:topLinePunct w:val="0"/>
        <w:autoSpaceDE/>
        <w:autoSpaceDN/>
        <w:bidi w:val="0"/>
        <w:adjustRightInd/>
        <w:snapToGrid/>
        <w:spacing w:line="560" w:lineRule="exact"/>
        <w:ind w:firstLine="643" w:firstLineChars="200"/>
        <w:textAlignment w:val="auto"/>
        <w:rPr>
          <w:rFonts w:ascii="楷体_GB2312" w:hAnsi="楷体_GB2312" w:eastAsia="楷体_GB2312" w:cs="楷体_GB2312"/>
          <w:b/>
          <w:bCs/>
          <w:sz w:val="32"/>
          <w:szCs w:val="32"/>
          <w:highlight w:val="none"/>
        </w:rPr>
      </w:pPr>
      <w:r>
        <w:rPr>
          <w:rFonts w:hint="eastAsia" w:ascii="楷体_GB2312" w:hAnsi="楷体_GB2312" w:eastAsia="楷体_GB2312" w:cs="楷体_GB2312"/>
          <w:b/>
          <w:bCs/>
          <w:sz w:val="32"/>
          <w:szCs w:val="32"/>
          <w:highlight w:val="none"/>
        </w:rPr>
        <w:t>（一）绩效评价目的、对象和范围</w:t>
      </w:r>
    </w:p>
    <w:p>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1、绩效评价的目的</w:t>
      </w:r>
    </w:p>
    <w:p>
      <w:pPr>
        <w:keepNext w:val="0"/>
        <w:keepLines w:val="0"/>
        <w:pageBreakBefore w:val="0"/>
        <w:widowControl w:val="0"/>
        <w:shd w:val="clear"/>
        <w:kinsoku/>
        <w:wordWrap/>
        <w:overflowPunct/>
        <w:topLinePunct w:val="0"/>
        <w:autoSpaceDE/>
        <w:autoSpaceDN/>
        <w:bidi w:val="0"/>
        <w:adjustRightInd/>
        <w:snapToGrid/>
        <w:spacing w:line="560" w:lineRule="exact"/>
        <w:ind w:firstLine="624" w:firstLineChars="200"/>
        <w:textAlignment w:val="auto"/>
        <w:rPr>
          <w:rStyle w:val="20"/>
          <w:rFonts w:hint="eastAsia" w:ascii="仿宋_GB2312" w:hAnsi="楷体" w:eastAsia="仿宋_GB2312" w:cstheme="minorBidi"/>
          <w:b w:val="0"/>
          <w:spacing w:val="-4"/>
          <w:sz w:val="32"/>
          <w:szCs w:val="32"/>
          <w:highlight w:val="none"/>
          <w:lang w:eastAsia="zh-CN"/>
        </w:rPr>
      </w:pPr>
      <w:r>
        <w:rPr>
          <w:rStyle w:val="20"/>
          <w:rFonts w:hint="eastAsia" w:ascii="仿宋_GB2312" w:hAnsi="楷体" w:eastAsia="仿宋_GB2312" w:cstheme="minorBidi"/>
          <w:b w:val="0"/>
          <w:spacing w:val="-4"/>
          <w:sz w:val="32"/>
          <w:szCs w:val="32"/>
          <w:highlight w:val="none"/>
          <w:lang w:eastAsia="zh-CN"/>
        </w:rPr>
        <w:t>绩效评价旨在通过评价改善预算部门的财政支出管理，优化资源配置及提高公共服务水平。运用科学、规范的绩效评价方法，按照财政部《关于印发〈项目支出绩效评价管理办法〉的通知》，《关于印发〈</w:t>
      </w:r>
      <w:r>
        <w:rPr>
          <w:rStyle w:val="20"/>
          <w:rFonts w:hint="eastAsia" w:ascii="仿宋_GB2312" w:hAnsi="楷体" w:eastAsia="仿宋_GB2312" w:cstheme="minorBidi"/>
          <w:b w:val="0"/>
          <w:spacing w:val="-4"/>
          <w:sz w:val="32"/>
          <w:szCs w:val="32"/>
          <w:highlight w:val="none"/>
          <w:lang w:val="en-US" w:eastAsia="zh-CN"/>
        </w:rPr>
        <w:t>塔城</w:t>
      </w:r>
      <w:r>
        <w:rPr>
          <w:rStyle w:val="20"/>
          <w:rFonts w:hint="eastAsia" w:ascii="仿宋_GB2312" w:hAnsi="楷体" w:eastAsia="仿宋_GB2312" w:cstheme="minorBidi"/>
          <w:b w:val="0"/>
          <w:spacing w:val="-4"/>
          <w:sz w:val="32"/>
          <w:szCs w:val="32"/>
          <w:highlight w:val="none"/>
          <w:lang w:eastAsia="zh-CN"/>
        </w:rPr>
        <w:t>地区全面实施财政支出绩效管理的工作方案〉的通知》（塔财预〔2020〕15号），对</w:t>
      </w:r>
      <w:r>
        <w:rPr>
          <w:rStyle w:val="20"/>
          <w:rFonts w:hint="eastAsia" w:ascii="仿宋_GB2312" w:hAnsi="楷体" w:eastAsia="仿宋_GB2312" w:cstheme="minorBidi"/>
          <w:b w:val="0"/>
          <w:spacing w:val="-4"/>
          <w:sz w:val="32"/>
          <w:szCs w:val="32"/>
          <w:highlight w:val="none"/>
          <w:lang w:val="en-US" w:eastAsia="zh-CN"/>
        </w:rPr>
        <w:t>塔城地区第二次全国污染源普查</w:t>
      </w:r>
      <w:r>
        <w:rPr>
          <w:rStyle w:val="20"/>
          <w:rFonts w:hint="eastAsia" w:ascii="仿宋_GB2312" w:hAnsi="楷体" w:eastAsia="仿宋_GB2312" w:cstheme="minorBidi"/>
          <w:b w:val="0"/>
          <w:spacing w:val="-4"/>
          <w:sz w:val="32"/>
          <w:szCs w:val="32"/>
          <w:highlight w:val="none"/>
          <w:lang w:eastAsia="zh-CN"/>
        </w:rPr>
        <w:t>项目进行科学评价，评价资金项目预算编制合理性、资金使用合规性、项目管理的规范性、项目目标的实现情况、服务对象的满意度等，通过本次绩效评价来总结经验和教训，促进项目成果转化和应用，为今后类似项目的长效管理，提供可行性参考建议。从专项资金的角度提出有针对性的建议，提高对</w:t>
      </w:r>
      <w:r>
        <w:rPr>
          <w:rStyle w:val="20"/>
          <w:rFonts w:hint="eastAsia" w:ascii="仿宋_GB2312" w:hAnsi="楷体" w:eastAsia="仿宋_GB2312" w:cstheme="minorBidi"/>
          <w:b w:val="0"/>
          <w:spacing w:val="-4"/>
          <w:sz w:val="32"/>
          <w:szCs w:val="32"/>
          <w:highlight w:val="none"/>
          <w:lang w:val="en-US" w:eastAsia="zh-CN"/>
        </w:rPr>
        <w:t>塔城地区第二次全国污染源普查工作</w:t>
      </w:r>
      <w:r>
        <w:rPr>
          <w:rStyle w:val="20"/>
          <w:rFonts w:hint="eastAsia" w:ascii="仿宋_GB2312" w:hAnsi="楷体" w:eastAsia="仿宋_GB2312" w:cstheme="minorBidi"/>
          <w:b w:val="0"/>
          <w:spacing w:val="-4"/>
          <w:sz w:val="32"/>
          <w:szCs w:val="32"/>
          <w:highlight w:val="none"/>
          <w:lang w:eastAsia="zh-CN"/>
        </w:rPr>
        <w:t>的有效利用度，进一步提升</w:t>
      </w:r>
      <w:r>
        <w:rPr>
          <w:rStyle w:val="20"/>
          <w:rFonts w:hint="eastAsia" w:ascii="仿宋_GB2312" w:hAnsi="楷体" w:eastAsia="仿宋_GB2312" w:cstheme="minorBidi"/>
          <w:b w:val="0"/>
          <w:spacing w:val="-4"/>
          <w:sz w:val="32"/>
          <w:szCs w:val="32"/>
          <w:highlight w:val="none"/>
          <w:lang w:val="en-US" w:eastAsia="zh-CN"/>
        </w:rPr>
        <w:t>塔城</w:t>
      </w:r>
      <w:r>
        <w:rPr>
          <w:rStyle w:val="20"/>
          <w:rFonts w:hint="eastAsia" w:ascii="仿宋_GB2312" w:hAnsi="楷体" w:eastAsia="仿宋_GB2312" w:cstheme="minorBidi"/>
          <w:b w:val="0"/>
          <w:spacing w:val="-4"/>
          <w:sz w:val="32"/>
          <w:szCs w:val="32"/>
          <w:highlight w:val="none"/>
          <w:lang w:eastAsia="zh-CN"/>
        </w:rPr>
        <w:t>地区</w:t>
      </w:r>
      <w:r>
        <w:rPr>
          <w:rStyle w:val="20"/>
          <w:rFonts w:hint="eastAsia" w:ascii="仿宋_GB2312" w:hAnsi="楷体" w:eastAsia="仿宋_GB2312" w:cstheme="minorBidi"/>
          <w:b w:val="0"/>
          <w:spacing w:val="-4"/>
          <w:sz w:val="32"/>
          <w:szCs w:val="32"/>
          <w:highlight w:val="none"/>
          <w:lang w:val="en-US" w:eastAsia="zh-CN"/>
        </w:rPr>
        <w:t>污染源普查</w:t>
      </w:r>
      <w:r>
        <w:rPr>
          <w:rStyle w:val="20"/>
          <w:rFonts w:hint="eastAsia" w:ascii="仿宋_GB2312" w:hAnsi="楷体" w:eastAsia="仿宋_GB2312" w:cstheme="minorBidi"/>
          <w:b w:val="0"/>
          <w:spacing w:val="-4"/>
          <w:sz w:val="32"/>
          <w:szCs w:val="32"/>
          <w:highlight w:val="none"/>
          <w:lang w:eastAsia="zh-CN"/>
        </w:rPr>
        <w:t>工作的水平。</w:t>
      </w:r>
    </w:p>
    <w:p>
      <w:pPr>
        <w:keepNext w:val="0"/>
        <w:keepLines w:val="0"/>
        <w:pageBreakBefore w:val="0"/>
        <w:widowControl w:val="0"/>
        <w:shd w:val="clear"/>
        <w:kinsoku/>
        <w:wordWrap/>
        <w:overflowPunct/>
        <w:topLinePunct w:val="0"/>
        <w:autoSpaceDE/>
        <w:autoSpaceDN/>
        <w:bidi w:val="0"/>
        <w:adjustRightInd/>
        <w:snapToGrid/>
        <w:spacing w:line="560" w:lineRule="exact"/>
        <w:ind w:firstLine="627" w:firstLineChars="200"/>
        <w:textAlignment w:val="auto"/>
        <w:rPr>
          <w:rStyle w:val="20"/>
          <w:rFonts w:hint="eastAsia" w:ascii="仿宋_GB2312" w:hAnsi="楷体" w:eastAsia="仿宋_GB2312" w:cstheme="minorBidi"/>
          <w:b/>
          <w:bCs w:val="0"/>
          <w:spacing w:val="-4"/>
          <w:sz w:val="32"/>
          <w:szCs w:val="32"/>
          <w:highlight w:val="none"/>
          <w:lang w:eastAsia="zh-CN"/>
        </w:rPr>
      </w:pPr>
      <w:r>
        <w:rPr>
          <w:rStyle w:val="20"/>
          <w:rFonts w:hint="eastAsia" w:ascii="仿宋_GB2312" w:hAnsi="楷体" w:eastAsia="仿宋_GB2312" w:cstheme="minorBidi"/>
          <w:b/>
          <w:bCs w:val="0"/>
          <w:spacing w:val="-4"/>
          <w:sz w:val="32"/>
          <w:szCs w:val="32"/>
          <w:highlight w:val="none"/>
          <w:lang w:eastAsia="zh-CN"/>
        </w:rPr>
        <w:t>2、绩效评价的对象</w:t>
      </w:r>
    </w:p>
    <w:p>
      <w:pPr>
        <w:keepNext w:val="0"/>
        <w:keepLines w:val="0"/>
        <w:pageBreakBefore w:val="0"/>
        <w:widowControl w:val="0"/>
        <w:shd w:val="clear"/>
        <w:kinsoku/>
        <w:wordWrap/>
        <w:overflowPunct/>
        <w:topLinePunct w:val="0"/>
        <w:autoSpaceDE/>
        <w:autoSpaceDN/>
        <w:bidi w:val="0"/>
        <w:adjustRightInd/>
        <w:snapToGrid/>
        <w:spacing w:line="560" w:lineRule="exact"/>
        <w:ind w:firstLine="624" w:firstLineChars="200"/>
        <w:textAlignment w:val="auto"/>
        <w:rPr>
          <w:rStyle w:val="20"/>
          <w:rFonts w:hint="eastAsia" w:ascii="仿宋_GB2312" w:hAnsi="楷体" w:eastAsia="仿宋_GB2312" w:cstheme="minorBidi"/>
          <w:b w:val="0"/>
          <w:spacing w:val="-4"/>
          <w:sz w:val="32"/>
          <w:szCs w:val="32"/>
          <w:highlight w:val="none"/>
          <w:lang w:eastAsia="zh-CN"/>
        </w:rPr>
      </w:pPr>
      <w:r>
        <w:rPr>
          <w:rStyle w:val="20"/>
          <w:rFonts w:hint="eastAsia" w:ascii="仿宋_GB2312" w:hAnsi="楷体" w:eastAsia="仿宋_GB2312" w:cstheme="minorBidi"/>
          <w:b w:val="0"/>
          <w:spacing w:val="-4"/>
          <w:sz w:val="32"/>
          <w:szCs w:val="32"/>
          <w:highlight w:val="none"/>
          <w:lang w:eastAsia="zh-CN"/>
        </w:rPr>
        <w:t>评价对象为</w:t>
      </w:r>
      <w:r>
        <w:rPr>
          <w:rStyle w:val="20"/>
          <w:rFonts w:hint="eastAsia" w:ascii="仿宋_GB2312" w:hAnsi="楷体" w:eastAsia="仿宋_GB2312" w:cstheme="minorBidi"/>
          <w:b w:val="0"/>
          <w:spacing w:val="-4"/>
          <w:sz w:val="32"/>
          <w:szCs w:val="32"/>
          <w:highlight w:val="none"/>
          <w:lang w:val="en-US" w:eastAsia="zh-CN"/>
        </w:rPr>
        <w:t>塔城地区第二次全国污染源普查</w:t>
      </w:r>
      <w:r>
        <w:rPr>
          <w:rStyle w:val="20"/>
          <w:rFonts w:hint="eastAsia" w:ascii="仿宋_GB2312" w:hAnsi="楷体" w:eastAsia="仿宋_GB2312" w:cstheme="minorBidi"/>
          <w:b w:val="0"/>
          <w:spacing w:val="-4"/>
          <w:sz w:val="32"/>
          <w:szCs w:val="32"/>
          <w:highlight w:val="none"/>
          <w:lang w:eastAsia="zh-CN"/>
        </w:rPr>
        <w:t>项目，评价核心为专项资金的支出完成情况和效果。</w:t>
      </w:r>
    </w:p>
    <w:p>
      <w:pPr>
        <w:keepNext w:val="0"/>
        <w:keepLines w:val="0"/>
        <w:pageBreakBefore w:val="0"/>
        <w:widowControl w:val="0"/>
        <w:shd w:val="clear"/>
        <w:kinsoku/>
        <w:wordWrap/>
        <w:overflowPunct/>
        <w:topLinePunct w:val="0"/>
        <w:autoSpaceDE/>
        <w:autoSpaceDN/>
        <w:bidi w:val="0"/>
        <w:adjustRightInd/>
        <w:snapToGrid/>
        <w:spacing w:line="560" w:lineRule="exact"/>
        <w:ind w:firstLine="627" w:firstLineChars="200"/>
        <w:textAlignment w:val="auto"/>
        <w:rPr>
          <w:rStyle w:val="20"/>
          <w:rFonts w:hint="eastAsia" w:ascii="仿宋_GB2312" w:hAnsi="楷体" w:eastAsia="仿宋_GB2312" w:cstheme="minorBidi"/>
          <w:b/>
          <w:bCs w:val="0"/>
          <w:spacing w:val="-4"/>
          <w:sz w:val="32"/>
          <w:szCs w:val="32"/>
          <w:highlight w:val="none"/>
          <w:lang w:eastAsia="zh-CN"/>
        </w:rPr>
      </w:pPr>
      <w:r>
        <w:rPr>
          <w:rStyle w:val="20"/>
          <w:rFonts w:hint="eastAsia" w:ascii="仿宋_GB2312" w:hAnsi="楷体" w:eastAsia="仿宋_GB2312" w:cstheme="minorBidi"/>
          <w:b/>
          <w:bCs w:val="0"/>
          <w:spacing w:val="-4"/>
          <w:sz w:val="32"/>
          <w:szCs w:val="32"/>
          <w:highlight w:val="none"/>
          <w:lang w:eastAsia="zh-CN"/>
        </w:rPr>
        <w:t>3、绩效评价的范围</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本次评价从项目决策、项目</w:t>
      </w:r>
      <w:r>
        <w:rPr>
          <w:rFonts w:hint="eastAsia" w:ascii="仿宋_GB2312" w:hAnsi="仿宋_GB2312" w:eastAsia="仿宋_GB2312" w:cs="仿宋_GB2312"/>
          <w:sz w:val="32"/>
          <w:szCs w:val="32"/>
          <w:highlight w:val="none"/>
          <w:lang w:eastAsia="zh-CN"/>
        </w:rPr>
        <w:t>过程</w:t>
      </w:r>
      <w:r>
        <w:rPr>
          <w:rFonts w:hint="eastAsia" w:ascii="仿宋_GB2312" w:hAnsi="仿宋_GB2312" w:eastAsia="仿宋_GB2312" w:cs="仿宋_GB2312"/>
          <w:sz w:val="32"/>
          <w:szCs w:val="32"/>
          <w:highlight w:val="none"/>
        </w:rPr>
        <w:t>、项目产出</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项目效益四个</w:t>
      </w:r>
      <w:r>
        <w:rPr>
          <w:rFonts w:hint="eastAsia" w:ascii="仿宋_GB2312" w:hAnsi="仿宋_GB2312" w:eastAsia="仿宋_GB2312" w:cs="仿宋_GB2312"/>
          <w:sz w:val="32"/>
          <w:szCs w:val="32"/>
          <w:highlight w:val="none"/>
          <w:lang w:eastAsia="zh-CN"/>
        </w:rPr>
        <w:t>方面</w:t>
      </w:r>
      <w:r>
        <w:rPr>
          <w:rFonts w:hint="eastAsia" w:ascii="仿宋_GB2312" w:hAnsi="仿宋_GB2312" w:eastAsia="仿宋_GB2312" w:cs="仿宋_GB2312"/>
          <w:sz w:val="32"/>
          <w:szCs w:val="32"/>
          <w:highlight w:val="none"/>
        </w:rPr>
        <w:t>进行评价</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shd w:val="clear"/>
        <w:kinsoku/>
        <w:wordWrap/>
        <w:overflowPunct/>
        <w:topLinePunct w:val="0"/>
        <w:autoSpaceDE/>
        <w:autoSpaceDN/>
        <w:bidi w:val="0"/>
        <w:adjustRightInd/>
        <w:snapToGrid/>
        <w:spacing w:line="560" w:lineRule="exact"/>
        <w:ind w:firstLine="643" w:firstLineChars="200"/>
        <w:textAlignment w:val="auto"/>
        <w:rPr>
          <w:rFonts w:ascii="仿宋_GB2312"/>
          <w:highlight w:val="none"/>
        </w:rPr>
      </w:pPr>
      <w:r>
        <w:rPr>
          <w:rFonts w:hint="eastAsia" w:ascii="楷体_GB2312" w:hAnsi="楷体_GB2312" w:eastAsia="楷体_GB2312" w:cs="楷体_GB2312"/>
          <w:b/>
          <w:bCs/>
          <w:sz w:val="32"/>
          <w:szCs w:val="32"/>
          <w:highlight w:val="none"/>
        </w:rPr>
        <w:t>（二）绩效评价原则、评价指标体系（详情见表1）、评价方法、评价标准。</w:t>
      </w:r>
    </w:p>
    <w:p>
      <w:pPr>
        <w:pStyle w:val="2"/>
        <w:keepNext w:val="0"/>
        <w:keepLines w:val="0"/>
        <w:pageBreakBefore w:val="0"/>
        <w:widowControl w:val="0"/>
        <w:shd w:val="clear"/>
        <w:kinsoku/>
        <w:wordWrap/>
        <w:overflowPunct/>
        <w:topLinePunct w:val="0"/>
        <w:autoSpaceDE/>
        <w:autoSpaceDN/>
        <w:bidi w:val="0"/>
        <w:adjustRightInd/>
        <w:snapToGrid/>
        <w:spacing w:before="0" w:after="0" w:line="560" w:lineRule="exact"/>
        <w:ind w:firstLine="643" w:firstLineChars="200"/>
        <w:jc w:val="both"/>
        <w:textAlignment w:val="auto"/>
        <w:outlineLvl w:val="9"/>
        <w:rPr>
          <w:rFonts w:ascii="仿宋_GB2312" w:hAnsi="仿宋_GB2312" w:eastAsia="仿宋_GB2312" w:cs="仿宋_GB2312"/>
          <w:b/>
          <w:bCs/>
          <w:highlight w:val="none"/>
        </w:rPr>
      </w:pPr>
      <w:r>
        <w:rPr>
          <w:rFonts w:hint="eastAsia" w:ascii="仿宋_GB2312" w:hAnsi="仿宋_GB2312" w:eastAsia="仿宋_GB2312" w:cs="仿宋_GB2312"/>
          <w:b/>
          <w:bCs/>
          <w:highlight w:val="none"/>
        </w:rPr>
        <w:t>1、绩效评价原则</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本次项目绩效评价遵循以下基本原则：</w:t>
      </w:r>
    </w:p>
    <w:p>
      <w:pPr>
        <w:pStyle w:val="2"/>
        <w:keepNext w:val="0"/>
        <w:keepLines w:val="0"/>
        <w:pageBreakBefore w:val="0"/>
        <w:widowControl w:val="0"/>
        <w:shd w:val="clear"/>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（1）科学公正。绩效评价应当运用科学合理的方法，按照规范的程序，对项目绩效进行客观、公正的反映。</w:t>
      </w:r>
    </w:p>
    <w:p>
      <w:pPr>
        <w:pStyle w:val="2"/>
        <w:keepNext w:val="0"/>
        <w:keepLines w:val="0"/>
        <w:pageBreakBefore w:val="0"/>
        <w:widowControl w:val="0"/>
        <w:shd w:val="clear"/>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（2）统筹兼顾。单位自评、部门评价和财政评价应职责明确，各有侧重，相互衔接。单位自评应由项目单位自主实施，即“谁支出、谁自评”。部门评价和财政评价应在单位自评的基础上开展。</w:t>
      </w:r>
    </w:p>
    <w:p>
      <w:pPr>
        <w:pStyle w:val="2"/>
        <w:keepNext w:val="0"/>
        <w:keepLines w:val="0"/>
        <w:pageBreakBefore w:val="0"/>
        <w:widowControl w:val="0"/>
        <w:shd w:val="clear"/>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（3）激励约束。绩效评价结果应与预算安排、政策调整、改进管理实质性挂钩，体现奖优罚劣和激励相容导向，有效要安排、低效要压减、无效要问责。</w:t>
      </w:r>
    </w:p>
    <w:p>
      <w:pPr>
        <w:pStyle w:val="2"/>
        <w:keepNext w:val="0"/>
        <w:keepLines w:val="0"/>
        <w:pageBreakBefore w:val="0"/>
        <w:widowControl w:val="0"/>
        <w:shd w:val="clear"/>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（4）公开透明。绩效评价结果应依法依规公开，并自觉接受社会监督。</w:t>
      </w:r>
    </w:p>
    <w:p>
      <w:pPr>
        <w:pStyle w:val="2"/>
        <w:keepNext w:val="0"/>
        <w:keepLines w:val="0"/>
        <w:pageBreakBefore w:val="0"/>
        <w:widowControl w:val="0"/>
        <w:shd w:val="clear"/>
        <w:kinsoku/>
        <w:wordWrap/>
        <w:overflowPunct/>
        <w:topLinePunct w:val="0"/>
        <w:autoSpaceDE/>
        <w:autoSpaceDN/>
        <w:bidi w:val="0"/>
        <w:adjustRightInd/>
        <w:snapToGrid/>
        <w:spacing w:before="0" w:after="0" w:line="560" w:lineRule="exact"/>
        <w:ind w:firstLine="643" w:firstLineChars="200"/>
        <w:jc w:val="both"/>
        <w:textAlignment w:val="auto"/>
        <w:outlineLvl w:val="9"/>
        <w:rPr>
          <w:rFonts w:ascii="仿宋_GB2312" w:hAnsi="仿宋_GB2312" w:eastAsia="仿宋_GB2312" w:cs="仿宋_GB2312"/>
          <w:b/>
          <w:bCs/>
          <w:highlight w:val="none"/>
        </w:rPr>
      </w:pPr>
      <w:r>
        <w:rPr>
          <w:rFonts w:hint="eastAsia" w:ascii="仿宋_GB2312" w:hAnsi="仿宋_GB2312" w:eastAsia="仿宋_GB2312" w:cs="仿宋_GB2312"/>
          <w:b/>
          <w:bCs/>
          <w:highlight w:val="none"/>
        </w:rPr>
        <w:t>2、评价指标体系</w:t>
      </w:r>
    </w:p>
    <w:p>
      <w:pPr>
        <w:keepNext w:val="0"/>
        <w:keepLines w:val="0"/>
        <w:pageBreakBefore w:val="0"/>
        <w:widowControl w:val="0"/>
        <w:shd w:val="clear"/>
        <w:kinsoku/>
        <w:wordWrap/>
        <w:overflowPunct/>
        <w:topLinePunct w:val="0"/>
        <w:autoSpaceDE/>
        <w:autoSpaceDN/>
        <w:bidi w:val="0"/>
        <w:adjustRightInd/>
        <w:snapToGrid/>
        <w:spacing w:line="560" w:lineRule="exact"/>
        <w:ind w:firstLine="708" w:firstLineChars="200"/>
        <w:textAlignment w:val="auto"/>
        <w:rPr>
          <w:rFonts w:ascii="宋体" w:hAnsi="宋体" w:cs="宋体"/>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绩效评价框架是开展绩效评价的核心。绩效评价框架包括评价准则、关键评价问题、评价指标、数据来源、数据收集方法等。指标体系建立过程如下：</w:t>
      </w:r>
    </w:p>
    <w:p>
      <w:pPr>
        <w:keepNext w:val="0"/>
        <w:keepLines w:val="0"/>
        <w:pageBreakBefore w:val="0"/>
        <w:widowControl w:val="0"/>
        <w:shd w:val="clear"/>
        <w:kinsoku/>
        <w:wordWrap/>
        <w:overflowPunct/>
        <w:topLinePunct w:val="0"/>
        <w:autoSpaceDE/>
        <w:autoSpaceDN/>
        <w:bidi w:val="0"/>
        <w:adjustRightInd/>
        <w:snapToGrid/>
        <w:spacing w:line="560" w:lineRule="exact"/>
        <w:ind w:firstLine="708" w:firstLineChars="200"/>
        <w:textAlignment w:val="auto"/>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（1）确定评价指标</w:t>
      </w:r>
    </w:p>
    <w:p>
      <w:pPr>
        <w:keepNext w:val="0"/>
        <w:keepLines w:val="0"/>
        <w:pageBreakBefore w:val="0"/>
        <w:widowControl w:val="0"/>
        <w:shd w:val="clear"/>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采用层次分析法，建立评价指标体系。绩效评价将指标分为项目决策</w:t>
      </w:r>
      <w:r>
        <w:rPr>
          <w:rFonts w:hint="eastAsia" w:ascii="仿宋_GB2312" w:hAnsi="仿宋_GB2312" w:eastAsia="仿宋_GB2312" w:cs="仿宋_GB2312"/>
          <w:color w:val="000000"/>
          <w:spacing w:val="17"/>
          <w:sz w:val="32"/>
          <w:szCs w:val="32"/>
          <w:highlight w:val="none"/>
          <w:lang w:eastAsia="zh-CN"/>
        </w:rPr>
        <w:t>指标</w:t>
      </w:r>
      <w:r>
        <w:rPr>
          <w:rFonts w:hint="eastAsia" w:ascii="仿宋_GB2312" w:hAnsi="仿宋_GB2312" w:eastAsia="仿宋_GB2312" w:cs="仿宋_GB2312"/>
          <w:color w:val="000000"/>
          <w:spacing w:val="17"/>
          <w:sz w:val="32"/>
          <w:szCs w:val="32"/>
          <w:highlight w:val="none"/>
        </w:rPr>
        <w:t>、项目</w:t>
      </w:r>
      <w:r>
        <w:rPr>
          <w:rFonts w:hint="eastAsia" w:ascii="仿宋_GB2312" w:hAnsi="仿宋_GB2312" w:eastAsia="仿宋_GB2312" w:cs="仿宋_GB2312"/>
          <w:color w:val="000000"/>
          <w:spacing w:val="17"/>
          <w:sz w:val="32"/>
          <w:szCs w:val="32"/>
          <w:highlight w:val="none"/>
          <w:lang w:eastAsia="zh-CN"/>
        </w:rPr>
        <w:t>过程指标</w:t>
      </w:r>
      <w:r>
        <w:rPr>
          <w:rFonts w:hint="eastAsia" w:ascii="仿宋_GB2312" w:hAnsi="仿宋_GB2312" w:eastAsia="仿宋_GB2312" w:cs="仿宋_GB2312"/>
          <w:color w:val="000000"/>
          <w:spacing w:val="17"/>
          <w:sz w:val="32"/>
          <w:szCs w:val="32"/>
          <w:highlight w:val="none"/>
        </w:rPr>
        <w:t>、项目产出</w:t>
      </w:r>
      <w:r>
        <w:rPr>
          <w:rFonts w:hint="eastAsia" w:ascii="仿宋_GB2312" w:hAnsi="仿宋_GB2312" w:eastAsia="仿宋_GB2312" w:cs="仿宋_GB2312"/>
          <w:color w:val="000000"/>
          <w:spacing w:val="17"/>
          <w:sz w:val="32"/>
          <w:szCs w:val="32"/>
          <w:highlight w:val="none"/>
          <w:lang w:eastAsia="zh-CN"/>
        </w:rPr>
        <w:t>指标、</w:t>
      </w:r>
      <w:r>
        <w:rPr>
          <w:rFonts w:hint="eastAsia" w:ascii="仿宋_GB2312" w:hAnsi="仿宋_GB2312" w:eastAsia="仿宋_GB2312" w:cs="仿宋_GB2312"/>
          <w:color w:val="000000"/>
          <w:spacing w:val="17"/>
          <w:sz w:val="32"/>
          <w:szCs w:val="32"/>
          <w:highlight w:val="none"/>
        </w:rPr>
        <w:t>项目效益</w:t>
      </w:r>
      <w:r>
        <w:rPr>
          <w:rFonts w:hint="eastAsia" w:ascii="仿宋_GB2312" w:hAnsi="仿宋_GB2312" w:eastAsia="仿宋_GB2312" w:cs="仿宋_GB2312"/>
          <w:color w:val="000000"/>
          <w:spacing w:val="17"/>
          <w:sz w:val="32"/>
          <w:szCs w:val="32"/>
          <w:highlight w:val="none"/>
          <w:lang w:eastAsia="zh-CN"/>
        </w:rPr>
        <w:t>指标</w:t>
      </w:r>
      <w:r>
        <w:rPr>
          <w:rFonts w:hint="eastAsia" w:ascii="仿宋_GB2312" w:hAnsi="仿宋_GB2312" w:eastAsia="仿宋_GB2312" w:cs="仿宋_GB2312"/>
          <w:color w:val="000000"/>
          <w:spacing w:val="17"/>
          <w:sz w:val="32"/>
          <w:szCs w:val="32"/>
          <w:highlight w:val="none"/>
        </w:rPr>
        <w:t>四个维度，最终形成一个由多个相互联系的指标组成的多层次指标体系。</w:t>
      </w:r>
    </w:p>
    <w:p>
      <w:pPr>
        <w:keepNext w:val="0"/>
        <w:keepLines w:val="0"/>
        <w:pageBreakBefore w:val="0"/>
        <w:widowControl w:val="0"/>
        <w:shd w:val="clear"/>
        <w:kinsoku/>
        <w:wordWrap/>
        <w:overflowPunct/>
        <w:topLinePunct w:val="0"/>
        <w:autoSpaceDE/>
        <w:autoSpaceDN/>
        <w:bidi w:val="0"/>
        <w:adjustRightInd/>
        <w:snapToGrid/>
        <w:spacing w:line="560" w:lineRule="exact"/>
        <w:ind w:firstLine="708" w:firstLineChars="200"/>
        <w:textAlignment w:val="auto"/>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（2）确定权重</w:t>
      </w:r>
    </w:p>
    <w:p>
      <w:pPr>
        <w:keepNext w:val="0"/>
        <w:keepLines w:val="0"/>
        <w:pageBreakBefore w:val="0"/>
        <w:widowControl w:val="0"/>
        <w:shd w:val="clear"/>
        <w:kinsoku/>
        <w:wordWrap/>
        <w:overflowPunct/>
        <w:topLinePunct w:val="0"/>
        <w:autoSpaceDE/>
        <w:autoSpaceDN/>
        <w:bidi w:val="0"/>
        <w:adjustRightInd/>
        <w:snapToGrid/>
        <w:spacing w:line="560" w:lineRule="exact"/>
        <w:ind w:firstLine="708" w:firstLineChars="200"/>
        <w:textAlignment w:val="auto"/>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确定各个指标相对于项目总体绩效的权重分值。在绩效评价指标体系中，</w:t>
      </w:r>
      <w:r>
        <w:rPr>
          <w:rFonts w:hint="eastAsia" w:ascii="仿宋_GB2312" w:hAnsi="仿宋_GB2312" w:eastAsia="仿宋_GB2312" w:cs="仿宋_GB2312"/>
          <w:color w:val="000000"/>
          <w:spacing w:val="17"/>
          <w:sz w:val="32"/>
          <w:szCs w:val="32"/>
        </w:rPr>
        <w:t>项</w:t>
      </w:r>
      <w:r>
        <w:rPr>
          <w:rFonts w:hint="eastAsia" w:ascii="仿宋_GB2312" w:hAnsi="仿宋_GB2312" w:eastAsia="仿宋_GB2312" w:cs="仿宋_GB2312"/>
          <w:color w:val="000000"/>
          <w:spacing w:val="17"/>
          <w:sz w:val="32"/>
          <w:szCs w:val="32"/>
          <w:lang w:val="en-US" w:eastAsia="zh-CN"/>
        </w:rPr>
        <w:t>目决策</w:t>
      </w:r>
      <w:r>
        <w:rPr>
          <w:rFonts w:hint="eastAsia" w:ascii="仿宋_GB2312" w:hAnsi="仿宋_GB2312" w:eastAsia="仿宋_GB2312" w:cs="仿宋_GB2312"/>
          <w:color w:val="000000"/>
          <w:spacing w:val="17"/>
          <w:sz w:val="32"/>
          <w:szCs w:val="32"/>
        </w:rPr>
        <w:t>权重</w:t>
      </w:r>
      <w:r>
        <w:rPr>
          <w:rFonts w:hint="eastAsia" w:ascii="仿宋_GB2312" w:hAnsi="仿宋_GB2312" w:eastAsia="仿宋_GB2312" w:cs="仿宋_GB2312"/>
          <w:color w:val="000000"/>
          <w:spacing w:val="17"/>
          <w:sz w:val="32"/>
          <w:szCs w:val="32"/>
          <w:highlight w:val="none"/>
          <w:lang w:val="en-US" w:eastAsia="zh-CN"/>
        </w:rPr>
        <w:t>占10分</w:t>
      </w:r>
      <w:r>
        <w:rPr>
          <w:rFonts w:hint="eastAsia" w:ascii="仿宋_GB2312" w:hAnsi="仿宋_GB2312" w:eastAsia="仿宋_GB2312" w:cs="仿宋_GB2312"/>
          <w:color w:val="000000"/>
          <w:spacing w:val="17"/>
          <w:sz w:val="32"/>
          <w:szCs w:val="32"/>
          <w:highlight w:val="none"/>
        </w:rPr>
        <w:t>，项目</w:t>
      </w:r>
      <w:r>
        <w:rPr>
          <w:rFonts w:hint="eastAsia" w:ascii="仿宋_GB2312" w:hAnsi="仿宋_GB2312" w:eastAsia="仿宋_GB2312" w:cs="仿宋_GB2312"/>
          <w:color w:val="000000"/>
          <w:spacing w:val="17"/>
          <w:sz w:val="32"/>
          <w:szCs w:val="32"/>
          <w:highlight w:val="none"/>
          <w:lang w:val="en-US" w:eastAsia="zh-CN"/>
        </w:rPr>
        <w:t>过程</w:t>
      </w:r>
      <w:r>
        <w:rPr>
          <w:rFonts w:hint="eastAsia" w:ascii="仿宋_GB2312" w:hAnsi="仿宋_GB2312" w:eastAsia="仿宋_GB2312" w:cs="仿宋_GB2312"/>
          <w:color w:val="000000"/>
          <w:spacing w:val="17"/>
          <w:sz w:val="32"/>
          <w:szCs w:val="32"/>
          <w:highlight w:val="none"/>
        </w:rPr>
        <w:t>权重占</w:t>
      </w:r>
      <w:r>
        <w:rPr>
          <w:rFonts w:hint="eastAsia" w:ascii="仿宋_GB2312" w:hAnsi="仿宋_GB2312" w:eastAsia="仿宋_GB2312" w:cs="仿宋_GB2312"/>
          <w:color w:val="000000"/>
          <w:spacing w:val="17"/>
          <w:sz w:val="32"/>
          <w:szCs w:val="32"/>
          <w:highlight w:val="none"/>
          <w:lang w:val="en-US" w:eastAsia="zh-CN"/>
        </w:rPr>
        <w:t>10分，</w:t>
      </w:r>
      <w:r>
        <w:rPr>
          <w:rFonts w:hint="eastAsia" w:ascii="仿宋_GB2312" w:hAnsi="仿宋_GB2312" w:eastAsia="仿宋_GB2312" w:cs="仿宋_GB2312"/>
          <w:color w:val="000000"/>
          <w:spacing w:val="17"/>
          <w:sz w:val="32"/>
          <w:szCs w:val="32"/>
          <w:highlight w:val="none"/>
        </w:rPr>
        <w:t>项目产出权重值占</w:t>
      </w:r>
      <w:r>
        <w:rPr>
          <w:rFonts w:hint="eastAsia" w:ascii="仿宋_GB2312" w:hAnsi="仿宋_GB2312" w:eastAsia="仿宋_GB2312" w:cs="仿宋_GB2312"/>
          <w:color w:val="000000"/>
          <w:spacing w:val="17"/>
          <w:sz w:val="32"/>
          <w:szCs w:val="32"/>
          <w:highlight w:val="none"/>
          <w:lang w:val="en-US" w:eastAsia="zh-CN"/>
        </w:rPr>
        <w:t>50分</w:t>
      </w:r>
      <w:r>
        <w:rPr>
          <w:rFonts w:hint="eastAsia" w:ascii="仿宋_GB2312" w:hAnsi="仿宋_GB2312" w:eastAsia="仿宋_GB2312" w:cs="仿宋_GB2312"/>
          <w:color w:val="000000"/>
          <w:spacing w:val="17"/>
          <w:sz w:val="32"/>
          <w:szCs w:val="32"/>
          <w:highlight w:val="none"/>
        </w:rPr>
        <w:t>，项目效益权重值占</w:t>
      </w:r>
      <w:r>
        <w:rPr>
          <w:rFonts w:hint="eastAsia" w:ascii="仿宋_GB2312" w:hAnsi="仿宋_GB2312" w:eastAsia="仿宋_GB2312" w:cs="仿宋_GB2312"/>
          <w:color w:val="000000"/>
          <w:spacing w:val="17"/>
          <w:sz w:val="32"/>
          <w:szCs w:val="32"/>
          <w:highlight w:val="none"/>
          <w:lang w:val="en-US" w:eastAsia="zh-CN"/>
        </w:rPr>
        <w:t>30分</w:t>
      </w:r>
      <w:r>
        <w:rPr>
          <w:rFonts w:hint="eastAsia" w:ascii="仿宋_GB2312" w:hAnsi="仿宋_GB2312" w:eastAsia="仿宋_GB2312" w:cs="仿宋_GB2312"/>
          <w:color w:val="000000"/>
          <w:spacing w:val="17"/>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line="560" w:lineRule="exact"/>
        <w:ind w:firstLine="708" w:firstLineChars="200"/>
        <w:textAlignment w:val="auto"/>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（3）确定指标标准值</w:t>
      </w:r>
    </w:p>
    <w:p>
      <w:pPr>
        <w:keepNext w:val="0"/>
        <w:keepLines w:val="0"/>
        <w:pageBreakBefore w:val="0"/>
        <w:widowControl w:val="0"/>
        <w:shd w:val="clear"/>
        <w:kinsoku/>
        <w:wordWrap/>
        <w:overflowPunct/>
        <w:topLinePunct w:val="0"/>
        <w:autoSpaceDE/>
        <w:autoSpaceDN/>
        <w:bidi w:val="0"/>
        <w:adjustRightInd/>
        <w:snapToGrid/>
        <w:spacing w:line="560" w:lineRule="exact"/>
        <w:ind w:firstLine="708" w:firstLineChars="200"/>
        <w:textAlignment w:val="auto"/>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2"/>
        <w:keepNext w:val="0"/>
        <w:keepLines w:val="0"/>
        <w:pageBreakBefore w:val="0"/>
        <w:widowControl w:val="0"/>
        <w:shd w:val="clear"/>
        <w:kinsoku/>
        <w:wordWrap/>
        <w:overflowPunct/>
        <w:topLinePunct w:val="0"/>
        <w:autoSpaceDE/>
        <w:autoSpaceDN/>
        <w:bidi w:val="0"/>
        <w:adjustRightInd/>
        <w:snapToGrid/>
        <w:spacing w:before="0" w:after="0" w:line="560" w:lineRule="exact"/>
        <w:ind w:firstLine="708" w:firstLineChars="200"/>
        <w:jc w:val="both"/>
        <w:textAlignment w:val="auto"/>
        <w:rPr>
          <w:rFonts w:ascii="仿宋_GB2312" w:hAnsi="仿宋_GB2312" w:eastAsia="仿宋_GB2312" w:cs="仿宋_GB2312"/>
          <w:b w:val="0"/>
          <w:bCs w:val="0"/>
          <w:color w:val="000000"/>
          <w:spacing w:val="17"/>
          <w:kern w:val="2"/>
          <w:highlight w:val="none"/>
        </w:rPr>
      </w:pPr>
      <w:r>
        <w:rPr>
          <w:rFonts w:hint="eastAsia" w:ascii="仿宋_GB2312" w:hAnsi="仿宋_GB2312" w:eastAsia="仿宋_GB2312" w:cs="仿宋_GB2312"/>
          <w:b w:val="0"/>
          <w:bCs w:val="0"/>
          <w:color w:val="000000"/>
          <w:spacing w:val="17"/>
          <w:kern w:val="2"/>
          <w:highlight w:val="none"/>
        </w:rPr>
        <w:t>绩效评价总分值100分，根据综合评分结果，评价计分90分</w:t>
      </w:r>
      <w:r>
        <w:rPr>
          <w:rFonts w:hint="eastAsia" w:ascii="仿宋_GB2312" w:hAnsi="仿宋_GB2312" w:eastAsia="仿宋_GB2312" w:cs="仿宋_GB2312"/>
          <w:b w:val="0"/>
          <w:bCs w:val="0"/>
          <w:color w:val="000000"/>
          <w:spacing w:val="17"/>
          <w:kern w:val="2"/>
          <w:highlight w:val="none"/>
          <w:lang w:eastAsia="zh-CN"/>
        </w:rPr>
        <w:t>－</w:t>
      </w:r>
      <w:r>
        <w:rPr>
          <w:rFonts w:hint="eastAsia" w:ascii="仿宋_GB2312" w:hAnsi="仿宋_GB2312" w:eastAsia="仿宋_GB2312" w:cs="仿宋_GB2312"/>
          <w:b w:val="0"/>
          <w:bCs w:val="0"/>
          <w:color w:val="000000"/>
          <w:spacing w:val="17"/>
          <w:kern w:val="2"/>
          <w:highlight w:val="none"/>
        </w:rPr>
        <w:t>100分（含90分）对应的评分结果级别为优，80-90分（含80分）对应的评分结果级别为良，60-80分（含60分）对应的评分结果级别为中，60分以下对应的评分结果级别为差。</w:t>
      </w:r>
    </w:p>
    <w:p>
      <w:pPr>
        <w:pStyle w:val="2"/>
        <w:keepNext w:val="0"/>
        <w:keepLines w:val="0"/>
        <w:pageBreakBefore w:val="0"/>
        <w:widowControl w:val="0"/>
        <w:shd w:val="clear"/>
        <w:kinsoku/>
        <w:wordWrap/>
        <w:overflowPunct/>
        <w:topLinePunct w:val="0"/>
        <w:autoSpaceDE/>
        <w:autoSpaceDN/>
        <w:bidi w:val="0"/>
        <w:adjustRightInd/>
        <w:snapToGrid/>
        <w:spacing w:before="0" w:after="0" w:line="560" w:lineRule="exact"/>
        <w:ind w:firstLine="708" w:firstLineChars="200"/>
        <w:jc w:val="both"/>
        <w:textAlignment w:val="auto"/>
        <w:outlineLvl w:val="9"/>
        <w:rPr>
          <w:rFonts w:hint="eastAsia" w:ascii="仿宋_GB2312" w:hAnsi="仿宋_GB2312" w:eastAsia="仿宋_GB2312" w:cs="仿宋_GB2312"/>
          <w:b w:val="0"/>
          <w:bCs w:val="0"/>
          <w:color w:val="000000"/>
          <w:spacing w:val="17"/>
          <w:highlight w:val="none"/>
        </w:rPr>
      </w:pPr>
      <w:r>
        <w:rPr>
          <w:rFonts w:hint="eastAsia" w:ascii="仿宋_GB2312" w:hAnsi="仿宋_GB2312" w:eastAsia="仿宋_GB2312" w:cs="仿宋_GB2312"/>
          <w:b w:val="0"/>
          <w:bCs w:val="0"/>
          <w:color w:val="000000"/>
          <w:spacing w:val="17"/>
          <w:highlight w:val="none"/>
        </w:rPr>
        <w:t>具体评价指标体系详情见</w:t>
      </w:r>
      <w:r>
        <w:rPr>
          <w:rFonts w:hint="eastAsia" w:ascii="仿宋_GB2312" w:hAnsi="仿宋_GB2312" w:eastAsia="仿宋_GB2312" w:cs="仿宋_GB2312"/>
          <w:b w:val="0"/>
          <w:bCs w:val="0"/>
          <w:color w:val="000000"/>
          <w:spacing w:val="17"/>
          <w:highlight w:val="none"/>
          <w:lang w:val="en-US" w:eastAsia="zh-CN"/>
        </w:rPr>
        <w:t>附件</w:t>
      </w:r>
      <w:r>
        <w:rPr>
          <w:rFonts w:hint="eastAsia" w:ascii="仿宋_GB2312" w:hAnsi="仿宋_GB2312" w:eastAsia="仿宋_GB2312" w:cs="仿宋_GB2312"/>
          <w:b w:val="0"/>
          <w:bCs w:val="0"/>
          <w:color w:val="000000"/>
          <w:spacing w:val="17"/>
          <w:highlight w:val="none"/>
        </w:rPr>
        <w:t>1</w:t>
      </w:r>
    </w:p>
    <w:p>
      <w:pPr>
        <w:pStyle w:val="2"/>
        <w:keepNext w:val="0"/>
        <w:keepLines w:val="0"/>
        <w:pageBreakBefore w:val="0"/>
        <w:widowControl w:val="0"/>
        <w:shd w:val="clear"/>
        <w:kinsoku/>
        <w:wordWrap/>
        <w:overflowPunct/>
        <w:topLinePunct w:val="0"/>
        <w:autoSpaceDE/>
        <w:autoSpaceDN/>
        <w:bidi w:val="0"/>
        <w:adjustRightInd/>
        <w:snapToGrid/>
        <w:spacing w:before="0" w:after="0" w:line="560" w:lineRule="exact"/>
        <w:ind w:firstLine="643" w:firstLineChars="200"/>
        <w:jc w:val="both"/>
        <w:textAlignment w:val="auto"/>
        <w:outlineLvl w:val="9"/>
        <w:rPr>
          <w:rFonts w:ascii="仿宋_GB2312" w:hAnsi="仿宋_GB2312" w:eastAsia="仿宋_GB2312" w:cs="仿宋_GB2312"/>
          <w:b/>
          <w:bCs/>
          <w:highlight w:val="none"/>
        </w:rPr>
      </w:pPr>
      <w:r>
        <w:rPr>
          <w:rFonts w:hint="eastAsia" w:ascii="仿宋_GB2312" w:hAnsi="仿宋_GB2312" w:eastAsia="仿宋_GB2312" w:cs="仿宋_GB2312"/>
          <w:b/>
          <w:bCs/>
          <w:highlight w:val="none"/>
        </w:rPr>
        <w:t>3、绩效评价方法</w:t>
      </w:r>
    </w:p>
    <w:p>
      <w:pPr>
        <w:keepNext w:val="0"/>
        <w:keepLines w:val="0"/>
        <w:pageBreakBefore w:val="0"/>
        <w:widowControl w:val="0"/>
        <w:shd w:val="clear"/>
        <w:kinsoku/>
        <w:wordWrap/>
        <w:overflowPunct/>
        <w:topLinePunct w:val="0"/>
        <w:autoSpaceDE/>
        <w:autoSpaceDN/>
        <w:bidi w:val="0"/>
        <w:adjustRightInd/>
        <w:snapToGrid/>
        <w:spacing w:line="560" w:lineRule="exact"/>
        <w:ind w:firstLine="708" w:firstLineChars="200"/>
        <w:textAlignment w:val="auto"/>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绩效评价从项目决策、项目过程、项目产出、项目效益四个维度进行评价。评价对象为项目目标实施情况，  评价核心为资金的支出完成情况和项目的产出效益。</w:t>
      </w:r>
    </w:p>
    <w:p>
      <w:pPr>
        <w:keepNext w:val="0"/>
        <w:keepLines w:val="0"/>
        <w:pageBreakBefore w:val="0"/>
        <w:widowControl w:val="0"/>
        <w:shd w:val="clear"/>
        <w:kinsoku/>
        <w:wordWrap/>
        <w:overflowPunct/>
        <w:topLinePunct w:val="0"/>
        <w:autoSpaceDE/>
        <w:autoSpaceDN/>
        <w:bidi w:val="0"/>
        <w:adjustRightInd/>
        <w:snapToGrid/>
        <w:spacing w:line="560" w:lineRule="exact"/>
        <w:ind w:firstLine="708" w:firstLineChars="200"/>
        <w:textAlignment w:val="auto"/>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pPr>
        <w:keepNext w:val="0"/>
        <w:keepLines w:val="0"/>
        <w:pageBreakBefore w:val="0"/>
        <w:widowControl w:val="0"/>
        <w:shd w:val="clear"/>
        <w:kinsoku/>
        <w:wordWrap/>
        <w:overflowPunct/>
        <w:topLinePunct w:val="0"/>
        <w:autoSpaceDE/>
        <w:autoSpaceDN/>
        <w:bidi w:val="0"/>
        <w:adjustRightInd/>
        <w:snapToGrid/>
        <w:spacing w:line="560" w:lineRule="exact"/>
        <w:ind w:firstLine="708" w:firstLineChars="200"/>
        <w:textAlignment w:val="auto"/>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（1）比较法</w:t>
      </w:r>
    </w:p>
    <w:p>
      <w:pPr>
        <w:keepNext w:val="0"/>
        <w:keepLines w:val="0"/>
        <w:pageBreakBefore w:val="0"/>
        <w:widowControl w:val="0"/>
        <w:shd w:val="clear"/>
        <w:kinsoku/>
        <w:wordWrap/>
        <w:overflowPunct/>
        <w:topLinePunct w:val="0"/>
        <w:autoSpaceDE/>
        <w:autoSpaceDN/>
        <w:bidi w:val="0"/>
        <w:adjustRightInd/>
        <w:snapToGrid/>
        <w:spacing w:line="560" w:lineRule="exact"/>
        <w:ind w:firstLine="708" w:firstLineChars="200"/>
        <w:textAlignment w:val="auto"/>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通过对绩效目标与实施效果、历史与当期情况，综合分析绩效目标实现程度。对</w:t>
      </w:r>
      <w:r>
        <w:rPr>
          <w:rFonts w:hint="eastAsia" w:ascii="仿宋_GB2312" w:hAnsi="仿宋_GB2312" w:eastAsia="仿宋_GB2312" w:cs="仿宋_GB2312"/>
          <w:sz w:val="32"/>
          <w:szCs w:val="32"/>
          <w:highlight w:val="none"/>
        </w:rPr>
        <w:t>项目</w:t>
      </w:r>
      <w:r>
        <w:rPr>
          <w:rFonts w:hint="eastAsia" w:ascii="仿宋_GB2312" w:hAnsi="仿宋_GB2312" w:eastAsia="仿宋_GB2312" w:cs="仿宋_GB2312"/>
          <w:color w:val="000000"/>
          <w:spacing w:val="17"/>
          <w:sz w:val="32"/>
          <w:szCs w:val="32"/>
          <w:highlight w:val="none"/>
        </w:rPr>
        <w:t>最终验收情况与年度绩效目标对比、预算资金执行情况等相关因素进行比较。</w:t>
      </w:r>
    </w:p>
    <w:p>
      <w:pPr>
        <w:keepNext w:val="0"/>
        <w:keepLines w:val="0"/>
        <w:pageBreakBefore w:val="0"/>
        <w:widowControl w:val="0"/>
        <w:shd w:val="clear"/>
        <w:kinsoku/>
        <w:wordWrap/>
        <w:overflowPunct/>
        <w:topLinePunct w:val="0"/>
        <w:autoSpaceDE/>
        <w:autoSpaceDN/>
        <w:bidi w:val="0"/>
        <w:adjustRightInd/>
        <w:snapToGrid/>
        <w:spacing w:line="560" w:lineRule="exact"/>
        <w:ind w:firstLine="708" w:firstLineChars="200"/>
        <w:textAlignment w:val="auto"/>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（2）因素分析法</w:t>
      </w:r>
    </w:p>
    <w:p>
      <w:pPr>
        <w:keepNext w:val="0"/>
        <w:keepLines w:val="0"/>
        <w:pageBreakBefore w:val="0"/>
        <w:widowControl w:val="0"/>
        <w:shd w:val="clear"/>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通过综合分析影响绩效目标实现、实施效果的内外因素，评价绩效目标实现程度。通过对</w:t>
      </w:r>
      <w:r>
        <w:rPr>
          <w:rFonts w:hint="eastAsia" w:ascii="仿宋_GB2312" w:hAnsi="仿宋_GB2312" w:eastAsia="仿宋_GB2312" w:cs="仿宋_GB2312"/>
          <w:sz w:val="32"/>
          <w:szCs w:val="32"/>
          <w:highlight w:val="none"/>
        </w:rPr>
        <w:t>项目</w:t>
      </w:r>
      <w:r>
        <w:rPr>
          <w:rFonts w:hint="eastAsia" w:ascii="仿宋_GB2312" w:hAnsi="仿宋_GB2312" w:eastAsia="仿宋_GB2312" w:cs="仿宋_GB2312"/>
          <w:color w:val="000000"/>
          <w:spacing w:val="17"/>
          <w:sz w:val="32"/>
          <w:szCs w:val="32"/>
          <w:highlight w:val="none"/>
        </w:rPr>
        <w:t>的开展情况、项目产出数量、成本控制、资金拨付文件及自评报告等相关资料的收集和审核，综合分析各因素对绩效目标实现的影响。</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hint="eastAsia" w:ascii="仿宋_GB2312" w:hAnsi="仿宋_GB2312" w:eastAsia="仿宋_GB2312" w:cs="仿宋_GB2312"/>
          <w:b/>
          <w:bCs/>
          <w:lang w:val="en-US" w:eastAsia="zh-CN"/>
        </w:rPr>
      </w:pPr>
      <w:r>
        <w:rPr>
          <w:rFonts w:hint="eastAsia" w:ascii="仿宋_GB2312" w:hAnsi="仿宋_GB2312" w:eastAsia="仿宋_GB2312" w:cs="仿宋_GB2312"/>
          <w:b/>
          <w:bCs/>
          <w:lang w:val="en-US" w:eastAsia="zh-CN"/>
        </w:rPr>
        <w:t>4</w:t>
      </w:r>
      <w:r>
        <w:rPr>
          <w:rFonts w:hint="eastAsia" w:ascii="仿宋_GB2312" w:hAnsi="仿宋_GB2312" w:eastAsia="仿宋_GB2312" w:cs="仿宋_GB2312"/>
          <w:b/>
          <w:bCs/>
        </w:rPr>
        <w:t>、绩效评价</w:t>
      </w:r>
      <w:r>
        <w:rPr>
          <w:rFonts w:hint="eastAsia" w:ascii="仿宋_GB2312" w:hAnsi="仿宋_GB2312" w:eastAsia="仿宋_GB2312" w:cs="仿宋_GB2312"/>
          <w:b/>
          <w:bCs/>
          <w:lang w:val="en-US" w:eastAsia="zh-CN"/>
        </w:rPr>
        <w:t>标准</w:t>
      </w:r>
    </w:p>
    <w:p>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rPr>
        <w:t>绩效评价标准通常包括计划标准、行业标准、历史标准等，用于对绩效指标完成情况进行比较。</w:t>
      </w:r>
      <w:r>
        <w:rPr>
          <w:rFonts w:hint="eastAsia" w:ascii="仿宋_GB2312" w:hAnsi="仿宋_GB2312" w:eastAsia="仿宋_GB2312" w:cs="仿宋_GB2312"/>
          <w:color w:val="000000"/>
          <w:spacing w:val="17"/>
          <w:sz w:val="32"/>
          <w:szCs w:val="32"/>
          <w:highlight w:val="none"/>
        </w:rPr>
        <w:t>本次评价主要采用了计划标准和行业标准。</w:t>
      </w:r>
    </w:p>
    <w:p>
      <w:pPr>
        <w:keepNext w:val="0"/>
        <w:keepLines w:val="0"/>
        <w:pageBreakBefore w:val="0"/>
        <w:widowControl w:val="0"/>
        <w:kinsoku/>
        <w:wordWrap/>
        <w:overflowPunct/>
        <w:topLinePunct w:val="0"/>
        <w:autoSpaceDE/>
        <w:autoSpaceDN/>
        <w:bidi w:val="0"/>
        <w:adjustRightInd/>
        <w:snapToGrid/>
        <w:spacing w:line="560" w:lineRule="exact"/>
        <w:ind w:left="0" w:firstLine="711" w:firstLineChars="200"/>
        <w:textAlignment w:val="auto"/>
        <w:rPr>
          <w:rFonts w:hint="eastAsia" w:ascii="楷体" w:hAnsi="楷体" w:eastAsia="楷体" w:cs="楷体"/>
          <w:b w:val="0"/>
          <w:bCs w:val="0"/>
          <w:color w:val="000000"/>
          <w:spacing w:val="17"/>
          <w:kern w:val="2"/>
          <w:sz w:val="32"/>
          <w:szCs w:val="32"/>
          <w:highlight w:val="none"/>
          <w:lang w:val="en-US" w:eastAsia="zh-CN" w:bidi="ar-SA"/>
        </w:rPr>
      </w:pPr>
      <w:r>
        <w:rPr>
          <w:rFonts w:hint="eastAsia" w:ascii="楷体" w:hAnsi="楷体" w:eastAsia="楷体" w:cs="楷体"/>
          <w:b/>
          <w:bCs/>
          <w:color w:val="000000"/>
          <w:spacing w:val="17"/>
          <w:kern w:val="2"/>
          <w:sz w:val="32"/>
          <w:szCs w:val="32"/>
          <w:highlight w:val="none"/>
          <w:lang w:val="en-US" w:eastAsia="zh-CN" w:bidi="ar-SA"/>
        </w:rPr>
        <w:t>（三）绩效评价工作过程</w:t>
      </w:r>
      <w:r>
        <w:rPr>
          <w:rFonts w:hint="eastAsia" w:ascii="楷体" w:hAnsi="楷体" w:eastAsia="楷体" w:cs="楷体"/>
          <w:b w:val="0"/>
          <w:bCs w:val="0"/>
          <w:color w:val="000000"/>
          <w:spacing w:val="17"/>
          <w:kern w:val="2"/>
          <w:sz w:val="32"/>
          <w:szCs w:val="32"/>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1、前期准备。首先成立评价工作组，开展前期调研；其次明确项目绩效目标，设计绩效评价指标体系并确定绩效评价方法；接着确定现场和非现场评价范围，设计资料清单；最后制定评价实施方案并进行论证。</w:t>
      </w:r>
    </w:p>
    <w:p>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2、组织实施。制定绩效评价工作方案，具体包括项目概况、评价思路、方法手段、组织实施、进度安排等。收集项目立项依据、相关会议纪要、实施方案、财政资金分配方案、支付管理情况等相关评价资料并进行梳理。</w:t>
      </w:r>
    </w:p>
    <w:p>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3、分析评价。根据收集梳理的资料围绕项目立项、资金落实、业务管理、财务管理、项目产出、项目效益等内容，对照已确定的绩效评价指标进行详细全面的分析评价，逐项打分并形成绩效评价最终结果。</w:t>
      </w:r>
    </w:p>
    <w:p>
      <w:pPr>
        <w:keepNext w:val="0"/>
        <w:keepLines w:val="0"/>
        <w:pageBreakBefore w:val="0"/>
        <w:widowControl w:val="0"/>
        <w:numPr>
          <w:ilvl w:val="0"/>
          <w:numId w:val="3"/>
        </w:numPr>
        <w:shd w:val="clear"/>
        <w:kinsoku/>
        <w:wordWrap/>
        <w:overflowPunct/>
        <w:topLinePunct w:val="0"/>
        <w:autoSpaceDE/>
        <w:autoSpaceDN/>
        <w:bidi w:val="0"/>
        <w:adjustRightInd/>
        <w:snapToGrid/>
        <w:spacing w:line="560" w:lineRule="exact"/>
        <w:ind w:firstLine="643" w:firstLineChars="200"/>
        <w:textAlignment w:val="auto"/>
        <w:rPr>
          <w:rFonts w:ascii="黑体" w:hAnsi="黑体" w:eastAsia="黑体" w:cs="黑体"/>
          <w:b/>
          <w:bCs/>
          <w:sz w:val="32"/>
          <w:szCs w:val="32"/>
          <w:highlight w:val="none"/>
        </w:rPr>
      </w:pPr>
      <w:r>
        <w:rPr>
          <w:rFonts w:hint="eastAsia" w:ascii="黑体" w:hAnsi="黑体" w:eastAsia="黑体" w:cs="黑体"/>
          <w:b/>
          <w:bCs/>
          <w:sz w:val="32"/>
          <w:szCs w:val="32"/>
          <w:highlight w:val="none"/>
        </w:rPr>
        <w:t>综合评价情况及评价结论（附相关评分表）</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left"/>
        <w:textAlignment w:val="auto"/>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对</w:t>
      </w:r>
      <w:r>
        <w:rPr>
          <w:rFonts w:hint="eastAsia" w:ascii="仿宋_GB2312" w:hAnsi="仿宋_GB2312" w:eastAsia="仿宋_GB2312" w:cs="仿宋_GB2312"/>
          <w:b w:val="0"/>
          <w:bCs w:val="0"/>
          <w:highlight w:val="none"/>
          <w:lang w:val="en-US" w:eastAsia="zh-CN"/>
        </w:rPr>
        <w:t>第二次全国污染源普查</w:t>
      </w:r>
      <w:r>
        <w:rPr>
          <w:rFonts w:hint="eastAsia" w:ascii="仿宋_GB2312" w:hAnsi="仿宋_GB2312" w:eastAsia="仿宋_GB2312" w:cs="仿宋_GB2312"/>
          <w:b w:val="0"/>
          <w:bCs w:val="0"/>
          <w:highlight w:val="none"/>
        </w:rPr>
        <w:t xml:space="preserve">项目进行客观评价，最终评分结果：总得分为 </w:t>
      </w:r>
      <w:r>
        <w:rPr>
          <w:rFonts w:hint="eastAsia" w:ascii="仿宋_GB2312" w:hAnsi="仿宋_GB2312" w:eastAsia="仿宋_GB2312" w:cs="仿宋_GB2312"/>
          <w:b w:val="0"/>
          <w:bCs w:val="0"/>
          <w:highlight w:val="none"/>
          <w:lang w:val="en-US" w:eastAsia="zh-CN"/>
        </w:rPr>
        <w:t>100</w:t>
      </w:r>
      <w:r>
        <w:rPr>
          <w:rFonts w:hint="eastAsia" w:ascii="仿宋_GB2312" w:hAnsi="仿宋_GB2312" w:eastAsia="仿宋_GB2312" w:cs="仿宋_GB2312"/>
          <w:b w:val="0"/>
          <w:bCs w:val="0"/>
          <w:highlight w:val="none"/>
        </w:rPr>
        <w:t>分，属于“优”。其中，项目决策类指标权重为</w:t>
      </w:r>
      <w:r>
        <w:rPr>
          <w:rFonts w:hint="eastAsia" w:ascii="仿宋_GB2312" w:hAnsi="仿宋_GB2312" w:eastAsia="仿宋_GB2312" w:cs="仿宋_GB2312"/>
          <w:b w:val="0"/>
          <w:bCs w:val="0"/>
          <w:highlight w:val="none"/>
          <w:lang w:val="en-US" w:eastAsia="zh-CN"/>
        </w:rPr>
        <w:t>10</w:t>
      </w:r>
      <w:r>
        <w:rPr>
          <w:rFonts w:hint="eastAsia" w:ascii="仿宋_GB2312" w:hAnsi="仿宋_GB2312" w:eastAsia="仿宋_GB2312" w:cs="仿宋_GB2312"/>
          <w:b w:val="0"/>
          <w:bCs w:val="0"/>
          <w:highlight w:val="none"/>
        </w:rPr>
        <w:t xml:space="preserve">分，得分为 </w:t>
      </w:r>
      <w:r>
        <w:rPr>
          <w:rFonts w:hint="eastAsia" w:ascii="仿宋_GB2312" w:hAnsi="仿宋_GB2312" w:eastAsia="仿宋_GB2312" w:cs="仿宋_GB2312"/>
          <w:b w:val="0"/>
          <w:bCs w:val="0"/>
          <w:highlight w:val="none"/>
          <w:lang w:val="en-US" w:eastAsia="zh-CN"/>
        </w:rPr>
        <w:t>10</w:t>
      </w:r>
      <w:r>
        <w:rPr>
          <w:rFonts w:hint="eastAsia" w:ascii="仿宋_GB2312" w:hAnsi="仿宋_GB2312" w:eastAsia="仿宋_GB2312" w:cs="仿宋_GB2312"/>
          <w:b w:val="0"/>
          <w:bCs w:val="0"/>
          <w:highlight w:val="none"/>
        </w:rPr>
        <w:t>分，得分率为 100%。项目过程类指标权重为</w:t>
      </w:r>
      <w:r>
        <w:rPr>
          <w:rFonts w:hint="eastAsia" w:ascii="仿宋_GB2312" w:hAnsi="仿宋_GB2312" w:eastAsia="仿宋_GB2312" w:cs="仿宋_GB2312"/>
          <w:b w:val="0"/>
          <w:bCs w:val="0"/>
          <w:highlight w:val="none"/>
          <w:lang w:val="en-US" w:eastAsia="zh-CN"/>
        </w:rPr>
        <w:t>10</w:t>
      </w:r>
      <w:r>
        <w:rPr>
          <w:rFonts w:hint="eastAsia" w:ascii="仿宋_GB2312" w:hAnsi="仿宋_GB2312" w:eastAsia="仿宋_GB2312" w:cs="仿宋_GB2312"/>
          <w:b w:val="0"/>
          <w:bCs w:val="0"/>
          <w:highlight w:val="none"/>
        </w:rPr>
        <w:t>分，得分为</w:t>
      </w:r>
      <w:r>
        <w:rPr>
          <w:rFonts w:hint="eastAsia" w:ascii="仿宋_GB2312" w:hAnsi="仿宋_GB2312" w:eastAsia="仿宋_GB2312" w:cs="仿宋_GB2312"/>
          <w:b w:val="0"/>
          <w:bCs w:val="0"/>
          <w:highlight w:val="none"/>
          <w:lang w:val="en-US" w:eastAsia="zh-CN"/>
        </w:rPr>
        <w:t>10</w:t>
      </w:r>
      <w:r>
        <w:rPr>
          <w:rFonts w:hint="eastAsia" w:ascii="仿宋_GB2312" w:hAnsi="仿宋_GB2312" w:eastAsia="仿宋_GB2312" w:cs="仿宋_GB2312"/>
          <w:b w:val="0"/>
          <w:bCs w:val="0"/>
          <w:highlight w:val="none"/>
        </w:rPr>
        <w:t xml:space="preserve"> 分，得分率为 100%。项目产出类指标权重为50分，得分为50分，得分率为 100%。项目效益类指标权重为</w:t>
      </w:r>
      <w:r>
        <w:rPr>
          <w:rFonts w:hint="eastAsia" w:ascii="仿宋_GB2312" w:hAnsi="仿宋_GB2312" w:eastAsia="仿宋_GB2312" w:cs="仿宋_GB2312"/>
          <w:b w:val="0"/>
          <w:bCs w:val="0"/>
          <w:highlight w:val="none"/>
          <w:lang w:val="en-US" w:eastAsia="zh-CN"/>
        </w:rPr>
        <w:t>30</w:t>
      </w:r>
      <w:r>
        <w:rPr>
          <w:rFonts w:hint="eastAsia" w:ascii="仿宋_GB2312" w:hAnsi="仿宋_GB2312" w:eastAsia="仿宋_GB2312" w:cs="仿宋_GB2312"/>
          <w:b w:val="0"/>
          <w:bCs w:val="0"/>
          <w:highlight w:val="none"/>
        </w:rPr>
        <w:t>分，得分为</w:t>
      </w:r>
      <w:r>
        <w:rPr>
          <w:rFonts w:hint="eastAsia" w:ascii="仿宋_GB2312" w:hAnsi="仿宋_GB2312" w:eastAsia="仿宋_GB2312" w:cs="仿宋_GB2312"/>
          <w:b w:val="0"/>
          <w:bCs w:val="0"/>
          <w:highlight w:val="none"/>
          <w:lang w:val="en-US" w:eastAsia="zh-CN"/>
        </w:rPr>
        <w:t>30</w:t>
      </w:r>
      <w:r>
        <w:rPr>
          <w:rFonts w:hint="eastAsia" w:ascii="仿宋_GB2312" w:hAnsi="仿宋_GB2312" w:eastAsia="仿宋_GB2312" w:cs="仿宋_GB2312"/>
          <w:b w:val="0"/>
          <w:bCs w:val="0"/>
          <w:highlight w:val="none"/>
        </w:rPr>
        <w:t xml:space="preserve">分，得分率为 </w:t>
      </w:r>
      <w:r>
        <w:rPr>
          <w:rFonts w:hint="eastAsia" w:ascii="仿宋_GB2312" w:hAnsi="仿宋_GB2312" w:eastAsia="仿宋_GB2312" w:cs="仿宋_GB2312"/>
          <w:b w:val="0"/>
          <w:bCs w:val="0"/>
          <w:highlight w:val="none"/>
          <w:lang w:val="en-US" w:eastAsia="zh-CN"/>
        </w:rPr>
        <w:t>100</w:t>
      </w:r>
      <w:r>
        <w:rPr>
          <w:rFonts w:hint="eastAsia" w:ascii="仿宋_GB2312" w:hAnsi="仿宋_GB2312" w:eastAsia="仿宋_GB2312" w:cs="仿宋_GB2312"/>
          <w:b w:val="0"/>
          <w:bCs w:val="0"/>
          <w:highlight w:val="none"/>
        </w:rPr>
        <w:t>%。</w:t>
      </w:r>
    </w:p>
    <w:p>
      <w:pPr>
        <w:pStyle w:val="2"/>
        <w:keepNext w:val="0"/>
        <w:keepLines w:val="0"/>
        <w:pageBreakBefore w:val="0"/>
        <w:widowControl w:val="0"/>
        <w:kinsoku/>
        <w:wordWrap/>
        <w:overflowPunct/>
        <w:topLinePunct w:val="0"/>
        <w:autoSpaceDE/>
        <w:autoSpaceDN/>
        <w:bidi w:val="0"/>
        <w:adjustRightInd/>
        <w:snapToGrid/>
        <w:spacing w:before="0" w:after="0"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表</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综合评分表</w:t>
      </w:r>
    </w:p>
    <w:tbl>
      <w:tblPr>
        <w:tblStyle w:val="18"/>
        <w:tblpPr w:leftFromText="180" w:rightFromText="180" w:vertAnchor="text" w:horzAnchor="page" w:tblpX="1095" w:tblpY="1096"/>
        <w:tblOverlap w:val="never"/>
        <w:tblW w:w="995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jc w:val="center"/>
        </w:trPr>
        <w:tc>
          <w:tcPr>
            <w:tcW w:w="1104" w:type="dxa"/>
            <w:shd w:val="clear" w:color="auto" w:fill="BFBFBF"/>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990" w:type="dxa"/>
            <w:shd w:val="clear" w:color="auto" w:fill="BFBFB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1283" w:type="dxa"/>
            <w:shd w:val="clear" w:color="auto" w:fill="BFBFB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1707" w:type="dxa"/>
            <w:shd w:val="clear" w:color="auto" w:fill="BFBFB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727" w:type="dxa"/>
            <w:shd w:val="clear" w:color="auto" w:fill="BFBFB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1044" w:type="dxa"/>
            <w:shd w:val="clear" w:color="auto" w:fill="BFBFBF"/>
            <w:vAlign w:val="center"/>
          </w:tcPr>
          <w:p>
            <w:pPr>
              <w:keepNext w:val="0"/>
              <w:keepLines w:val="0"/>
              <w:pageBreakBefore w:val="0"/>
              <w:widowControl w:val="0"/>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目标值</w:t>
            </w:r>
          </w:p>
        </w:tc>
        <w:tc>
          <w:tcPr>
            <w:tcW w:w="924" w:type="dxa"/>
            <w:shd w:val="clear" w:color="auto" w:fill="BFBFBF"/>
            <w:vAlign w:val="center"/>
          </w:tcPr>
          <w:p>
            <w:pPr>
              <w:keepNext w:val="0"/>
              <w:keepLines w:val="0"/>
              <w:pageBreakBefore w:val="0"/>
              <w:widowControl w:val="0"/>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业绩值</w:t>
            </w:r>
          </w:p>
        </w:tc>
        <w:tc>
          <w:tcPr>
            <w:tcW w:w="1215" w:type="dxa"/>
            <w:shd w:val="clear" w:color="auto" w:fill="BFBFBF"/>
            <w:vAlign w:val="center"/>
          </w:tcPr>
          <w:p>
            <w:pPr>
              <w:keepNext w:val="0"/>
              <w:keepLines w:val="0"/>
              <w:pageBreakBefore w:val="0"/>
              <w:widowControl w:val="0"/>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得分率</w:t>
            </w:r>
          </w:p>
        </w:tc>
        <w:tc>
          <w:tcPr>
            <w:tcW w:w="960" w:type="dxa"/>
            <w:shd w:val="clear" w:color="auto" w:fill="BFBFBF"/>
            <w:vAlign w:val="center"/>
          </w:tcPr>
          <w:p>
            <w:pPr>
              <w:keepNext w:val="0"/>
              <w:keepLines w:val="0"/>
              <w:pageBreakBefore w:val="0"/>
              <w:widowControl w:val="0"/>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1104" w:type="dxa"/>
            <w:vMerge w:val="restart"/>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决策　</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tc>
        <w:tc>
          <w:tcPr>
            <w:tcW w:w="990" w:type="dxa"/>
            <w:vMerge w:val="restart"/>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kern w:val="0"/>
                <w:sz w:val="18"/>
                <w:szCs w:val="18"/>
                <w:lang w:val="en-US" w:eastAsia="zh-CN"/>
              </w:rPr>
              <w:t>10</w:t>
            </w:r>
            <w:r>
              <w:rPr>
                <w:rFonts w:hint="eastAsia" w:ascii="宋体" w:hAnsi="宋体" w:cs="宋体"/>
                <w:kern w:val="0"/>
                <w:sz w:val="18"/>
                <w:szCs w:val="18"/>
              </w:rPr>
              <w:t>分</w:t>
            </w:r>
          </w:p>
        </w:tc>
        <w:tc>
          <w:tcPr>
            <w:tcW w:w="1283" w:type="dxa"/>
            <w:vMerge w:val="restart"/>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项目立项　</w:t>
            </w:r>
          </w:p>
        </w:tc>
        <w:tc>
          <w:tcPr>
            <w:tcW w:w="1707"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立项依据</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充分性</w:t>
            </w:r>
          </w:p>
        </w:tc>
        <w:tc>
          <w:tcPr>
            <w:tcW w:w="727"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eastAsia="zh-CN"/>
              </w:rPr>
            </w:pPr>
            <w:r>
              <w:rPr>
                <w:rFonts w:hint="eastAsia" w:ascii="宋体" w:hAnsi="宋体" w:cs="宋体"/>
                <w:color w:val="000000"/>
                <w:kern w:val="0"/>
                <w:sz w:val="18"/>
                <w:szCs w:val="18"/>
                <w:lang w:val="en-US" w:eastAsia="zh-CN"/>
              </w:rPr>
              <w:t>1</w:t>
            </w:r>
          </w:p>
        </w:tc>
        <w:tc>
          <w:tcPr>
            <w:tcW w:w="1044"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w:t>
            </w:r>
          </w:p>
        </w:tc>
        <w:tc>
          <w:tcPr>
            <w:tcW w:w="924"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w:t>
            </w:r>
          </w:p>
        </w:tc>
        <w:tc>
          <w:tcPr>
            <w:tcW w:w="1215"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960"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1104" w:type="dxa"/>
            <w:vMerge w:val="continue"/>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continue"/>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707"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立项程序</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规范性</w:t>
            </w:r>
          </w:p>
        </w:tc>
        <w:tc>
          <w:tcPr>
            <w:tcW w:w="727"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eastAsia="zh-CN"/>
              </w:rPr>
            </w:pPr>
            <w:r>
              <w:rPr>
                <w:rFonts w:hint="eastAsia" w:ascii="宋体" w:hAnsi="宋体" w:cs="宋体"/>
                <w:color w:val="000000"/>
                <w:kern w:val="0"/>
                <w:sz w:val="18"/>
                <w:szCs w:val="18"/>
                <w:lang w:val="en-US" w:eastAsia="zh-CN"/>
              </w:rPr>
              <w:t>1</w:t>
            </w:r>
          </w:p>
        </w:tc>
        <w:tc>
          <w:tcPr>
            <w:tcW w:w="1044"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w:t>
            </w:r>
          </w:p>
        </w:tc>
        <w:tc>
          <w:tcPr>
            <w:tcW w:w="924"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w:t>
            </w:r>
          </w:p>
        </w:tc>
        <w:tc>
          <w:tcPr>
            <w:tcW w:w="1215"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1104" w:type="dxa"/>
            <w:vMerge w:val="continue"/>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restart"/>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绩效目标　</w:t>
            </w:r>
          </w:p>
        </w:tc>
        <w:tc>
          <w:tcPr>
            <w:tcW w:w="1707"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绩效目标</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合理性</w:t>
            </w:r>
          </w:p>
        </w:tc>
        <w:tc>
          <w:tcPr>
            <w:tcW w:w="727"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eastAsia="zh-CN"/>
              </w:rPr>
            </w:pPr>
            <w:r>
              <w:rPr>
                <w:rFonts w:hint="eastAsia" w:ascii="宋体" w:hAnsi="宋体" w:cs="宋体"/>
                <w:color w:val="000000"/>
                <w:kern w:val="0"/>
                <w:sz w:val="18"/>
                <w:szCs w:val="18"/>
                <w:lang w:val="en-US" w:eastAsia="zh-CN"/>
              </w:rPr>
              <w:t>2</w:t>
            </w:r>
          </w:p>
        </w:tc>
        <w:tc>
          <w:tcPr>
            <w:tcW w:w="1044"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2</w:t>
            </w:r>
          </w:p>
        </w:tc>
        <w:tc>
          <w:tcPr>
            <w:tcW w:w="924"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2</w:t>
            </w:r>
          </w:p>
        </w:tc>
        <w:tc>
          <w:tcPr>
            <w:tcW w:w="1215"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104" w:type="dxa"/>
            <w:vMerge w:val="continue"/>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continue"/>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707"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绩效指标</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明确性</w:t>
            </w:r>
          </w:p>
        </w:tc>
        <w:tc>
          <w:tcPr>
            <w:tcW w:w="727"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eastAsia="zh-CN"/>
              </w:rPr>
            </w:pPr>
            <w:r>
              <w:rPr>
                <w:rFonts w:hint="eastAsia" w:ascii="宋体" w:hAnsi="宋体" w:cs="宋体"/>
                <w:color w:val="000000"/>
                <w:kern w:val="0"/>
                <w:sz w:val="18"/>
                <w:szCs w:val="18"/>
                <w:lang w:val="en-US" w:eastAsia="zh-CN"/>
              </w:rPr>
              <w:t>2</w:t>
            </w:r>
          </w:p>
        </w:tc>
        <w:tc>
          <w:tcPr>
            <w:tcW w:w="1044"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2</w:t>
            </w:r>
          </w:p>
        </w:tc>
        <w:tc>
          <w:tcPr>
            <w:tcW w:w="924"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2</w:t>
            </w:r>
          </w:p>
        </w:tc>
        <w:tc>
          <w:tcPr>
            <w:tcW w:w="1215"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79" w:hRule="atLeast"/>
          <w:jc w:val="center"/>
        </w:trPr>
        <w:tc>
          <w:tcPr>
            <w:tcW w:w="1104" w:type="dxa"/>
            <w:vMerge w:val="continue"/>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restart"/>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资金投入</w:t>
            </w:r>
          </w:p>
        </w:tc>
        <w:tc>
          <w:tcPr>
            <w:tcW w:w="1707"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预算编制</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科学性</w:t>
            </w:r>
          </w:p>
        </w:tc>
        <w:tc>
          <w:tcPr>
            <w:tcW w:w="727"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eastAsia="zh-CN"/>
              </w:rPr>
            </w:pPr>
            <w:r>
              <w:rPr>
                <w:rFonts w:hint="eastAsia" w:ascii="宋体" w:hAnsi="宋体" w:cs="宋体"/>
                <w:color w:val="000000"/>
                <w:kern w:val="0"/>
                <w:sz w:val="18"/>
                <w:szCs w:val="18"/>
                <w:lang w:val="en-US" w:eastAsia="zh-CN"/>
              </w:rPr>
              <w:t>2</w:t>
            </w:r>
          </w:p>
        </w:tc>
        <w:tc>
          <w:tcPr>
            <w:tcW w:w="1044"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2</w:t>
            </w:r>
          </w:p>
        </w:tc>
        <w:tc>
          <w:tcPr>
            <w:tcW w:w="924"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2</w:t>
            </w:r>
          </w:p>
        </w:tc>
        <w:tc>
          <w:tcPr>
            <w:tcW w:w="1215"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jc w:val="center"/>
        </w:trPr>
        <w:tc>
          <w:tcPr>
            <w:tcW w:w="1104" w:type="dxa"/>
            <w:vMerge w:val="continue"/>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continue"/>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707"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资金分配</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合理性</w:t>
            </w:r>
          </w:p>
        </w:tc>
        <w:tc>
          <w:tcPr>
            <w:tcW w:w="727"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eastAsia="zh-CN"/>
              </w:rPr>
            </w:pPr>
            <w:r>
              <w:rPr>
                <w:rFonts w:hint="eastAsia" w:ascii="宋体" w:hAnsi="宋体" w:cs="宋体"/>
                <w:color w:val="000000"/>
                <w:kern w:val="0"/>
                <w:sz w:val="18"/>
                <w:szCs w:val="18"/>
                <w:lang w:val="en-US" w:eastAsia="zh-CN"/>
              </w:rPr>
              <w:t>2</w:t>
            </w:r>
          </w:p>
        </w:tc>
        <w:tc>
          <w:tcPr>
            <w:tcW w:w="1044"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2</w:t>
            </w:r>
          </w:p>
        </w:tc>
        <w:tc>
          <w:tcPr>
            <w:tcW w:w="924"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2</w:t>
            </w:r>
          </w:p>
        </w:tc>
        <w:tc>
          <w:tcPr>
            <w:tcW w:w="1215"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5" w:hRule="atLeast"/>
          <w:jc w:val="center"/>
        </w:trPr>
        <w:tc>
          <w:tcPr>
            <w:tcW w:w="1104" w:type="dxa"/>
            <w:vMerge w:val="restart"/>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过程</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tc>
        <w:tc>
          <w:tcPr>
            <w:tcW w:w="990" w:type="dxa"/>
            <w:vMerge w:val="restart"/>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kern w:val="0"/>
                <w:sz w:val="18"/>
                <w:szCs w:val="18"/>
                <w:lang w:val="en-US" w:eastAsia="zh-CN"/>
              </w:rPr>
              <w:t>10</w:t>
            </w:r>
            <w:r>
              <w:rPr>
                <w:rFonts w:hint="eastAsia" w:ascii="宋体" w:hAnsi="宋体" w:cs="宋体"/>
                <w:kern w:val="0"/>
                <w:sz w:val="18"/>
                <w:szCs w:val="18"/>
              </w:rPr>
              <w:t>分</w:t>
            </w:r>
          </w:p>
        </w:tc>
        <w:tc>
          <w:tcPr>
            <w:tcW w:w="1283" w:type="dxa"/>
            <w:vMerge w:val="restart"/>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资金管理</w:t>
            </w:r>
          </w:p>
        </w:tc>
        <w:tc>
          <w:tcPr>
            <w:tcW w:w="1707"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资金到位率</w:t>
            </w:r>
          </w:p>
        </w:tc>
        <w:tc>
          <w:tcPr>
            <w:tcW w:w="727"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eastAsia="zh-CN"/>
              </w:rPr>
            </w:pPr>
            <w:r>
              <w:rPr>
                <w:rFonts w:hint="eastAsia" w:ascii="宋体" w:hAnsi="宋体" w:cs="宋体"/>
                <w:color w:val="000000"/>
                <w:kern w:val="0"/>
                <w:sz w:val="18"/>
                <w:szCs w:val="18"/>
                <w:lang w:val="en-US" w:eastAsia="zh-CN"/>
              </w:rPr>
              <w:t>2</w:t>
            </w:r>
          </w:p>
        </w:tc>
        <w:tc>
          <w:tcPr>
            <w:tcW w:w="1044"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2</w:t>
            </w:r>
          </w:p>
        </w:tc>
        <w:tc>
          <w:tcPr>
            <w:tcW w:w="924"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2</w:t>
            </w:r>
          </w:p>
        </w:tc>
        <w:tc>
          <w:tcPr>
            <w:tcW w:w="1215"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2" w:hRule="atLeast"/>
          <w:jc w:val="center"/>
        </w:trPr>
        <w:tc>
          <w:tcPr>
            <w:tcW w:w="1104" w:type="dxa"/>
            <w:vMerge w:val="continue"/>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continue"/>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707"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727"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eastAsia="zh-CN"/>
              </w:rPr>
            </w:pPr>
            <w:r>
              <w:rPr>
                <w:rFonts w:hint="eastAsia" w:ascii="宋体" w:hAnsi="宋体" w:cs="宋体"/>
                <w:color w:val="000000"/>
                <w:kern w:val="0"/>
                <w:sz w:val="18"/>
                <w:szCs w:val="18"/>
                <w:lang w:val="en-US" w:eastAsia="zh-CN"/>
              </w:rPr>
              <w:t>2</w:t>
            </w:r>
          </w:p>
        </w:tc>
        <w:tc>
          <w:tcPr>
            <w:tcW w:w="1044"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2</w:t>
            </w:r>
          </w:p>
        </w:tc>
        <w:tc>
          <w:tcPr>
            <w:tcW w:w="924"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2</w:t>
            </w:r>
          </w:p>
        </w:tc>
        <w:tc>
          <w:tcPr>
            <w:tcW w:w="1215"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960"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1104" w:type="dxa"/>
            <w:vMerge w:val="continue"/>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资金管理</w:t>
            </w:r>
          </w:p>
        </w:tc>
        <w:tc>
          <w:tcPr>
            <w:tcW w:w="1707"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资金使用</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合规性</w:t>
            </w:r>
          </w:p>
        </w:tc>
        <w:tc>
          <w:tcPr>
            <w:tcW w:w="727"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eastAsia="zh-CN"/>
              </w:rPr>
            </w:pPr>
            <w:r>
              <w:rPr>
                <w:rFonts w:hint="eastAsia" w:ascii="宋体" w:hAnsi="宋体" w:cs="宋体"/>
                <w:color w:val="000000"/>
                <w:kern w:val="0"/>
                <w:sz w:val="18"/>
                <w:szCs w:val="18"/>
                <w:lang w:val="en-US" w:eastAsia="zh-CN"/>
              </w:rPr>
              <w:t>2</w:t>
            </w:r>
          </w:p>
        </w:tc>
        <w:tc>
          <w:tcPr>
            <w:tcW w:w="1044"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2</w:t>
            </w:r>
          </w:p>
        </w:tc>
        <w:tc>
          <w:tcPr>
            <w:tcW w:w="924"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2</w:t>
            </w:r>
          </w:p>
        </w:tc>
        <w:tc>
          <w:tcPr>
            <w:tcW w:w="1215"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6" w:hRule="atLeast"/>
          <w:jc w:val="center"/>
        </w:trPr>
        <w:tc>
          <w:tcPr>
            <w:tcW w:w="1104" w:type="dxa"/>
            <w:vMerge w:val="continue"/>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restart"/>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组织实施</w:t>
            </w:r>
          </w:p>
        </w:tc>
        <w:tc>
          <w:tcPr>
            <w:tcW w:w="1707"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管理制度</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健全性</w:t>
            </w:r>
          </w:p>
        </w:tc>
        <w:tc>
          <w:tcPr>
            <w:tcW w:w="727"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eastAsia="zh-CN"/>
              </w:rPr>
            </w:pPr>
            <w:r>
              <w:rPr>
                <w:rFonts w:hint="eastAsia" w:ascii="宋体" w:hAnsi="宋体" w:cs="宋体"/>
                <w:color w:val="000000"/>
                <w:kern w:val="0"/>
                <w:sz w:val="18"/>
                <w:szCs w:val="18"/>
                <w:lang w:val="en-US" w:eastAsia="zh-CN"/>
              </w:rPr>
              <w:t>2</w:t>
            </w:r>
          </w:p>
        </w:tc>
        <w:tc>
          <w:tcPr>
            <w:tcW w:w="1044"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2</w:t>
            </w:r>
          </w:p>
        </w:tc>
        <w:tc>
          <w:tcPr>
            <w:tcW w:w="924"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2</w:t>
            </w:r>
          </w:p>
        </w:tc>
        <w:tc>
          <w:tcPr>
            <w:tcW w:w="1215"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7" w:hRule="atLeast"/>
          <w:jc w:val="center"/>
        </w:trPr>
        <w:tc>
          <w:tcPr>
            <w:tcW w:w="1104" w:type="dxa"/>
            <w:vMerge w:val="continue"/>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continue"/>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707"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制度执行</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有效性</w:t>
            </w:r>
          </w:p>
        </w:tc>
        <w:tc>
          <w:tcPr>
            <w:tcW w:w="727"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eastAsia="zh-CN"/>
              </w:rPr>
            </w:pPr>
            <w:r>
              <w:rPr>
                <w:rFonts w:hint="eastAsia" w:ascii="宋体" w:hAnsi="宋体" w:cs="宋体"/>
                <w:color w:val="000000"/>
                <w:kern w:val="0"/>
                <w:sz w:val="18"/>
                <w:szCs w:val="18"/>
                <w:lang w:val="en-US" w:eastAsia="zh-CN"/>
              </w:rPr>
              <w:t>2</w:t>
            </w:r>
          </w:p>
        </w:tc>
        <w:tc>
          <w:tcPr>
            <w:tcW w:w="1044"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2</w:t>
            </w:r>
          </w:p>
        </w:tc>
        <w:tc>
          <w:tcPr>
            <w:tcW w:w="924"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2</w:t>
            </w:r>
          </w:p>
        </w:tc>
        <w:tc>
          <w:tcPr>
            <w:tcW w:w="1215"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3" w:hRule="atLeast"/>
          <w:jc w:val="center"/>
        </w:trPr>
        <w:tc>
          <w:tcPr>
            <w:tcW w:w="1104" w:type="dxa"/>
            <w:vMerge w:val="restart"/>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w:t>
            </w:r>
          </w:p>
        </w:tc>
        <w:tc>
          <w:tcPr>
            <w:tcW w:w="990" w:type="dxa"/>
            <w:vMerge w:val="restart"/>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kern w:val="0"/>
                <w:sz w:val="18"/>
                <w:szCs w:val="18"/>
              </w:rPr>
              <w:t>50分</w:t>
            </w:r>
          </w:p>
        </w:tc>
        <w:tc>
          <w:tcPr>
            <w:tcW w:w="1283"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产出数量</w:t>
            </w:r>
          </w:p>
        </w:tc>
        <w:tc>
          <w:tcPr>
            <w:tcW w:w="1707"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实际完成率</w:t>
            </w:r>
          </w:p>
        </w:tc>
        <w:tc>
          <w:tcPr>
            <w:tcW w:w="727"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18</w:t>
            </w:r>
          </w:p>
        </w:tc>
        <w:tc>
          <w:tcPr>
            <w:tcW w:w="1044"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18</w:t>
            </w:r>
          </w:p>
        </w:tc>
        <w:tc>
          <w:tcPr>
            <w:tcW w:w="924"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18</w:t>
            </w:r>
          </w:p>
        </w:tc>
        <w:tc>
          <w:tcPr>
            <w:tcW w:w="1215"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6" w:hRule="atLeast"/>
          <w:jc w:val="center"/>
        </w:trPr>
        <w:tc>
          <w:tcPr>
            <w:tcW w:w="1104" w:type="dxa"/>
            <w:vMerge w:val="continue"/>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产出质量</w:t>
            </w:r>
          </w:p>
        </w:tc>
        <w:tc>
          <w:tcPr>
            <w:tcW w:w="1707"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质量达标率</w:t>
            </w:r>
          </w:p>
        </w:tc>
        <w:tc>
          <w:tcPr>
            <w:tcW w:w="727"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16</w:t>
            </w:r>
          </w:p>
        </w:tc>
        <w:tc>
          <w:tcPr>
            <w:tcW w:w="1044"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16</w:t>
            </w:r>
          </w:p>
        </w:tc>
        <w:tc>
          <w:tcPr>
            <w:tcW w:w="924"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16</w:t>
            </w:r>
          </w:p>
        </w:tc>
        <w:tc>
          <w:tcPr>
            <w:tcW w:w="1215"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2" w:hRule="atLeast"/>
          <w:jc w:val="center"/>
        </w:trPr>
        <w:tc>
          <w:tcPr>
            <w:tcW w:w="1104" w:type="dxa"/>
            <w:vMerge w:val="continue"/>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产出时效</w:t>
            </w:r>
          </w:p>
        </w:tc>
        <w:tc>
          <w:tcPr>
            <w:tcW w:w="1707"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完成及时性</w:t>
            </w:r>
          </w:p>
        </w:tc>
        <w:tc>
          <w:tcPr>
            <w:tcW w:w="727"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eastAsia="zh-CN"/>
              </w:rPr>
            </w:pPr>
            <w:r>
              <w:rPr>
                <w:rFonts w:hint="eastAsia" w:ascii="宋体" w:hAnsi="宋体" w:cs="宋体"/>
                <w:color w:val="000000"/>
                <w:kern w:val="0"/>
                <w:sz w:val="18"/>
                <w:szCs w:val="18"/>
                <w:lang w:val="en-US" w:eastAsia="zh-CN"/>
              </w:rPr>
              <w:t>8</w:t>
            </w:r>
          </w:p>
        </w:tc>
        <w:tc>
          <w:tcPr>
            <w:tcW w:w="1044"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8</w:t>
            </w:r>
          </w:p>
        </w:tc>
        <w:tc>
          <w:tcPr>
            <w:tcW w:w="924"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8</w:t>
            </w:r>
          </w:p>
        </w:tc>
        <w:tc>
          <w:tcPr>
            <w:tcW w:w="1215"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jc w:val="center"/>
        </w:trPr>
        <w:tc>
          <w:tcPr>
            <w:tcW w:w="1104" w:type="dxa"/>
            <w:vMerge w:val="continue"/>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产出成本</w:t>
            </w:r>
          </w:p>
        </w:tc>
        <w:tc>
          <w:tcPr>
            <w:tcW w:w="1707"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成本节约率</w:t>
            </w:r>
          </w:p>
        </w:tc>
        <w:tc>
          <w:tcPr>
            <w:tcW w:w="727"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eastAsia="zh-CN"/>
              </w:rPr>
            </w:pPr>
            <w:r>
              <w:rPr>
                <w:rFonts w:hint="eastAsia" w:ascii="宋体" w:hAnsi="宋体" w:cs="宋体"/>
                <w:color w:val="000000"/>
                <w:kern w:val="0"/>
                <w:sz w:val="18"/>
                <w:szCs w:val="18"/>
                <w:lang w:val="en-US" w:eastAsia="zh-CN"/>
              </w:rPr>
              <w:t>8</w:t>
            </w:r>
          </w:p>
        </w:tc>
        <w:tc>
          <w:tcPr>
            <w:tcW w:w="1044"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8</w:t>
            </w:r>
          </w:p>
        </w:tc>
        <w:tc>
          <w:tcPr>
            <w:tcW w:w="924"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8</w:t>
            </w:r>
          </w:p>
        </w:tc>
        <w:tc>
          <w:tcPr>
            <w:tcW w:w="1215"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jc w:val="center"/>
        </w:trPr>
        <w:tc>
          <w:tcPr>
            <w:tcW w:w="1104" w:type="dxa"/>
            <w:vMerge w:val="restart"/>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效益　</w:t>
            </w:r>
          </w:p>
        </w:tc>
        <w:tc>
          <w:tcPr>
            <w:tcW w:w="990" w:type="dxa"/>
            <w:vMerge w:val="restart"/>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3</w:t>
            </w:r>
            <w:r>
              <w:rPr>
                <w:rFonts w:hint="eastAsia" w:ascii="宋体" w:hAnsi="宋体" w:cs="宋体"/>
                <w:color w:val="000000"/>
                <w:kern w:val="0"/>
                <w:sz w:val="18"/>
                <w:szCs w:val="18"/>
              </w:rPr>
              <w:t>0分</w:t>
            </w:r>
          </w:p>
        </w:tc>
        <w:tc>
          <w:tcPr>
            <w:tcW w:w="1283" w:type="dxa"/>
            <w:vMerge w:val="restart"/>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项目效益　</w:t>
            </w:r>
          </w:p>
        </w:tc>
        <w:tc>
          <w:tcPr>
            <w:tcW w:w="1707"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实施效益</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（社会效益、经济效益、可持续效益）</w:t>
            </w:r>
          </w:p>
        </w:tc>
        <w:tc>
          <w:tcPr>
            <w:tcW w:w="727"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2</w:t>
            </w:r>
            <w:r>
              <w:rPr>
                <w:rFonts w:hint="eastAsia" w:ascii="宋体" w:hAnsi="宋体" w:cs="宋体"/>
                <w:color w:val="000000"/>
                <w:kern w:val="0"/>
                <w:sz w:val="18"/>
                <w:szCs w:val="18"/>
              </w:rPr>
              <w:t>0</w:t>
            </w:r>
          </w:p>
        </w:tc>
        <w:tc>
          <w:tcPr>
            <w:tcW w:w="1044"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2</w:t>
            </w:r>
            <w:r>
              <w:rPr>
                <w:rFonts w:hint="eastAsia" w:ascii="宋体" w:hAnsi="宋体" w:cs="宋体"/>
                <w:color w:val="000000"/>
                <w:kern w:val="0"/>
                <w:sz w:val="18"/>
                <w:szCs w:val="18"/>
              </w:rPr>
              <w:t>0</w:t>
            </w:r>
          </w:p>
        </w:tc>
        <w:tc>
          <w:tcPr>
            <w:tcW w:w="924"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2</w:t>
            </w:r>
            <w:r>
              <w:rPr>
                <w:rFonts w:hint="eastAsia" w:ascii="宋体" w:hAnsi="宋体" w:cs="宋体"/>
                <w:color w:val="000000"/>
                <w:kern w:val="0"/>
                <w:sz w:val="18"/>
                <w:szCs w:val="18"/>
              </w:rPr>
              <w:t>0</w:t>
            </w:r>
          </w:p>
        </w:tc>
        <w:tc>
          <w:tcPr>
            <w:tcW w:w="1215"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2</w:t>
            </w:r>
            <w:r>
              <w:rPr>
                <w:rFonts w:hint="eastAsia" w:ascii="宋体" w:hAnsi="宋体" w:cs="宋体"/>
                <w:color w:val="000000"/>
                <w:kern w:val="0"/>
                <w:sz w:val="18"/>
                <w:szCs w:val="18"/>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6" w:hRule="atLeast"/>
          <w:jc w:val="center"/>
        </w:trPr>
        <w:tc>
          <w:tcPr>
            <w:tcW w:w="1104" w:type="dxa"/>
            <w:vMerge w:val="continue"/>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continue"/>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707"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满意度</w:t>
            </w:r>
          </w:p>
        </w:tc>
        <w:tc>
          <w:tcPr>
            <w:tcW w:w="727"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1044"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924"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1215"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r>
    </w:tbl>
    <w:p>
      <w:pPr>
        <w:pageBreakBefore w:val="0"/>
        <w:kinsoku/>
        <w:wordWrap/>
        <w:overflowPunct/>
        <w:topLinePunct w:val="0"/>
        <w:autoSpaceDE/>
        <w:autoSpaceDN/>
        <w:bidi w:val="0"/>
        <w:adjustRightInd/>
        <w:snapToGrid/>
        <w:spacing w:line="560" w:lineRule="exact"/>
        <w:textAlignment w:val="auto"/>
      </w:pPr>
    </w:p>
    <w:p>
      <w:pPr>
        <w:pageBreakBefore w:val="0"/>
        <w:kinsoku/>
        <w:wordWrap/>
        <w:overflowPunct/>
        <w:topLinePunct w:val="0"/>
        <w:autoSpaceDE/>
        <w:autoSpaceDN/>
        <w:bidi w:val="0"/>
        <w:adjustRightInd/>
        <w:snapToGrid/>
        <w:spacing w:line="560" w:lineRule="exact"/>
        <w:textAlignment w:val="auto"/>
      </w:pPr>
    </w:p>
    <w:p>
      <w:pPr>
        <w:pageBreakBefore w:val="0"/>
        <w:kinsoku/>
        <w:wordWrap/>
        <w:overflowPunct/>
        <w:topLinePunct w:val="0"/>
        <w:autoSpaceDE/>
        <w:autoSpaceDN/>
        <w:bidi w:val="0"/>
        <w:adjustRightInd/>
        <w:snapToGrid/>
        <w:spacing w:line="560" w:lineRule="exact"/>
        <w:ind w:firstLine="643" w:firstLineChars="200"/>
        <w:textAlignment w:val="auto"/>
        <w:rPr>
          <w:rFonts w:ascii="黑体" w:hAnsi="黑体" w:eastAsia="黑体"/>
          <w:b/>
          <w:bCs/>
          <w:sz w:val="32"/>
          <w:szCs w:val="32"/>
        </w:rPr>
      </w:pPr>
      <w:r>
        <w:rPr>
          <w:rFonts w:hint="eastAsia" w:ascii="黑体" w:hAnsi="黑体" w:eastAsia="黑体"/>
          <w:b/>
          <w:bCs/>
          <w:sz w:val="32"/>
          <w:szCs w:val="32"/>
        </w:rPr>
        <w:t>四、绩效评价指标分析</w:t>
      </w:r>
    </w:p>
    <w:p>
      <w:pPr>
        <w:pStyle w:val="2"/>
        <w:pageBreakBefore w:val="0"/>
        <w:kinsoku/>
        <w:wordWrap/>
        <w:overflowPunct/>
        <w:topLinePunct w:val="0"/>
        <w:autoSpaceDE/>
        <w:autoSpaceDN/>
        <w:bidi w:val="0"/>
        <w:adjustRightInd/>
        <w:snapToGrid/>
        <w:spacing w:before="0" w:after="0" w:line="560" w:lineRule="exact"/>
        <w:ind w:firstLine="643" w:firstLineChars="200"/>
        <w:jc w:val="both"/>
        <w:textAlignment w:val="auto"/>
        <w:rPr>
          <w:rFonts w:hint="eastAsia" w:ascii="楷体_GB2312" w:hAnsi="楷体_GB2312" w:eastAsia="楷体_GB2312" w:cs="楷体_GB2312"/>
        </w:rPr>
      </w:pPr>
      <w:r>
        <w:rPr>
          <w:rFonts w:hint="eastAsia" w:ascii="楷体_GB2312" w:hAnsi="楷体_GB2312" w:eastAsia="楷体_GB2312" w:cs="楷体_GB2312"/>
        </w:rPr>
        <w:t>（一）项目决策情况</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项目决策指标从项目立项、绩效目标、资金投入3个方面对项目的决策进行考察，项目决策类指标分值</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分，实际得分</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分，得分率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对于“项目立项”，</w:t>
      </w:r>
      <w:r>
        <w:rPr>
          <w:rFonts w:hint="eastAsia" w:ascii="仿宋_GB2312" w:hAnsi="仿宋_GB2312" w:eastAsia="仿宋_GB2312" w:cs="仿宋_GB2312"/>
          <w:sz w:val="32"/>
          <w:szCs w:val="32"/>
          <w:lang w:val="en-US" w:eastAsia="zh-CN"/>
        </w:rPr>
        <w:t>塔城地区第二次全国污染源普查</w:t>
      </w:r>
      <w:r>
        <w:rPr>
          <w:rFonts w:hint="eastAsia" w:ascii="仿宋_GB2312" w:hAnsi="仿宋_GB2312" w:eastAsia="仿宋_GB2312" w:cs="仿宋_GB2312"/>
          <w:sz w:val="32"/>
          <w:szCs w:val="32"/>
        </w:rPr>
        <w:t>项目</w:t>
      </w:r>
      <w:r>
        <w:rPr>
          <w:rFonts w:hint="eastAsia" w:ascii="仿宋_GB2312" w:hAnsi="仿宋_GB2312" w:eastAsia="仿宋_GB2312" w:cs="仿宋_GB2312"/>
          <w:sz w:val="32"/>
          <w:szCs w:val="32"/>
          <w:lang w:val="en-US" w:eastAsia="zh-CN"/>
        </w:rPr>
        <w:t>的相</w:t>
      </w:r>
      <w:r>
        <w:rPr>
          <w:rFonts w:hint="eastAsia" w:ascii="仿宋_GB2312" w:hAnsi="仿宋_GB2312" w:eastAsia="仿宋_GB2312" w:cs="仿宋_GB2312"/>
          <w:sz w:val="32"/>
          <w:szCs w:val="32"/>
        </w:rPr>
        <w:t>要求，在合理</w:t>
      </w:r>
      <w:r>
        <w:rPr>
          <w:rFonts w:hint="eastAsia" w:ascii="仿宋_GB2312" w:hAnsi="仿宋_GB2312" w:eastAsia="仿宋_GB2312" w:cs="仿宋_GB2312"/>
          <w:sz w:val="32"/>
          <w:szCs w:val="32"/>
          <w:lang w:val="en-US" w:eastAsia="zh-CN"/>
        </w:rPr>
        <w:t>时间</w:t>
      </w:r>
      <w:r>
        <w:rPr>
          <w:rFonts w:hint="eastAsia" w:ascii="仿宋_GB2312" w:hAnsi="仿宋_GB2312" w:eastAsia="仿宋_GB2312" w:cs="仿宋_GB2312"/>
          <w:sz w:val="32"/>
          <w:szCs w:val="32"/>
        </w:rPr>
        <w:t>内完成</w:t>
      </w:r>
      <w:r>
        <w:rPr>
          <w:rFonts w:hint="eastAsia" w:ascii="仿宋_GB2312" w:hAnsi="仿宋_GB2312" w:eastAsia="仿宋_GB2312" w:cs="仿宋_GB2312"/>
          <w:sz w:val="32"/>
          <w:szCs w:val="32"/>
          <w:lang w:val="en-US" w:eastAsia="zh-CN"/>
        </w:rPr>
        <w:t>普查</w:t>
      </w:r>
      <w:r>
        <w:rPr>
          <w:rFonts w:hint="eastAsia" w:ascii="仿宋_GB2312" w:hAnsi="仿宋_GB2312" w:eastAsia="仿宋_GB2312" w:cs="仿宋_GB2312"/>
          <w:sz w:val="32"/>
          <w:szCs w:val="32"/>
        </w:rPr>
        <w:t>任务，保障</w:t>
      </w:r>
      <w:r>
        <w:rPr>
          <w:rFonts w:hint="eastAsia" w:ascii="仿宋_GB2312" w:hAnsi="仿宋_GB2312" w:eastAsia="仿宋_GB2312" w:cs="仿宋_GB2312"/>
          <w:sz w:val="32"/>
          <w:szCs w:val="32"/>
          <w:lang w:val="en-US" w:eastAsia="zh-CN"/>
        </w:rPr>
        <w:t>普查数据</w:t>
      </w:r>
      <w:r>
        <w:rPr>
          <w:rFonts w:hint="eastAsia" w:ascii="仿宋_GB2312" w:hAnsi="仿宋_GB2312" w:eastAsia="仿宋_GB2312" w:cs="仿宋_GB2312"/>
          <w:sz w:val="32"/>
          <w:szCs w:val="32"/>
        </w:rPr>
        <w:t>质量，有效控制投资概算，实现项目要求的经济、社会、可持续影响效益指标。项目的立项符合规划，项目单位的绩效指标设置表述清晰、设置合理、指标设置完整。根据评分标准，实际得分率为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对于“绩效目标”，</w:t>
      </w:r>
      <w:r>
        <w:rPr>
          <w:rFonts w:hint="eastAsia" w:ascii="仿宋_GB2312" w:hAnsi="仿宋_GB2312" w:eastAsia="仿宋_GB2312" w:cs="仿宋_GB2312"/>
          <w:sz w:val="32"/>
          <w:szCs w:val="32"/>
          <w:lang w:val="en-US" w:eastAsia="zh-CN"/>
        </w:rPr>
        <w:t>塔城地区第二次全国污染源普查</w:t>
      </w:r>
      <w:r>
        <w:rPr>
          <w:rFonts w:hint="eastAsia" w:ascii="仿宋_GB2312" w:hAnsi="仿宋_GB2312" w:eastAsia="仿宋_GB2312" w:cs="仿宋_GB2312"/>
          <w:sz w:val="32"/>
          <w:szCs w:val="32"/>
        </w:rPr>
        <w:t>项目，设置了较为详细的项目支出绩效目标，项目绩效目标的设置，满足合理性和明确性的要求。根据评分标准，该指标实际得分率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对于“资金投入”，</w:t>
      </w:r>
      <w:r>
        <w:rPr>
          <w:rFonts w:hint="eastAsia" w:ascii="仿宋_GB2312" w:hAnsi="仿宋_GB2312" w:eastAsia="仿宋_GB2312" w:cs="仿宋_GB2312"/>
          <w:sz w:val="32"/>
          <w:szCs w:val="32"/>
          <w:lang w:val="en-US" w:eastAsia="zh-CN"/>
        </w:rPr>
        <w:t>塔城地区第二次全国污染源普查</w:t>
      </w:r>
      <w:r>
        <w:rPr>
          <w:rFonts w:hint="eastAsia" w:ascii="仿宋_GB2312" w:hAnsi="仿宋_GB2312" w:eastAsia="仿宋_GB2312" w:cs="仿宋_GB2312"/>
          <w:sz w:val="32"/>
          <w:szCs w:val="32"/>
        </w:rPr>
        <w:t>项目，资金全部投入到位，总投资</w:t>
      </w:r>
      <w:r>
        <w:rPr>
          <w:rFonts w:hint="eastAsia" w:ascii="仿宋_GB2312" w:hAnsi="仿宋_GB2312" w:eastAsia="仿宋_GB2312" w:cs="仿宋_GB2312"/>
          <w:sz w:val="32"/>
          <w:szCs w:val="32"/>
          <w:lang w:val="en-US" w:eastAsia="zh-CN"/>
        </w:rPr>
        <w:t>28.89</w:t>
      </w:r>
      <w:r>
        <w:rPr>
          <w:rFonts w:hint="eastAsia" w:ascii="仿宋_GB2312" w:hAnsi="仿宋_GB2312" w:eastAsia="仿宋_GB2312" w:cs="仿宋_GB2312"/>
          <w:sz w:val="32"/>
          <w:szCs w:val="32"/>
        </w:rPr>
        <w:t>万元。根据评分标准，该指标实际得分率100%。</w:t>
      </w:r>
    </w:p>
    <w:p>
      <w:pPr>
        <w:pStyle w:val="2"/>
        <w:pageBreakBefore w:val="0"/>
        <w:kinsoku/>
        <w:wordWrap/>
        <w:overflowPunct/>
        <w:topLinePunct w:val="0"/>
        <w:autoSpaceDE/>
        <w:autoSpaceDN/>
        <w:bidi w:val="0"/>
        <w:adjustRightInd/>
        <w:snapToGrid/>
        <w:spacing w:before="0" w:after="0" w:line="560" w:lineRule="exact"/>
        <w:ind w:firstLine="643" w:firstLineChars="200"/>
        <w:jc w:val="both"/>
        <w:textAlignment w:val="auto"/>
        <w:rPr>
          <w:rFonts w:hint="eastAsia" w:ascii="楷体_GB2312" w:hAnsi="楷体_GB2312" w:eastAsia="楷体_GB2312" w:cs="楷体_GB2312"/>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二</w:t>
      </w:r>
      <w:r>
        <w:rPr>
          <w:rFonts w:hint="eastAsia" w:ascii="楷体_GB2312" w:hAnsi="楷体_GB2312" w:eastAsia="楷体_GB2312" w:cs="楷体_GB2312"/>
          <w:lang w:eastAsia="zh-CN"/>
        </w:rPr>
        <w:t>）</w:t>
      </w:r>
      <w:r>
        <w:rPr>
          <w:rFonts w:hint="eastAsia" w:ascii="楷体_GB2312" w:hAnsi="楷体_GB2312" w:eastAsia="楷体_GB2312" w:cs="楷体_GB2312"/>
        </w:rPr>
        <w:t>项目过程情况</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项目管理指标从资金到位率、预算执行率、资金使用合规性、管理制度健全性、制度执行有效性5个方面对项目的管理情况进行考察。项目管理类指标分值</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分，实际得分</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分，得分率为100%。</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对于“预算执行率”，项目经过向本级财政申请资金，20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年取得财政拨款资金</w:t>
      </w:r>
      <w:r>
        <w:rPr>
          <w:rFonts w:hint="eastAsia" w:ascii="仿宋_GB2312" w:hAnsi="仿宋_GB2312" w:eastAsia="仿宋_GB2312" w:cs="仿宋_GB2312"/>
          <w:sz w:val="32"/>
          <w:szCs w:val="32"/>
          <w:lang w:val="en-US" w:eastAsia="zh-CN"/>
        </w:rPr>
        <w:t>28.89</w:t>
      </w:r>
      <w:r>
        <w:rPr>
          <w:rFonts w:hint="eastAsia" w:ascii="仿宋_GB2312" w:hAnsi="仿宋_GB2312" w:eastAsia="仿宋_GB2312" w:cs="仿宋_GB2312"/>
          <w:sz w:val="32"/>
          <w:szCs w:val="32"/>
        </w:rPr>
        <w:t>万元，项目资金预算经过集体讨论，并经批复。项目预算资金为</w:t>
      </w:r>
      <w:r>
        <w:rPr>
          <w:rFonts w:hint="eastAsia" w:ascii="仿宋_GB2312" w:hAnsi="仿宋_GB2312" w:eastAsia="仿宋_GB2312" w:cs="仿宋_GB2312"/>
          <w:sz w:val="32"/>
          <w:szCs w:val="32"/>
          <w:lang w:val="en-US" w:eastAsia="zh-CN"/>
        </w:rPr>
        <w:t>28.89</w:t>
      </w:r>
      <w:r>
        <w:rPr>
          <w:rFonts w:hint="eastAsia" w:ascii="仿宋_GB2312" w:hAnsi="仿宋_GB2312" w:eastAsia="仿宋_GB2312" w:cs="仿宋_GB2312"/>
          <w:sz w:val="32"/>
          <w:szCs w:val="32"/>
        </w:rPr>
        <w:t>万元，实际使用</w:t>
      </w:r>
      <w:r>
        <w:rPr>
          <w:rFonts w:hint="eastAsia" w:ascii="仿宋_GB2312" w:hAnsi="仿宋_GB2312" w:eastAsia="仿宋_GB2312" w:cs="仿宋_GB2312"/>
          <w:sz w:val="32"/>
          <w:szCs w:val="32"/>
          <w:lang w:val="en-US" w:eastAsia="zh-CN"/>
        </w:rPr>
        <w:t>28.89</w:t>
      </w:r>
      <w:r>
        <w:rPr>
          <w:rFonts w:hint="eastAsia" w:ascii="仿宋_GB2312" w:hAnsi="仿宋_GB2312" w:eastAsia="仿宋_GB2312" w:cs="仿宋_GB2312"/>
          <w:sz w:val="32"/>
          <w:szCs w:val="32"/>
        </w:rPr>
        <w:t>万元。根据评分标准，该指标实际得分率100%。</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对于“资金到位率”，项目资金到位及时，到位率为100%。根据评分标准，该指标不扣分。</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对于“资金使用合规性”</w:t>
      </w:r>
      <w:r>
        <w:rPr>
          <w:rFonts w:hint="eastAsia" w:ascii="仿宋_GB2312" w:hAnsi="仿宋_GB2312" w:eastAsia="仿宋_GB2312" w:cs="仿宋_GB2312"/>
          <w:sz w:val="32"/>
          <w:szCs w:val="32"/>
          <w:lang w:val="en-US" w:eastAsia="zh-CN"/>
        </w:rPr>
        <w:t>塔城地区第二次全国污染源普查</w:t>
      </w:r>
      <w:r>
        <w:rPr>
          <w:rFonts w:hint="eastAsia" w:ascii="仿宋_GB2312" w:hAnsi="仿宋_GB2312" w:eastAsia="仿宋_GB2312" w:cs="仿宋_GB2312"/>
          <w:sz w:val="32"/>
          <w:szCs w:val="32"/>
        </w:rPr>
        <w:t>项目地区按照专项资金列支的范围使用资金，支出范围合规；资金支出能按财务制度执行，并能按国库集中支付制度规定执行，不存在资金违纪违规使用情况。按评分标准，指标实际得分率100%。</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对于“管理制度健全性”，</w:t>
      </w:r>
      <w:r>
        <w:rPr>
          <w:rFonts w:hint="eastAsia" w:ascii="仿宋_GB2312" w:hAnsi="仿宋_GB2312" w:eastAsia="仿宋_GB2312" w:cs="仿宋_GB2312"/>
          <w:sz w:val="32"/>
          <w:szCs w:val="32"/>
          <w:lang w:val="en-US" w:eastAsia="zh-CN"/>
        </w:rPr>
        <w:t>塔城地区第二次全国污染源普查</w:t>
      </w:r>
      <w:r>
        <w:rPr>
          <w:rFonts w:hint="eastAsia" w:ascii="仿宋_GB2312" w:hAnsi="仿宋_GB2312" w:eastAsia="仿宋_GB2312" w:cs="仿宋_GB2312"/>
          <w:sz w:val="32"/>
          <w:szCs w:val="32"/>
        </w:rPr>
        <w:t>项目，分工明确，不存在不相容岗位兼任情况。根据评分标准，该指标不扣分。</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对于“制度执行有效性”，</w:t>
      </w:r>
      <w:r>
        <w:rPr>
          <w:rFonts w:hint="eastAsia" w:ascii="仿宋_GB2312" w:hAnsi="仿宋_GB2312" w:eastAsia="仿宋_GB2312" w:cs="仿宋_GB2312"/>
          <w:sz w:val="32"/>
          <w:szCs w:val="32"/>
          <w:lang w:val="en-US" w:eastAsia="zh-CN"/>
        </w:rPr>
        <w:t>塔城地区第二次全国污染源普查</w:t>
      </w:r>
      <w:r>
        <w:rPr>
          <w:rFonts w:hint="eastAsia" w:ascii="仿宋_GB2312" w:hAnsi="仿宋_GB2312" w:eastAsia="仿宋_GB2312" w:cs="仿宋_GB2312"/>
          <w:sz w:val="32"/>
          <w:szCs w:val="32"/>
        </w:rPr>
        <w:t>项目制定了项目资金管理制度，管理制度包括预算、资产、采购等管理办法；项目建设</w:t>
      </w:r>
      <w:r>
        <w:rPr>
          <w:rFonts w:hint="eastAsia" w:ascii="仿宋_GB2312" w:hAnsi="仿宋_GB2312" w:eastAsia="仿宋_GB2312" w:cs="仿宋_GB2312"/>
          <w:sz w:val="32"/>
          <w:szCs w:val="32"/>
          <w:lang w:val="en-US" w:eastAsia="zh-CN"/>
        </w:rPr>
        <w:t>是由党中央国务院下发的一项重大国情调查任务</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塔城地区二污普办公室</w:t>
      </w:r>
      <w:r>
        <w:rPr>
          <w:rFonts w:hint="eastAsia" w:ascii="仿宋_GB2312" w:hAnsi="仿宋_GB2312" w:eastAsia="仿宋_GB2312" w:cs="仿宋_GB2312"/>
          <w:sz w:val="32"/>
          <w:szCs w:val="32"/>
        </w:rPr>
        <w:t>遵照实施。根据评分标准，该指标</w:t>
      </w:r>
      <w:r>
        <w:rPr>
          <w:rFonts w:hint="eastAsia" w:ascii="仿宋_GB2312" w:hAnsi="仿宋_GB2312" w:eastAsia="仿宋_GB2312" w:cs="仿宋_GB2312"/>
          <w:sz w:val="32"/>
          <w:szCs w:val="32"/>
          <w:lang w:val="en-US" w:eastAsia="zh-CN"/>
        </w:rPr>
        <w:t>不扣</w:t>
      </w:r>
      <w:r>
        <w:rPr>
          <w:rFonts w:hint="eastAsia" w:ascii="仿宋_GB2312" w:hAnsi="仿宋_GB2312" w:eastAsia="仿宋_GB2312" w:cs="仿宋_GB2312"/>
          <w:sz w:val="32"/>
          <w:szCs w:val="32"/>
        </w:rPr>
        <w:t>分。</w:t>
      </w:r>
    </w:p>
    <w:p>
      <w:pPr>
        <w:pStyle w:val="2"/>
        <w:pageBreakBefore w:val="0"/>
        <w:kinsoku/>
        <w:wordWrap/>
        <w:overflowPunct/>
        <w:topLinePunct w:val="0"/>
        <w:autoSpaceDE/>
        <w:autoSpaceDN/>
        <w:bidi w:val="0"/>
        <w:adjustRightInd/>
        <w:snapToGrid/>
        <w:spacing w:before="0" w:after="0" w:line="560" w:lineRule="exact"/>
        <w:ind w:firstLine="643" w:firstLineChars="200"/>
        <w:jc w:val="both"/>
        <w:textAlignment w:val="auto"/>
        <w:rPr>
          <w:rFonts w:hint="eastAsia" w:ascii="楷体_GB2312" w:hAnsi="楷体_GB2312" w:eastAsia="楷体_GB2312" w:cs="楷体_GB2312"/>
          <w:lang w:eastAsia="zh-CN"/>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三</w:t>
      </w:r>
      <w:r>
        <w:rPr>
          <w:rFonts w:hint="eastAsia" w:ascii="楷体_GB2312" w:hAnsi="楷体_GB2312" w:eastAsia="楷体_GB2312" w:cs="楷体_GB2312"/>
          <w:lang w:eastAsia="zh-CN"/>
        </w:rPr>
        <w:t>）项目产出</w:t>
      </w:r>
    </w:p>
    <w:p>
      <w:pPr>
        <w:pStyle w:val="17"/>
        <w:pageBreakBefore w:val="0"/>
        <w:numPr>
          <w:ilvl w:val="0"/>
          <w:numId w:val="0"/>
        </w:numPr>
        <w:kinsoku/>
        <w:wordWrap/>
        <w:overflowPunct/>
        <w:topLinePunct w:val="0"/>
        <w:autoSpaceDE/>
        <w:autoSpaceDN/>
        <w:bidi w:val="0"/>
        <w:adjustRightInd/>
        <w:snapToGrid/>
        <w:spacing w:after="0" w:line="560" w:lineRule="exact"/>
        <w:ind w:firstLine="624" w:firstLineChars="200"/>
        <w:textAlignment w:val="auto"/>
        <w:rPr>
          <w:rFonts w:hint="default" w:ascii="楷体_GB2312" w:hAnsi="楷体_GB2312" w:eastAsia="楷体_GB2312" w:cs="楷体_GB2312"/>
          <w:b/>
          <w:bCs/>
          <w:sz w:val="32"/>
          <w:szCs w:val="32"/>
          <w:lang w:val="en-US" w:eastAsia="zh-CN"/>
        </w:rPr>
      </w:pPr>
      <w:r>
        <w:rPr>
          <w:rStyle w:val="20"/>
          <w:rFonts w:hint="eastAsia" w:ascii="仿宋_GB2312" w:hAnsi="楷体" w:eastAsia="仿宋_GB2312" w:cstheme="minorBidi"/>
          <w:b w:val="0"/>
          <w:spacing w:val="-4"/>
          <w:sz w:val="32"/>
          <w:szCs w:val="32"/>
          <w:lang w:val="en-US" w:eastAsia="zh-CN"/>
        </w:rPr>
        <w:t>项目绩效主要从项目产出的产出数量、产出质量、产出时效、成本情况4个方面对项目的绩效情况进行评价。项目绩效类指标分值50分，实际得分50分，得分率为100%。</w:t>
      </w:r>
    </w:p>
    <w:p>
      <w:pPr>
        <w:pageBreakBefore w:val="0"/>
        <w:kinsoku/>
        <w:wordWrap/>
        <w:overflowPunct/>
        <w:topLinePunct w:val="0"/>
        <w:autoSpaceDE/>
        <w:autoSpaceDN/>
        <w:bidi w:val="0"/>
        <w:adjustRightInd/>
        <w:snapToGrid/>
        <w:spacing w:line="560" w:lineRule="exact"/>
        <w:ind w:firstLine="624" w:firstLineChars="200"/>
        <w:contextualSpacing/>
        <w:textAlignment w:val="auto"/>
        <w:rPr>
          <w:rStyle w:val="20"/>
          <w:rFonts w:hint="eastAsia" w:ascii="仿宋_GB2312" w:hAnsi="楷体" w:eastAsia="仿宋_GB2312" w:cstheme="minorBidi"/>
          <w:b w:val="0"/>
          <w:spacing w:val="-4"/>
          <w:sz w:val="32"/>
          <w:szCs w:val="32"/>
          <w:lang w:val="en-US" w:eastAsia="zh-CN"/>
        </w:rPr>
      </w:pPr>
      <w:r>
        <w:rPr>
          <w:rStyle w:val="20"/>
          <w:rFonts w:hint="eastAsia" w:ascii="仿宋" w:hAnsi="仿宋" w:eastAsia="仿宋" w:cs="仿宋"/>
          <w:b w:val="0"/>
          <w:bCs/>
          <w:spacing w:val="-4"/>
          <w:sz w:val="32"/>
          <w:szCs w:val="32"/>
        </w:rPr>
        <w:t>数量指标方面：</w:t>
      </w:r>
      <w:r>
        <w:rPr>
          <w:rStyle w:val="20"/>
          <w:rFonts w:hint="eastAsia" w:ascii="仿宋_GB2312" w:hAnsi="楷体" w:eastAsia="仿宋_GB2312" w:cstheme="minorBidi"/>
          <w:b w:val="0"/>
          <w:spacing w:val="-4"/>
          <w:sz w:val="32"/>
          <w:szCs w:val="32"/>
          <w:lang w:val="en-US" w:eastAsia="zh-CN"/>
        </w:rPr>
        <w:t>塔城地区《塔城地区第二次全国污染源普查》项目，完成二污普档案整理册数80册，聘用普查人员数量3人，完成对县市验收数量7个，县市指导检查企业数量133家，最终形成《新疆维吾尔自治区塔城地区第二次全国污染源普查技术报告》、《新疆维吾尔自治区塔城地区第二次全国污染源普查数据分析报告》、《新疆维吾尔自治区塔城地区第二次全国污染源普查公报》。根据评分标准，该指标实际得分率100%。</w:t>
      </w:r>
    </w:p>
    <w:p>
      <w:pPr>
        <w:pageBreakBefore w:val="0"/>
        <w:kinsoku/>
        <w:wordWrap/>
        <w:overflowPunct/>
        <w:topLinePunct w:val="0"/>
        <w:autoSpaceDE/>
        <w:autoSpaceDN/>
        <w:bidi w:val="0"/>
        <w:adjustRightInd/>
        <w:snapToGrid/>
        <w:spacing w:line="560" w:lineRule="exact"/>
        <w:ind w:firstLine="640" w:firstLineChars="200"/>
        <w:textAlignment w:val="auto"/>
        <w:rPr>
          <w:rStyle w:val="20"/>
          <w:rFonts w:hint="eastAsia" w:ascii="仿宋_GB2312" w:hAnsi="楷体" w:eastAsia="仿宋_GB2312" w:cstheme="minorBidi"/>
          <w:b w:val="0"/>
          <w:spacing w:val="-4"/>
          <w:sz w:val="32"/>
          <w:szCs w:val="32"/>
          <w:lang w:val="en-US" w:eastAsia="zh-CN"/>
        </w:rPr>
      </w:pPr>
      <w:r>
        <w:rPr>
          <w:rStyle w:val="49"/>
          <w:rFonts w:hint="eastAsia"/>
          <w:color w:val="auto"/>
        </w:rPr>
        <w:t>质量指标方面：</w:t>
      </w:r>
      <w:r>
        <w:rPr>
          <w:rStyle w:val="20"/>
          <w:rFonts w:hint="eastAsia" w:ascii="仿宋_GB2312" w:hAnsi="楷体" w:eastAsia="仿宋_GB2312" w:cstheme="minorBidi"/>
          <w:b w:val="0"/>
          <w:spacing w:val="-4"/>
          <w:sz w:val="32"/>
          <w:szCs w:val="32"/>
          <w:lang w:eastAsia="zh-CN"/>
        </w:rPr>
        <w:t>严格把好数据质量审核关，提高数据质量的逻辑性、准确性及真实性，并通过</w:t>
      </w:r>
      <w:r>
        <w:rPr>
          <w:rStyle w:val="20"/>
          <w:rFonts w:hint="eastAsia" w:ascii="仿宋_GB2312" w:hAnsi="楷体" w:eastAsia="仿宋_GB2312" w:cstheme="minorBidi"/>
          <w:b w:val="0"/>
          <w:spacing w:val="-4"/>
          <w:sz w:val="32"/>
          <w:szCs w:val="32"/>
          <w:lang w:val="en-US" w:eastAsia="zh-CN"/>
        </w:rPr>
        <w:t>自治区第二次全国污染源普查质量领导小组的验收。根据评分标准，该指标不扣分。</w:t>
      </w:r>
    </w:p>
    <w:p>
      <w:pPr>
        <w:pageBreakBefore w:val="0"/>
        <w:kinsoku/>
        <w:wordWrap/>
        <w:overflowPunct/>
        <w:topLinePunct w:val="0"/>
        <w:autoSpaceDE/>
        <w:autoSpaceDN/>
        <w:bidi w:val="0"/>
        <w:adjustRightInd/>
        <w:snapToGrid/>
        <w:spacing w:line="560" w:lineRule="exact"/>
        <w:ind w:firstLine="640" w:firstLineChars="200"/>
        <w:contextualSpacing/>
        <w:textAlignment w:val="auto"/>
        <w:rPr>
          <w:rStyle w:val="20"/>
          <w:rFonts w:hint="eastAsia" w:ascii="仿宋_GB2312" w:hAnsi="楷体" w:eastAsia="仿宋_GB2312" w:cstheme="minorBidi"/>
          <w:b w:val="0"/>
          <w:spacing w:val="-4"/>
          <w:sz w:val="32"/>
          <w:szCs w:val="32"/>
          <w:lang w:val="en-US" w:eastAsia="zh-CN"/>
        </w:rPr>
      </w:pPr>
      <w:r>
        <w:rPr>
          <w:rStyle w:val="49"/>
          <w:rFonts w:hint="eastAsia"/>
          <w:b w:val="0"/>
          <w:bCs w:val="0"/>
          <w:color w:val="auto"/>
          <w:lang w:val="en-US" w:eastAsia="zh-CN"/>
        </w:rPr>
        <w:t>成本指标方面：</w:t>
      </w:r>
      <w:r>
        <w:rPr>
          <w:rStyle w:val="20"/>
          <w:rFonts w:hint="eastAsia" w:ascii="仿宋_GB2312" w:hAnsi="楷体" w:eastAsia="仿宋_GB2312" w:cstheme="minorBidi"/>
          <w:b w:val="0"/>
          <w:spacing w:val="-4"/>
          <w:sz w:val="32"/>
          <w:szCs w:val="32"/>
          <w:lang w:val="en-US" w:eastAsia="zh-CN"/>
        </w:rPr>
        <w:t>根据年初设定的计划投资额，未超出计划投资额，该指标不扣分。</w:t>
      </w:r>
    </w:p>
    <w:p>
      <w:pPr>
        <w:pageBreakBefore w:val="0"/>
        <w:kinsoku/>
        <w:wordWrap/>
        <w:overflowPunct/>
        <w:topLinePunct w:val="0"/>
        <w:autoSpaceDE/>
        <w:autoSpaceDN/>
        <w:bidi w:val="0"/>
        <w:adjustRightInd/>
        <w:snapToGrid/>
        <w:spacing w:line="560" w:lineRule="exact"/>
        <w:ind w:firstLine="640" w:firstLineChars="200"/>
        <w:contextualSpacing/>
        <w:textAlignment w:val="auto"/>
        <w:rPr>
          <w:rStyle w:val="20"/>
          <w:rFonts w:hint="eastAsia" w:ascii="仿宋_GB2312" w:hAnsi="楷体" w:eastAsia="仿宋_GB2312" w:cstheme="minorBidi"/>
          <w:b w:val="0"/>
          <w:spacing w:val="-4"/>
          <w:sz w:val="32"/>
          <w:szCs w:val="32"/>
          <w:lang w:val="en-US" w:eastAsia="zh-CN"/>
        </w:rPr>
      </w:pPr>
      <w:r>
        <w:rPr>
          <w:rStyle w:val="49"/>
          <w:rFonts w:hint="eastAsia"/>
          <w:color w:val="auto"/>
          <w:lang w:val="en-US" w:eastAsia="zh-CN"/>
        </w:rPr>
        <w:t>时效指标方面：</w:t>
      </w:r>
      <w:r>
        <w:rPr>
          <w:rStyle w:val="20"/>
          <w:rFonts w:hint="eastAsia" w:ascii="仿宋_GB2312" w:hAnsi="楷体" w:eastAsia="仿宋_GB2312" w:cstheme="minorBidi"/>
          <w:b w:val="0"/>
          <w:spacing w:val="-4"/>
          <w:sz w:val="32"/>
          <w:szCs w:val="32"/>
          <w:lang w:val="en-US" w:eastAsia="zh-CN"/>
        </w:rPr>
        <w:t>该项目完全按照国务院党中央及自治区第二次污染源普查领导小组办公室的要求在时间节点内完成。按指标评分标准，该指标不扣分。</w:t>
      </w:r>
    </w:p>
    <w:p>
      <w:pPr>
        <w:pStyle w:val="2"/>
        <w:pageBreakBefore w:val="0"/>
        <w:kinsoku/>
        <w:wordWrap/>
        <w:overflowPunct/>
        <w:topLinePunct w:val="0"/>
        <w:autoSpaceDE/>
        <w:autoSpaceDN/>
        <w:bidi w:val="0"/>
        <w:adjustRightInd/>
        <w:snapToGrid/>
        <w:spacing w:before="0" w:after="0" w:line="560" w:lineRule="exact"/>
        <w:ind w:firstLine="643" w:firstLineChars="200"/>
        <w:jc w:val="both"/>
        <w:textAlignment w:val="auto"/>
        <w:rPr>
          <w:rFonts w:hint="eastAsia" w:ascii="楷体_GB2312" w:hAnsi="楷体_GB2312" w:eastAsia="楷体_GB2312" w:cs="楷体_GB2312"/>
          <w:lang w:eastAsia="zh-CN"/>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四</w:t>
      </w:r>
      <w:r>
        <w:rPr>
          <w:rFonts w:hint="eastAsia" w:ascii="楷体_GB2312" w:hAnsi="楷体_GB2312" w:eastAsia="楷体_GB2312" w:cs="楷体_GB2312"/>
          <w:lang w:eastAsia="zh-CN"/>
        </w:rPr>
        <w:t>）效益情况</w:t>
      </w:r>
    </w:p>
    <w:p>
      <w:pPr>
        <w:pageBreakBefore w:val="0"/>
        <w:kinsoku/>
        <w:wordWrap/>
        <w:overflowPunct/>
        <w:topLinePunct w:val="0"/>
        <w:autoSpaceDE/>
        <w:autoSpaceDN/>
        <w:bidi w:val="0"/>
        <w:adjustRightInd/>
        <w:snapToGrid/>
        <w:spacing w:line="560" w:lineRule="exact"/>
        <w:ind w:firstLine="624" w:firstLineChars="200"/>
        <w:textAlignment w:val="auto"/>
        <w:rPr>
          <w:rStyle w:val="20"/>
          <w:rFonts w:hint="eastAsia" w:ascii="仿宋_GB2312" w:hAnsi="楷体" w:eastAsia="仿宋_GB2312" w:cstheme="minorBidi"/>
          <w:b w:val="0"/>
          <w:spacing w:val="-4"/>
          <w:sz w:val="32"/>
          <w:szCs w:val="32"/>
          <w:lang w:val="en-US" w:eastAsia="zh-CN"/>
        </w:rPr>
      </w:pPr>
      <w:r>
        <w:rPr>
          <w:rStyle w:val="20"/>
          <w:rFonts w:hint="eastAsia" w:ascii="仿宋_GB2312" w:hAnsi="楷体" w:eastAsia="仿宋_GB2312" w:cstheme="minorBidi"/>
          <w:b w:val="0"/>
          <w:spacing w:val="-4"/>
          <w:sz w:val="32"/>
          <w:szCs w:val="32"/>
          <w:lang w:val="en-US" w:eastAsia="zh-CN"/>
        </w:rPr>
        <w:t xml:space="preserve">项目绩效主要从项目的社会效益、生态效益、可持续影响指标、服务对象满意度4个方面对项目的绩效情况进行评价。项目绩效类指标分值30分，实际得分30分，得分率为100%。 </w:t>
      </w:r>
    </w:p>
    <w:p>
      <w:pPr>
        <w:pageBreakBefore w:val="0"/>
        <w:kinsoku/>
        <w:wordWrap/>
        <w:overflowPunct/>
        <w:topLinePunct w:val="0"/>
        <w:autoSpaceDE/>
        <w:autoSpaceDN/>
        <w:bidi w:val="0"/>
        <w:adjustRightInd/>
        <w:snapToGrid/>
        <w:spacing w:line="560" w:lineRule="exact"/>
        <w:ind w:firstLine="640" w:firstLineChars="200"/>
        <w:textAlignment w:val="auto"/>
        <w:rPr>
          <w:rStyle w:val="20"/>
          <w:rFonts w:hint="eastAsia" w:ascii="仿宋_GB2312" w:hAnsi="楷体" w:eastAsia="仿宋_GB2312" w:cstheme="minorBidi"/>
          <w:b w:val="0"/>
          <w:spacing w:val="-4"/>
          <w:sz w:val="32"/>
          <w:szCs w:val="32"/>
          <w:lang w:val="en-US" w:eastAsia="zh-CN"/>
        </w:rPr>
      </w:pPr>
      <w:r>
        <w:rPr>
          <w:rStyle w:val="49"/>
          <w:rFonts w:hint="eastAsia"/>
          <w:color w:val="auto"/>
        </w:rPr>
        <w:t>社会效益指标方面：</w:t>
      </w:r>
      <w:r>
        <w:rPr>
          <w:rStyle w:val="20"/>
          <w:rFonts w:hint="eastAsia" w:ascii="仿宋_GB2312" w:hAnsi="楷体" w:eastAsia="仿宋_GB2312" w:cstheme="minorBidi"/>
          <w:b w:val="0"/>
          <w:spacing w:val="-4"/>
          <w:sz w:val="32"/>
          <w:szCs w:val="32"/>
          <w:lang w:val="en-US" w:eastAsia="zh-CN"/>
        </w:rPr>
        <w:t>第二次全国污染源普查项目建立污染源普查数据库，为塔城地区生态环境保护提供一整套行之有效的技术保障。根据评分标准，该指标不扣分。</w:t>
      </w:r>
    </w:p>
    <w:p>
      <w:pPr>
        <w:pageBreakBefore w:val="0"/>
        <w:kinsoku/>
        <w:wordWrap/>
        <w:overflowPunct/>
        <w:topLinePunct w:val="0"/>
        <w:autoSpaceDE/>
        <w:autoSpaceDN/>
        <w:bidi w:val="0"/>
        <w:adjustRightInd/>
        <w:snapToGrid/>
        <w:spacing w:line="560" w:lineRule="exact"/>
        <w:ind w:firstLine="640" w:firstLineChars="200"/>
        <w:textAlignment w:val="auto"/>
        <w:rPr>
          <w:rStyle w:val="20"/>
          <w:rFonts w:hint="eastAsia" w:ascii="仿宋_GB2312" w:hAnsi="楷体" w:eastAsia="仿宋_GB2312" w:cstheme="minorBidi"/>
          <w:b w:val="0"/>
          <w:spacing w:val="-4"/>
          <w:sz w:val="32"/>
          <w:szCs w:val="32"/>
          <w:lang w:val="en-US" w:eastAsia="zh-CN"/>
        </w:rPr>
      </w:pPr>
      <w:r>
        <w:rPr>
          <w:rStyle w:val="49"/>
          <w:rFonts w:hint="eastAsia"/>
          <w:b w:val="0"/>
          <w:bCs w:val="0"/>
          <w:color w:val="auto"/>
          <w:lang w:eastAsia="zh-CN"/>
        </w:rPr>
        <w:t>生态效益指标方面：建立七个县市污染源档案，更好发挥其生态功能。</w:t>
      </w:r>
      <w:r>
        <w:rPr>
          <w:rStyle w:val="20"/>
          <w:rFonts w:hint="eastAsia" w:ascii="仿宋_GB2312" w:hAnsi="楷体" w:eastAsia="仿宋_GB2312" w:cstheme="minorBidi"/>
          <w:b w:val="0"/>
          <w:spacing w:val="-4"/>
          <w:sz w:val="32"/>
          <w:szCs w:val="32"/>
          <w:lang w:val="en-US" w:eastAsia="zh-CN"/>
        </w:rPr>
        <w:t>通过该数据有针对性制定辖区污染防治措施，推进生态文明建设。根据评分标准，该指工业园分。</w:t>
      </w:r>
    </w:p>
    <w:p>
      <w:pPr>
        <w:pageBreakBefore w:val="0"/>
        <w:kinsoku/>
        <w:wordWrap/>
        <w:overflowPunct/>
        <w:topLinePunct w:val="0"/>
        <w:autoSpaceDE/>
        <w:autoSpaceDN/>
        <w:bidi w:val="0"/>
        <w:adjustRightInd/>
        <w:snapToGrid/>
        <w:spacing w:line="560" w:lineRule="exact"/>
        <w:ind w:firstLine="640" w:firstLineChars="200"/>
        <w:textAlignment w:val="auto"/>
        <w:rPr>
          <w:rStyle w:val="49"/>
          <w:rFonts w:hint="eastAsia" w:eastAsia="仿宋_GB2312"/>
          <w:color w:val="auto"/>
          <w:lang w:eastAsia="zh-CN"/>
        </w:rPr>
      </w:pPr>
      <w:r>
        <w:rPr>
          <w:rStyle w:val="49"/>
          <w:color w:val="auto"/>
        </w:rPr>
        <w:t>可持续影响指标</w:t>
      </w:r>
      <w:r>
        <w:rPr>
          <w:rStyle w:val="49"/>
          <w:rFonts w:hint="eastAsia"/>
          <w:color w:val="auto"/>
        </w:rPr>
        <w:t>方面：完成第二次污染源普查各项汇总报告编写，为环境决策服务，确保经济可持续发展</w:t>
      </w:r>
      <w:r>
        <w:rPr>
          <w:rStyle w:val="49"/>
          <w:rFonts w:hint="eastAsia" w:eastAsia="仿宋_GB2312"/>
          <w:color w:val="auto"/>
          <w:lang w:eastAsia="zh-CN"/>
        </w:rPr>
        <w:t>，</w:t>
      </w:r>
      <w:r>
        <w:rPr>
          <w:rStyle w:val="20"/>
          <w:rFonts w:hint="eastAsia" w:ascii="仿宋_GB2312" w:hAnsi="楷体" w:eastAsia="仿宋_GB2312" w:cstheme="minorBidi"/>
          <w:b w:val="0"/>
          <w:spacing w:val="-4"/>
          <w:sz w:val="32"/>
          <w:szCs w:val="32"/>
          <w:lang w:val="en-US" w:eastAsia="zh-CN"/>
        </w:rPr>
        <w:t>根据评分标准，该指标不扣分。</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Style w:val="49"/>
          <w:color w:val="auto"/>
        </w:rPr>
        <w:t>满意度指标</w:t>
      </w:r>
      <w:r>
        <w:rPr>
          <w:rStyle w:val="49"/>
          <w:rFonts w:hint="eastAsia"/>
          <w:color w:val="auto"/>
        </w:rPr>
        <w:t>方面：</w:t>
      </w:r>
      <w:r>
        <w:rPr>
          <w:rStyle w:val="49"/>
          <w:rFonts w:hint="eastAsia" w:eastAsia="仿宋_GB2312"/>
          <w:color w:val="auto"/>
          <w:lang w:eastAsia="zh-CN"/>
        </w:rPr>
        <w:t>该项工作得到了自治区表彰，</w:t>
      </w:r>
      <w:r>
        <w:rPr>
          <w:rStyle w:val="20"/>
          <w:rFonts w:hint="eastAsia" w:ascii="仿宋_GB2312" w:hAnsi="楷体" w:eastAsia="仿宋_GB2312" w:cstheme="minorBidi"/>
          <w:b w:val="0"/>
          <w:spacing w:val="-4"/>
          <w:sz w:val="32"/>
          <w:szCs w:val="32"/>
          <w:lang w:val="en-US" w:eastAsia="zh-CN"/>
        </w:rPr>
        <w:t>根据评分标准，该指标不扣分。</w:t>
      </w:r>
    </w:p>
    <w:p>
      <w:pPr>
        <w:pageBreakBefore w:val="0"/>
        <w:kinsoku/>
        <w:wordWrap/>
        <w:overflowPunct/>
        <w:topLinePunct w:val="0"/>
        <w:autoSpaceDE/>
        <w:autoSpaceDN/>
        <w:bidi w:val="0"/>
        <w:adjustRightInd/>
        <w:snapToGrid/>
        <w:spacing w:line="560" w:lineRule="exact"/>
        <w:ind w:firstLine="643" w:firstLineChars="200"/>
        <w:textAlignment w:val="auto"/>
        <w:rPr>
          <w:rStyle w:val="49"/>
          <w:b/>
          <w:bCs/>
          <w:color w:val="auto"/>
        </w:rPr>
      </w:pPr>
      <w:r>
        <w:rPr>
          <w:rFonts w:hint="eastAsia" w:ascii="黑体" w:hAnsi="黑体" w:eastAsia="黑体"/>
          <w:b/>
          <w:bCs/>
          <w:sz w:val="32"/>
          <w:szCs w:val="32"/>
        </w:rPr>
        <w:t>五、主要经验及做法、存在的问题及原因分析</w:t>
      </w:r>
    </w:p>
    <w:p>
      <w:pPr>
        <w:pageBreakBefore w:val="0"/>
        <w:kinsoku/>
        <w:wordWrap/>
        <w:overflowPunct/>
        <w:topLinePunct w:val="0"/>
        <w:autoSpaceDE/>
        <w:autoSpaceDN/>
        <w:bidi w:val="0"/>
        <w:adjustRightInd/>
        <w:snapToGrid/>
        <w:spacing w:line="560" w:lineRule="exact"/>
        <w:ind w:firstLine="627" w:firstLineChars="200"/>
        <w:textAlignment w:val="auto"/>
        <w:rPr>
          <w:rFonts w:ascii="楷体" w:hAnsi="楷体" w:eastAsia="楷体"/>
          <w:b/>
          <w:spacing w:val="-4"/>
          <w:sz w:val="32"/>
          <w:szCs w:val="32"/>
        </w:rPr>
      </w:pPr>
      <w:r>
        <w:rPr>
          <w:rFonts w:hint="eastAsia" w:ascii="楷体" w:hAnsi="楷体" w:eastAsia="楷体"/>
          <w:b/>
          <w:spacing w:val="-4"/>
          <w:sz w:val="32"/>
          <w:szCs w:val="32"/>
        </w:rPr>
        <w:t>（一）主要经验及做法</w:t>
      </w:r>
    </w:p>
    <w:p>
      <w:pPr>
        <w:pStyle w:val="5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确保项目顺利进行，提前做好项目规划，将所列计划再三审核。在项目实施过程中做好定期监督检查，严格按照项目管理规范进行，在项目管理上执行事前预算评审，事后进行绩效评价，保证预算支出的有效性。在项目资金使用过程中，严格落实把关，按照项目资金使用范围做好审核工作，让项目资金落于实处。</w:t>
      </w:r>
    </w:p>
    <w:p>
      <w:pPr>
        <w:keepNext/>
        <w:keepLines/>
        <w:pageBreakBefore w:val="0"/>
        <w:numPr>
          <w:ilvl w:val="0"/>
          <w:numId w:val="4"/>
        </w:numPr>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存在的问题及原因分析</w:t>
      </w:r>
    </w:p>
    <w:p>
      <w:pPr>
        <w:pageBreakBefore w:val="0"/>
        <w:numPr>
          <w:ilvl w:val="0"/>
          <w:numId w:val="5"/>
        </w:numPr>
        <w:kinsoku/>
        <w:wordWrap/>
        <w:overflowPunct/>
        <w:topLinePunct w:val="0"/>
        <w:autoSpaceDE/>
        <w:autoSpaceDN/>
        <w:bidi w:val="0"/>
        <w:adjustRightInd/>
        <w:snapToGrid/>
        <w:spacing w:line="560" w:lineRule="exact"/>
        <w:ind w:firstLine="627" w:firstLineChars="200"/>
        <w:contextualSpacing/>
        <w:textAlignment w:val="auto"/>
        <w:rPr>
          <w:rStyle w:val="20"/>
          <w:rFonts w:hint="eastAsia" w:ascii="仿宋_GB2312" w:hAnsi="楷体" w:eastAsia="仿宋_GB2312" w:cstheme="minorBidi"/>
          <w:b/>
          <w:bCs w:val="0"/>
          <w:spacing w:val="-4"/>
          <w:sz w:val="32"/>
          <w:szCs w:val="32"/>
          <w:lang w:val="en-US" w:eastAsia="zh-CN"/>
        </w:rPr>
      </w:pPr>
      <w:r>
        <w:rPr>
          <w:rStyle w:val="20"/>
          <w:rFonts w:hint="eastAsia" w:ascii="仿宋_GB2312" w:hAnsi="楷体" w:eastAsia="仿宋_GB2312" w:cstheme="minorBidi"/>
          <w:b/>
          <w:bCs w:val="0"/>
          <w:spacing w:val="-4"/>
          <w:sz w:val="32"/>
          <w:szCs w:val="32"/>
          <w:lang w:val="en-US" w:eastAsia="zh-CN"/>
        </w:rPr>
        <w:t>存在的问题</w:t>
      </w:r>
    </w:p>
    <w:p>
      <w:pPr>
        <w:pStyle w:val="2"/>
        <w:pageBreakBefore w:val="0"/>
        <w:numPr>
          <w:ilvl w:val="0"/>
          <w:numId w:val="0"/>
        </w:numPr>
        <w:kinsoku/>
        <w:wordWrap/>
        <w:overflowPunct/>
        <w:topLinePunct w:val="0"/>
        <w:autoSpaceDE/>
        <w:autoSpaceDN/>
        <w:bidi w:val="0"/>
        <w:adjustRightInd/>
        <w:snapToGrid/>
        <w:spacing w:before="0" w:after="0" w:line="560" w:lineRule="exact"/>
        <w:ind w:firstLine="624" w:firstLineChars="200"/>
        <w:jc w:val="both"/>
        <w:textAlignment w:val="auto"/>
        <w:rPr>
          <w:rStyle w:val="20"/>
          <w:rFonts w:hint="eastAsia" w:ascii="仿宋_GB2312" w:hAnsi="楷体" w:eastAsia="仿宋_GB2312" w:cstheme="minorBidi"/>
          <w:b w:val="0"/>
          <w:bCs/>
          <w:spacing w:val="-4"/>
          <w:kern w:val="2"/>
          <w:sz w:val="32"/>
          <w:szCs w:val="32"/>
          <w:lang w:val="en-US" w:eastAsia="zh-CN" w:bidi="ar-SA"/>
        </w:rPr>
      </w:pPr>
      <w:r>
        <w:rPr>
          <w:rStyle w:val="20"/>
          <w:rFonts w:hint="eastAsia" w:ascii="仿宋_GB2312" w:hAnsi="楷体" w:eastAsia="仿宋_GB2312" w:cstheme="minorBidi"/>
          <w:b w:val="0"/>
          <w:bCs/>
          <w:spacing w:val="-4"/>
          <w:kern w:val="2"/>
          <w:sz w:val="32"/>
          <w:szCs w:val="32"/>
          <w:lang w:val="en-US" w:eastAsia="zh-CN" w:bidi="ar-SA"/>
        </w:rPr>
        <w:t>项目实施前期已根据项目建设内容设置绩效目标，但项目绩效目标级绩效指标设置过于笼统，不够细化，在实际实施绩效监控和绩效评价时较为困难。</w:t>
      </w:r>
    </w:p>
    <w:p>
      <w:pPr>
        <w:pageBreakBefore w:val="0"/>
        <w:kinsoku/>
        <w:wordWrap/>
        <w:overflowPunct/>
        <w:topLinePunct w:val="0"/>
        <w:autoSpaceDE/>
        <w:autoSpaceDN/>
        <w:bidi w:val="0"/>
        <w:adjustRightInd/>
        <w:snapToGrid/>
        <w:spacing w:line="560" w:lineRule="exact"/>
        <w:ind w:firstLine="627" w:firstLineChars="200"/>
        <w:contextualSpacing/>
        <w:textAlignment w:val="auto"/>
        <w:rPr>
          <w:rStyle w:val="20"/>
          <w:rFonts w:hint="eastAsia" w:ascii="仿宋_GB2312" w:hAnsi="楷体" w:eastAsia="仿宋_GB2312" w:cstheme="minorBidi"/>
          <w:b/>
          <w:bCs w:val="0"/>
          <w:spacing w:val="-4"/>
          <w:sz w:val="32"/>
          <w:szCs w:val="32"/>
          <w:lang w:val="en-US" w:eastAsia="zh-CN"/>
        </w:rPr>
      </w:pPr>
      <w:r>
        <w:rPr>
          <w:rStyle w:val="20"/>
          <w:rFonts w:hint="eastAsia" w:ascii="仿宋_GB2312" w:hAnsi="楷体" w:eastAsia="仿宋_GB2312" w:cstheme="minorBidi"/>
          <w:b/>
          <w:bCs w:val="0"/>
          <w:spacing w:val="-4"/>
          <w:sz w:val="32"/>
          <w:szCs w:val="32"/>
          <w:lang w:val="en-US" w:eastAsia="zh-CN"/>
        </w:rPr>
        <w:t>2、原因分析</w:t>
      </w:r>
    </w:p>
    <w:p>
      <w:pPr>
        <w:pStyle w:val="2"/>
        <w:pageBreakBefore w:val="0"/>
        <w:kinsoku/>
        <w:wordWrap/>
        <w:overflowPunct/>
        <w:topLinePunct w:val="0"/>
        <w:autoSpaceDE/>
        <w:autoSpaceDN/>
        <w:bidi w:val="0"/>
        <w:adjustRightInd/>
        <w:snapToGrid/>
        <w:spacing w:before="0" w:after="0" w:line="560" w:lineRule="exact"/>
        <w:ind w:firstLine="624" w:firstLineChars="200"/>
        <w:jc w:val="left"/>
        <w:textAlignment w:val="auto"/>
        <w:rPr>
          <w:rStyle w:val="20"/>
          <w:rFonts w:hint="default" w:ascii="仿宋_GB2312" w:hAnsi="楷体" w:eastAsia="仿宋_GB2312" w:cstheme="minorBidi"/>
          <w:b w:val="0"/>
          <w:bCs/>
          <w:spacing w:val="-4"/>
          <w:kern w:val="2"/>
          <w:sz w:val="32"/>
          <w:szCs w:val="32"/>
          <w:lang w:val="en-US" w:eastAsia="zh-CN" w:bidi="ar-SA"/>
        </w:rPr>
      </w:pPr>
      <w:r>
        <w:rPr>
          <w:rStyle w:val="20"/>
          <w:rFonts w:hint="default" w:ascii="仿宋_GB2312" w:hAnsi="楷体" w:eastAsia="仿宋_GB2312" w:cstheme="minorBidi"/>
          <w:b w:val="0"/>
          <w:bCs/>
          <w:spacing w:val="-4"/>
          <w:kern w:val="2"/>
          <w:sz w:val="32"/>
          <w:szCs w:val="32"/>
          <w:lang w:val="en-US" w:eastAsia="zh-CN" w:bidi="ar-SA"/>
        </w:rPr>
        <w:t>绩效管理工作的人员</w:t>
      </w:r>
      <w:r>
        <w:rPr>
          <w:rStyle w:val="20"/>
          <w:rFonts w:hint="eastAsia" w:ascii="仿宋_GB2312" w:hAnsi="楷体" w:eastAsia="仿宋_GB2312" w:cstheme="minorBidi"/>
          <w:b w:val="0"/>
          <w:bCs/>
          <w:spacing w:val="-4"/>
          <w:kern w:val="2"/>
          <w:sz w:val="32"/>
          <w:szCs w:val="32"/>
          <w:lang w:val="en-US" w:eastAsia="zh-CN" w:bidi="ar-SA"/>
        </w:rPr>
        <w:t>业务不够熟悉，</w:t>
      </w:r>
      <w:r>
        <w:rPr>
          <w:rStyle w:val="20"/>
          <w:rFonts w:hint="default" w:ascii="仿宋_GB2312" w:hAnsi="楷体" w:eastAsia="仿宋_GB2312" w:cstheme="minorBidi"/>
          <w:b w:val="0"/>
          <w:bCs/>
          <w:spacing w:val="-4"/>
          <w:kern w:val="2"/>
          <w:sz w:val="32"/>
          <w:szCs w:val="32"/>
          <w:lang w:val="en-US" w:eastAsia="zh-CN" w:bidi="ar-SA"/>
        </w:rPr>
        <w:t>项目前期工作不全面，没有深入细致科学规划地做好各项前期工作</w:t>
      </w:r>
      <w:r>
        <w:rPr>
          <w:rStyle w:val="20"/>
          <w:rFonts w:hint="eastAsia" w:ascii="仿宋_GB2312" w:hAnsi="楷体" w:eastAsia="仿宋_GB2312" w:cstheme="minorBidi"/>
          <w:b w:val="0"/>
          <w:bCs/>
          <w:spacing w:val="-4"/>
          <w:kern w:val="2"/>
          <w:sz w:val="32"/>
          <w:szCs w:val="32"/>
          <w:lang w:val="en-US" w:eastAsia="zh-CN" w:bidi="ar-SA"/>
        </w:rPr>
        <w:t>；而且</w:t>
      </w:r>
      <w:r>
        <w:rPr>
          <w:rStyle w:val="20"/>
          <w:rFonts w:hint="default" w:ascii="仿宋_GB2312" w:hAnsi="楷体" w:eastAsia="仿宋_GB2312" w:cstheme="minorBidi"/>
          <w:b w:val="0"/>
          <w:bCs/>
          <w:spacing w:val="-4"/>
          <w:kern w:val="2"/>
          <w:sz w:val="32"/>
          <w:szCs w:val="32"/>
          <w:lang w:val="en-US" w:eastAsia="zh-CN" w:bidi="ar-SA"/>
        </w:rPr>
        <w:t>绩效目标级绩效指标设置过于笼统，不够细化，绩效目标的设置应符合量化、细化的要求</w:t>
      </w:r>
      <w:r>
        <w:rPr>
          <w:rStyle w:val="20"/>
          <w:rFonts w:hint="eastAsia" w:ascii="仿宋_GB2312" w:hAnsi="楷体" w:eastAsia="仿宋_GB2312" w:cstheme="minorBidi"/>
          <w:b w:val="0"/>
          <w:bCs/>
          <w:spacing w:val="-4"/>
          <w:kern w:val="2"/>
          <w:sz w:val="32"/>
          <w:szCs w:val="32"/>
          <w:lang w:val="en-US" w:eastAsia="zh-CN" w:bidi="ar-SA"/>
        </w:rPr>
        <w:t>。</w:t>
      </w:r>
    </w:p>
    <w:p>
      <w:pPr>
        <w:pageBreakBefore w:val="0"/>
        <w:numPr>
          <w:ilvl w:val="0"/>
          <w:numId w:val="6"/>
        </w:numPr>
        <w:kinsoku/>
        <w:wordWrap/>
        <w:overflowPunct/>
        <w:topLinePunct w:val="0"/>
        <w:autoSpaceDE/>
        <w:autoSpaceDN/>
        <w:bidi w:val="0"/>
        <w:adjustRightInd/>
        <w:snapToGrid/>
        <w:spacing w:line="560" w:lineRule="exact"/>
        <w:ind w:firstLine="643" w:firstLineChars="200"/>
        <w:textAlignment w:val="auto"/>
        <w:rPr>
          <w:rFonts w:ascii="黑体" w:hAnsi="黑体" w:eastAsia="黑体"/>
          <w:b/>
          <w:bCs/>
          <w:sz w:val="32"/>
          <w:szCs w:val="32"/>
        </w:rPr>
      </w:pPr>
      <w:r>
        <w:rPr>
          <w:rFonts w:hint="eastAsia" w:ascii="黑体" w:hAnsi="黑体" w:eastAsia="黑体"/>
          <w:b/>
          <w:bCs/>
          <w:sz w:val="32"/>
          <w:szCs w:val="32"/>
        </w:rPr>
        <w:t>有关建议</w:t>
      </w:r>
    </w:p>
    <w:p>
      <w:pPr>
        <w:pageBreakBefore w:val="0"/>
        <w:numPr>
          <w:ilvl w:val="0"/>
          <w:numId w:val="7"/>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建议在进行绩效目标设定时，考虑成本指标的设置，社会效益指标的可衡量性，及时对项目运行情况进行监控，真正做到预算编制有目标、预算执行有跟踪监控、预算完成有评价、评价结果有反馈、反馈结果有应用。</w:t>
      </w:r>
    </w:p>
    <w:p>
      <w:pPr>
        <w:pageBreakBefore w:val="0"/>
        <w:numPr>
          <w:ilvl w:val="0"/>
          <w:numId w:val="6"/>
        </w:numPr>
        <w:kinsoku/>
        <w:wordWrap/>
        <w:overflowPunct/>
        <w:topLinePunct w:val="0"/>
        <w:autoSpaceDE/>
        <w:autoSpaceDN/>
        <w:bidi w:val="0"/>
        <w:adjustRightInd/>
        <w:snapToGrid/>
        <w:spacing w:line="560" w:lineRule="exact"/>
        <w:ind w:firstLine="643" w:firstLineChars="200"/>
        <w:textAlignment w:val="auto"/>
        <w:rPr>
          <w:rFonts w:ascii="黑体" w:hAnsi="黑体" w:eastAsia="黑体"/>
          <w:b/>
          <w:bCs/>
          <w:sz w:val="32"/>
          <w:szCs w:val="32"/>
        </w:rPr>
      </w:pPr>
      <w:r>
        <w:rPr>
          <w:rFonts w:hint="eastAsia" w:ascii="黑体" w:hAnsi="黑体" w:eastAsia="黑体"/>
          <w:b/>
          <w:bCs/>
          <w:sz w:val="32"/>
          <w:szCs w:val="32"/>
        </w:rPr>
        <w:t>其他需要说</w:t>
      </w:r>
      <w:bookmarkStart w:id="1" w:name="page8"/>
      <w:bookmarkEnd w:id="1"/>
      <w:r>
        <w:rPr>
          <w:rFonts w:hint="eastAsia" w:ascii="黑体" w:hAnsi="黑体" w:eastAsia="黑体"/>
          <w:b/>
          <w:bCs/>
          <w:sz w:val="32"/>
          <w:szCs w:val="32"/>
        </w:rPr>
        <w:t>明的问题</w:t>
      </w:r>
    </w:p>
    <w:p>
      <w:pPr>
        <w:pStyle w:val="2"/>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eastAsia" w:ascii="黑体" w:hAnsi="黑体" w:eastAsia="黑体"/>
          <w:sz w:val="32"/>
          <w:szCs w:val="32"/>
          <w:lang w:eastAsia="zh-CN"/>
        </w:rPr>
      </w:pPr>
      <w:r>
        <w:rPr>
          <w:rFonts w:hint="eastAsia" w:ascii="仿宋_GB2312" w:hAnsi="仿宋_GB2312" w:eastAsia="仿宋_GB2312" w:cs="仿宋_GB2312"/>
          <w:b w:val="0"/>
          <w:bCs w:val="0"/>
          <w:sz w:val="32"/>
          <w:szCs w:val="32"/>
          <w:lang w:eastAsia="zh-CN"/>
        </w:rPr>
        <w:t>无。</w:t>
      </w:r>
    </w:p>
    <w:p>
      <w:pPr>
        <w:pageBreakBefore w:val="0"/>
        <w:kinsoku/>
        <w:wordWrap/>
        <w:overflowPunct/>
        <w:topLinePunct w:val="0"/>
        <w:autoSpaceDE/>
        <w:autoSpaceDN/>
        <w:bidi w:val="0"/>
        <w:adjustRightInd/>
        <w:snapToGrid/>
        <w:spacing w:line="560" w:lineRule="exact"/>
        <w:textAlignment w:val="auto"/>
        <w:rPr>
          <w:rFonts w:hint="eastAsia" w:ascii="黑体" w:hAnsi="黑体" w:eastAsia="黑体"/>
          <w:sz w:val="32"/>
          <w:szCs w:val="32"/>
        </w:rPr>
      </w:pPr>
    </w:p>
    <w:p>
      <w:pPr>
        <w:pStyle w:val="2"/>
        <w:pageBreakBefore w:val="0"/>
        <w:kinsoku/>
        <w:wordWrap/>
        <w:overflowPunct/>
        <w:topLinePunct w:val="0"/>
        <w:autoSpaceDE/>
        <w:autoSpaceDN/>
        <w:bidi w:val="0"/>
        <w:adjustRightInd/>
        <w:snapToGrid/>
        <w:spacing w:before="0" w:after="0" w:line="560" w:lineRule="exact"/>
        <w:textAlignment w:val="auto"/>
        <w:rPr>
          <w:rFonts w:hint="eastAsia" w:ascii="黑体" w:hAnsi="黑体" w:eastAsia="黑体"/>
          <w:sz w:val="32"/>
          <w:szCs w:val="32"/>
        </w:rPr>
      </w:pPr>
    </w:p>
    <w:p>
      <w:pPr>
        <w:pageBreakBefore w:val="0"/>
        <w:kinsoku/>
        <w:wordWrap/>
        <w:overflowPunct/>
        <w:topLinePunct w:val="0"/>
        <w:autoSpaceDE/>
        <w:autoSpaceDN/>
        <w:bidi w:val="0"/>
        <w:adjustRightInd/>
        <w:snapToGrid/>
        <w:spacing w:line="560" w:lineRule="exact"/>
        <w:textAlignment w:val="auto"/>
      </w:pPr>
    </w:p>
    <w:p>
      <w:pPr>
        <w:pStyle w:val="2"/>
        <w:pageBreakBefore w:val="0"/>
        <w:kinsoku/>
        <w:wordWrap/>
        <w:overflowPunct/>
        <w:topLinePunct w:val="0"/>
        <w:autoSpaceDE/>
        <w:autoSpaceDN/>
        <w:bidi w:val="0"/>
        <w:adjustRightInd/>
        <w:snapToGrid/>
        <w:spacing w:before="0" w:after="0" w:line="560" w:lineRule="exact"/>
        <w:textAlignment w:val="auto"/>
        <w:rPr>
          <w:rFonts w:hint="eastAsia" w:ascii="黑体" w:hAnsi="黑体" w:eastAsia="黑体"/>
          <w:sz w:val="32"/>
          <w:szCs w:val="32"/>
        </w:rPr>
      </w:pPr>
    </w:p>
    <w:p>
      <w:pPr>
        <w:pageBreakBefore w:val="0"/>
        <w:kinsoku/>
        <w:wordWrap/>
        <w:overflowPunct/>
        <w:topLinePunct w:val="0"/>
        <w:autoSpaceDE/>
        <w:autoSpaceDN/>
        <w:bidi w:val="0"/>
        <w:adjustRightInd/>
        <w:snapToGrid/>
        <w:spacing w:line="560" w:lineRule="exact"/>
        <w:textAlignment w:val="auto"/>
        <w:rPr>
          <w:rFonts w:hint="eastAsia" w:ascii="黑体" w:hAnsi="黑体" w:eastAsia="黑体"/>
          <w:sz w:val="32"/>
          <w:szCs w:val="32"/>
        </w:rPr>
      </w:pPr>
    </w:p>
    <w:p>
      <w:pPr>
        <w:pStyle w:val="2"/>
        <w:pageBreakBefore w:val="0"/>
        <w:kinsoku/>
        <w:wordWrap/>
        <w:overflowPunct/>
        <w:topLinePunct w:val="0"/>
        <w:autoSpaceDE/>
        <w:autoSpaceDN/>
        <w:bidi w:val="0"/>
        <w:adjustRightInd/>
        <w:snapToGrid/>
        <w:spacing w:before="0" w:after="0" w:line="560" w:lineRule="exact"/>
        <w:jc w:val="both"/>
        <w:textAlignment w:val="auto"/>
        <w:sectPr>
          <w:footerReference r:id="rId3" w:type="default"/>
          <w:pgSz w:w="11906" w:h="16838"/>
          <w:pgMar w:top="1440" w:right="1558" w:bottom="1440" w:left="1800" w:header="851" w:footer="992" w:gutter="0"/>
          <w:cols w:space="425" w:num="1"/>
          <w:docGrid w:type="lines" w:linePitch="312" w:charSpace="0"/>
        </w:sectPr>
      </w:pPr>
    </w:p>
    <w:p>
      <w:pPr>
        <w:pageBreakBefore w:val="0"/>
        <w:kinsoku/>
        <w:wordWrap/>
        <w:overflowPunct/>
        <w:topLinePunct w:val="0"/>
        <w:autoSpaceDE/>
        <w:autoSpaceDN/>
        <w:bidi w:val="0"/>
        <w:adjustRightInd/>
        <w:snapToGrid/>
        <w:spacing w:line="560" w:lineRule="exact"/>
        <w:textAlignment w:val="auto"/>
        <w:rPr>
          <w:rFonts w:hint="eastAsia" w:ascii="仿宋_GB2312"/>
          <w:bCs/>
          <w:sz w:val="32"/>
          <w:szCs w:val="32"/>
          <w:lang w:val="en-US" w:eastAsia="zh-CN"/>
        </w:rPr>
      </w:pPr>
      <w:r>
        <w:rPr>
          <w:rFonts w:hint="eastAsia" w:ascii="仿宋_GB2312"/>
          <w:bCs/>
          <w:sz w:val="32"/>
          <w:szCs w:val="32"/>
          <w:lang w:val="en-US" w:eastAsia="zh-CN"/>
        </w:rPr>
        <w:t>附件1</w:t>
      </w:r>
    </w:p>
    <w:tbl>
      <w:tblPr>
        <w:tblStyle w:val="18"/>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554"/>
        <w:gridCol w:w="4987"/>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9"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67"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554"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4987"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lang w:val="en-US" w:eastAsia="zh-CN"/>
              </w:rPr>
              <w:t>权重</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39"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决策　</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p>
            <w:pPr>
              <w:pageBreakBefore w:val="0"/>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67"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项目立项　</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立项依据</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充分性</w:t>
            </w:r>
          </w:p>
        </w:tc>
        <w:tc>
          <w:tcPr>
            <w:tcW w:w="2554"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项目立项是否符合法律法规、相关政策、发展规划以及部门职责，用以反映和考核项目立项依据情况。</w:t>
            </w:r>
          </w:p>
        </w:tc>
        <w:tc>
          <w:tcPr>
            <w:tcW w:w="4987"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①项目立项是否符合国家法律法规、国民经济发展规划和相关政策；</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②项目立项是否符合行业发展规划和政策要求；</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③项目立项是否与部门职责范围相符，属于部门履职所需；</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④项目是否属于公共财政支持范围，是否符合中央、地方事权支出责任划分原则；</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⑤项目是否与相关部门同类项目或部门内部相关项目重复。</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839" w:type="dxa"/>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767"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立项程序</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规范性</w:t>
            </w:r>
          </w:p>
        </w:tc>
        <w:tc>
          <w:tcPr>
            <w:tcW w:w="2554"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项目申请、设立过程是否符合相关要求，用以反映和考核项目立项的规范情况。</w:t>
            </w:r>
          </w:p>
        </w:tc>
        <w:tc>
          <w:tcPr>
            <w:tcW w:w="4987"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①项目是否按照规定的程序申请设立；</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②审批文件、材料是否符合相关要求；</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③事前是否已经过必要的可行性研究、专家论证、风险评估、绩效评估、集体决策。</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39" w:type="dxa"/>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767"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绩效目标　</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2554"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项目所设定的绩效目标是否依据充分，是否符合客观实际，用以反映和考核项目绩效目标与项目实施的相符情况。</w:t>
            </w:r>
          </w:p>
        </w:tc>
        <w:tc>
          <w:tcPr>
            <w:tcW w:w="4987"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（如未设定预算绩效目标，也可考核其他工作任务目标）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①项目是否有绩效目标；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②项目绩效目标与实际工作内容是否具有相关性；</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③项目预期产出效益和效果是否符合正常的业绩水平；</w:t>
            </w:r>
          </w:p>
          <w:p>
            <w:pPr>
              <w:pageBreakBefore w:val="0"/>
              <w:widowControl/>
              <w:kinsoku/>
              <w:wordWrap/>
              <w:overflowPunct/>
              <w:topLinePunct w:val="0"/>
              <w:autoSpaceDE/>
              <w:autoSpaceDN/>
              <w:bidi w:val="0"/>
              <w:adjustRightInd/>
              <w:snapToGrid/>
              <w:spacing w:line="560" w:lineRule="exact"/>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④是否与预算确定的项目投资额或资金量相匹配。</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2</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839"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决策　</w:t>
            </w:r>
          </w:p>
        </w:tc>
        <w:tc>
          <w:tcPr>
            <w:tcW w:w="767"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绩效指标</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明确性</w:t>
            </w:r>
          </w:p>
        </w:tc>
        <w:tc>
          <w:tcPr>
            <w:tcW w:w="2554"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依据绩效目标设定的绩效指标是否清晰、细化、可衡量等，用以反映和考核项目绩效目标的明细化情况。</w:t>
            </w:r>
          </w:p>
        </w:tc>
        <w:tc>
          <w:tcPr>
            <w:tcW w:w="4987"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①是否将项目绩效目标细化分解为具体的绩效指标；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②是否通过清晰、可衡量的指标值予以体现；</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③是否与项目目标任务数或计划数相对应。</w:t>
            </w:r>
            <w:r>
              <w:rPr>
                <w:rFonts w:hint="eastAsia" w:ascii="宋体" w:hAnsi="宋体" w:eastAsia="宋体" w:cs="宋体"/>
                <w:color w:val="000000"/>
                <w:kern w:val="0"/>
                <w:sz w:val="18"/>
                <w:szCs w:val="18"/>
              </w:rPr>
              <w:br w:type="textWrapping"/>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2</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39" w:type="dxa"/>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767"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资金投入</w:t>
            </w:r>
          </w:p>
          <w:p>
            <w:pPr>
              <w:pageBreakBefore w:val="0"/>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预算编制</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科学性</w:t>
            </w:r>
          </w:p>
        </w:tc>
        <w:tc>
          <w:tcPr>
            <w:tcW w:w="2554"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项目预算编制是否经过科学论证、有明确标准，资金额度与年度目标是否相适应，用以反映和考核项目预算编制的科学性、合理性情况。</w:t>
            </w:r>
          </w:p>
        </w:tc>
        <w:tc>
          <w:tcPr>
            <w:tcW w:w="4987"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①预算编制是否经过科学论证；</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②预算内容与项目内容是否匹配；</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③预算额度测算依据是否充分，是否按照标准编制；</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④预算确定的项目投资额或资金量是否与工作任务相匹配。</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2</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9"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767"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资金分配</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2554"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项目预算资金分配是否有测算依据，与补助单位或地方实际是否相适应，用以反映和考核项目预算资金分配的科学性、合理性情况。</w:t>
            </w:r>
          </w:p>
        </w:tc>
        <w:tc>
          <w:tcPr>
            <w:tcW w:w="4987"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①预算资金分配依据是否充分；</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②资金分配额度是否合理，与项目单位或地方实际是否相适应。</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2</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39" w:type="dxa"/>
            <w:vMerge w:val="restart"/>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过程</w:t>
            </w:r>
          </w:p>
        </w:tc>
        <w:tc>
          <w:tcPr>
            <w:tcW w:w="767"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资金到位率</w:t>
            </w:r>
          </w:p>
        </w:tc>
        <w:tc>
          <w:tcPr>
            <w:tcW w:w="2554"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实际到位资金与预算资金的比率，用以反映和考核资金落实情况对项目实施的总体保障程度。</w:t>
            </w:r>
          </w:p>
        </w:tc>
        <w:tc>
          <w:tcPr>
            <w:tcW w:w="4987"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资金到位率=（实际到位资金/预算资金）×100%。</w:t>
            </w:r>
          </w:p>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实际到位资金：一定时期（本年度或项目期）内落实到具体项目的资金。</w:t>
            </w:r>
          </w:p>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预算资金：一定时期（本年度或项目期）内预算安排到具体项目的资金。</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2</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45" w:hRule="atLeast"/>
          <w:jc w:val="center"/>
        </w:trPr>
        <w:tc>
          <w:tcPr>
            <w:tcW w:w="839" w:type="dxa"/>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2554"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项目预算资金是否按照计划执行，用以反映或考核项目预算执行情况。</w:t>
            </w:r>
          </w:p>
        </w:tc>
        <w:tc>
          <w:tcPr>
            <w:tcW w:w="4987"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预算执行率=（实际支出资金/实际到位资金）×100%。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实际支出资金：一定时期（本年度或项目期）内项目实际拨付的资金。</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2</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59" w:hRule="atLeast"/>
          <w:jc w:val="center"/>
        </w:trPr>
        <w:tc>
          <w:tcPr>
            <w:tcW w:w="839"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p>
            <w:pPr>
              <w:pageBreakBefore w:val="0"/>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过程　</w:t>
            </w:r>
          </w:p>
        </w:tc>
        <w:tc>
          <w:tcPr>
            <w:tcW w:w="767"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资金使用</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合规性</w:t>
            </w:r>
          </w:p>
        </w:tc>
        <w:tc>
          <w:tcPr>
            <w:tcW w:w="2554"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项目资金使用是否符合相关的财务管理制度规定，用以反映和考核项目资金的规范运行情况。</w:t>
            </w:r>
          </w:p>
        </w:tc>
        <w:tc>
          <w:tcPr>
            <w:tcW w:w="4987"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①是否符合国家财经法规和财务管理制度以及有关专项资金管理办法的规定；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②资金的拨付是否有完整的审批程序和手续；</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③是否符合项目预算批复或合同规定的用途；</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④是否存在截留、挤占、挪用、虚列支出等情况。</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2</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77" w:hRule="atLeast"/>
          <w:jc w:val="center"/>
        </w:trPr>
        <w:tc>
          <w:tcPr>
            <w:tcW w:w="839" w:type="dxa"/>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767"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组织实施</w:t>
            </w:r>
          </w:p>
          <w:p>
            <w:pPr>
              <w:pageBreakBefore w:val="0"/>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管理制度</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健全性</w:t>
            </w:r>
          </w:p>
        </w:tc>
        <w:tc>
          <w:tcPr>
            <w:tcW w:w="2554"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项目实施单位的财务和业务管理制度是否健全，用以反映和考核财务和业务管理制度对项目顺利实施的保障情况。</w:t>
            </w:r>
          </w:p>
        </w:tc>
        <w:tc>
          <w:tcPr>
            <w:tcW w:w="4987"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①是否已制定或具有相应的财务和业务管理制度；</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②财务和业务管理制度是否合法、合规、完整。</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2</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9"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767"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制度执行</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有效性</w:t>
            </w:r>
          </w:p>
        </w:tc>
        <w:tc>
          <w:tcPr>
            <w:tcW w:w="2554"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项目实施是否符合相关管理规定，用以反映和考核相关管理制度的有效执行情况。</w:t>
            </w:r>
          </w:p>
        </w:tc>
        <w:tc>
          <w:tcPr>
            <w:tcW w:w="4987"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①是否遵守相关法律法规和相关管理规定；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②项目调整及支出调整手续是否完备；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③项目合同书、验收报告、技术鉴定等资料是否齐全并及时归档；</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④项目实施的人员条件、场地设备、信息支撑等是否落实到位。</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2</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53" w:hRule="atLeast"/>
          <w:jc w:val="center"/>
        </w:trPr>
        <w:tc>
          <w:tcPr>
            <w:tcW w:w="839"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产出</w:t>
            </w:r>
          </w:p>
        </w:tc>
        <w:tc>
          <w:tcPr>
            <w:tcW w:w="767"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产出数量</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实际完成率</w:t>
            </w:r>
          </w:p>
        </w:tc>
        <w:tc>
          <w:tcPr>
            <w:tcW w:w="2554"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项目实施的实际产出数与计划产出数的比率，用以反映和考核项目产出数量目标的实现程度。</w:t>
            </w:r>
          </w:p>
        </w:tc>
        <w:tc>
          <w:tcPr>
            <w:tcW w:w="4987"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实际完成率=（实际产出数/计划产出数）×100%。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实际产出数：一定时期（本年度或项目期）内项目实际产出的产品或提供的服务数量。</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计划产出数：项目绩效目标确定的在一定时期（本年度或项目期）内计划产出的产品或提供的服务数量。</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18</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39"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产出</w:t>
            </w:r>
          </w:p>
        </w:tc>
        <w:tc>
          <w:tcPr>
            <w:tcW w:w="767"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产出质量</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质量达标率</w:t>
            </w:r>
          </w:p>
        </w:tc>
        <w:tc>
          <w:tcPr>
            <w:tcW w:w="2554"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项目完成的质量达标产出数与实际产出数的比率，用以反映和考核项目产出质量目标的实现程度。</w:t>
            </w:r>
          </w:p>
        </w:tc>
        <w:tc>
          <w:tcPr>
            <w:tcW w:w="4987"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质量达标率=（质量达标产出数/实际产出数）×100%。</w:t>
            </w:r>
          </w:p>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16</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49" w:hRule="atLeast"/>
          <w:jc w:val="center"/>
        </w:trPr>
        <w:tc>
          <w:tcPr>
            <w:tcW w:w="839" w:type="dxa"/>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767" w:type="dxa"/>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产出时效</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完成及时性</w:t>
            </w:r>
          </w:p>
        </w:tc>
        <w:tc>
          <w:tcPr>
            <w:tcW w:w="2554"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项目实际完成时间与计划完成时间的比较，用以反映和考核项目产出时效目标的实现程度。</w:t>
            </w:r>
          </w:p>
        </w:tc>
        <w:tc>
          <w:tcPr>
            <w:tcW w:w="4987"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实际完成时间：项目实施单位完成该项目实际所耗用的时间。</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计划完成时间：按照项目实施计划或相关规定完成该项目所需的时间。</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8</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6" w:hRule="atLeast"/>
          <w:jc w:val="center"/>
        </w:trPr>
        <w:tc>
          <w:tcPr>
            <w:tcW w:w="839"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767"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产出成本</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成本节约率</w:t>
            </w:r>
          </w:p>
        </w:tc>
        <w:tc>
          <w:tcPr>
            <w:tcW w:w="2554"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完成项目计划工作目标的实际节约成本与计划成本的比率，用以反映和考核项目的成本节约程度。</w:t>
            </w:r>
          </w:p>
        </w:tc>
        <w:tc>
          <w:tcPr>
            <w:tcW w:w="4987"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成本节约率=[（计划成本</w:t>
            </w:r>
            <w:r>
              <w:rPr>
                <w:rFonts w:hint="eastAsia" w:ascii="宋体" w:hAnsi="宋体" w:cs="宋体"/>
                <w:color w:val="000000"/>
                <w:kern w:val="0"/>
                <w:sz w:val="18"/>
                <w:szCs w:val="18"/>
                <w:lang w:eastAsia="zh-CN"/>
              </w:rPr>
              <w:t>－</w:t>
            </w:r>
            <w:r>
              <w:rPr>
                <w:rFonts w:hint="eastAsia" w:ascii="宋体" w:hAnsi="宋体" w:eastAsia="宋体" w:cs="宋体"/>
                <w:color w:val="000000"/>
                <w:kern w:val="0"/>
                <w:sz w:val="18"/>
                <w:szCs w:val="18"/>
              </w:rPr>
              <w:t>实际成本）/计划成本]×100%。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实际成本：项目实施单位如期、保质、保量完成既定工作目标实际所耗费的支出。</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计划成本：项目实施单位为完成工作目标计划安排的支出，一般以项目预算为参考。</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8</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9"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效益　</w:t>
            </w:r>
          </w:p>
        </w:tc>
        <w:tc>
          <w:tcPr>
            <w:tcW w:w="767"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项目效益　</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实施效益</w:t>
            </w:r>
          </w:p>
        </w:tc>
        <w:tc>
          <w:tcPr>
            <w:tcW w:w="2554"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项目实施所产生的效益。</w:t>
            </w:r>
          </w:p>
        </w:tc>
        <w:tc>
          <w:tcPr>
            <w:tcW w:w="4987"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项目实施所产生的社会效益、生态效益、可持续影响等。</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20</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015" w:hRule="atLeast"/>
          <w:jc w:val="center"/>
        </w:trPr>
        <w:tc>
          <w:tcPr>
            <w:tcW w:w="839"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767"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满意度</w:t>
            </w:r>
          </w:p>
        </w:tc>
        <w:tc>
          <w:tcPr>
            <w:tcW w:w="2554"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社会公众或服务对象对项目实施效果的满意程度。</w:t>
            </w:r>
          </w:p>
        </w:tc>
        <w:tc>
          <w:tcPr>
            <w:tcW w:w="4987"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社会公众或服务对象是指因该项目实施而受到影响的部门（单位）、群体或个人。</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r>
    </w:tbl>
    <w:p>
      <w:pPr>
        <w:spacing w:line="540" w:lineRule="exact"/>
        <w:rPr>
          <w:rStyle w:val="20"/>
          <w:rFonts w:ascii="仿宋" w:hAnsi="仿宋" w:eastAsia="仿宋"/>
          <w:b w:val="0"/>
          <w:spacing w:val="-4"/>
          <w:sz w:val="32"/>
          <w:szCs w:val="32"/>
        </w:rPr>
        <w:sectPr>
          <w:pgSz w:w="16838" w:h="11906" w:orient="landscape"/>
          <w:pgMar w:top="1800" w:right="1440" w:bottom="1558" w:left="1440" w:header="851" w:footer="992" w:gutter="0"/>
          <w:cols w:space="425" w:num="1"/>
          <w:docGrid w:type="lines" w:linePitch="312" w:charSpace="0"/>
        </w:sectPr>
      </w:pPr>
    </w:p>
    <w:tbl>
      <w:tblPr>
        <w:tblStyle w:val="18"/>
        <w:tblW w:w="9025" w:type="dxa"/>
        <w:tblInd w:w="96" w:type="dxa"/>
        <w:shd w:val="clear" w:color="auto" w:fill="auto"/>
        <w:tblLayout w:type="autofit"/>
        <w:tblCellMar>
          <w:top w:w="0" w:type="dxa"/>
          <w:left w:w="108" w:type="dxa"/>
          <w:bottom w:w="0" w:type="dxa"/>
          <w:right w:w="108" w:type="dxa"/>
        </w:tblCellMar>
      </w:tblPr>
      <w:tblGrid>
        <w:gridCol w:w="693"/>
        <w:gridCol w:w="694"/>
        <w:gridCol w:w="693"/>
        <w:gridCol w:w="694"/>
        <w:gridCol w:w="694"/>
        <w:gridCol w:w="694"/>
        <w:gridCol w:w="2000"/>
        <w:gridCol w:w="1227"/>
        <w:gridCol w:w="409"/>
        <w:gridCol w:w="1227"/>
      </w:tblGrid>
      <w:tr>
        <w:tblPrEx>
          <w:shd w:val="clear" w:color="auto" w:fill="auto"/>
          <w:tblCellMar>
            <w:top w:w="0" w:type="dxa"/>
            <w:left w:w="108" w:type="dxa"/>
            <w:bottom w:w="0" w:type="dxa"/>
            <w:right w:w="108" w:type="dxa"/>
          </w:tblCellMar>
        </w:tblPrEx>
        <w:trPr>
          <w:trHeight w:val="740" w:hRule="atLeast"/>
        </w:trPr>
        <w:tc>
          <w:tcPr>
            <w:tcW w:w="9025"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tblPrEx>
          <w:shd w:val="clear" w:color="auto" w:fill="auto"/>
          <w:tblCellMar>
            <w:top w:w="0" w:type="dxa"/>
            <w:left w:w="108" w:type="dxa"/>
            <w:bottom w:w="0" w:type="dxa"/>
            <w:right w:w="108" w:type="dxa"/>
          </w:tblCellMar>
        </w:tblPrEx>
        <w:trPr>
          <w:trHeight w:val="500" w:hRule="atLeast"/>
        </w:trPr>
        <w:tc>
          <w:tcPr>
            <w:tcW w:w="9025"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color w:val="000000"/>
                <w:kern w:val="0"/>
                <w:sz w:val="32"/>
                <w:szCs w:val="32"/>
                <w:u w:val="none"/>
                <w:lang w:val="en-US" w:eastAsia="zh-CN" w:bidi="ar"/>
              </w:rPr>
              <w:t>（   2020 年度）</w:t>
            </w:r>
          </w:p>
        </w:tc>
      </w:tr>
      <w:tr>
        <w:tblPrEx>
          <w:shd w:val="clear" w:color="auto" w:fill="auto"/>
          <w:tblCellMar>
            <w:top w:w="0" w:type="dxa"/>
            <w:left w:w="108" w:type="dxa"/>
            <w:bottom w:w="0" w:type="dxa"/>
            <w:right w:w="108" w:type="dxa"/>
          </w:tblCellMar>
        </w:tblPrEx>
        <w:trPr>
          <w:trHeight w:val="500" w:hRule="atLeast"/>
        </w:trPr>
        <w:tc>
          <w:tcPr>
            <w:tcW w:w="9025" w:type="dxa"/>
            <w:gridSpan w:val="10"/>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500" w:hRule="atLeast"/>
        </w:trPr>
        <w:tc>
          <w:tcPr>
            <w:tcW w:w="1387"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763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第二次全国污染源普查经费</w:t>
            </w:r>
          </w:p>
        </w:tc>
      </w:tr>
      <w:tr>
        <w:tblPrEx>
          <w:shd w:val="clear" w:color="auto" w:fill="auto"/>
          <w:tblCellMar>
            <w:top w:w="0" w:type="dxa"/>
            <w:left w:w="108" w:type="dxa"/>
            <w:bottom w:w="0" w:type="dxa"/>
            <w:right w:w="108" w:type="dxa"/>
          </w:tblCellMar>
        </w:tblPrEx>
        <w:trPr>
          <w:trHeight w:val="500" w:hRule="atLeast"/>
        </w:trPr>
        <w:tc>
          <w:tcPr>
            <w:tcW w:w="1387"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477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塔城地区环境监测站</w:t>
            </w:r>
          </w:p>
        </w:tc>
      </w:tr>
      <w:tr>
        <w:tblPrEx>
          <w:shd w:val="clear" w:color="auto" w:fill="auto"/>
          <w:tblCellMar>
            <w:top w:w="0" w:type="dxa"/>
            <w:left w:w="108" w:type="dxa"/>
            <w:bottom w:w="0" w:type="dxa"/>
            <w:right w:w="108" w:type="dxa"/>
          </w:tblCellMar>
        </w:tblPrEx>
        <w:trPr>
          <w:trHeight w:val="500" w:hRule="atLeast"/>
        </w:trPr>
        <w:tc>
          <w:tcPr>
            <w:tcW w:w="1387"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ascii="宋体" w:hAnsi="宋体" w:eastAsia="宋体" w:cs="宋体"/>
                <w:i w:val="0"/>
                <w:iCs w:val="0"/>
                <w:color w:val="000000"/>
                <w:sz w:val="18"/>
                <w:szCs w:val="18"/>
                <w:u w:val="none"/>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vAlign w:val="bottom"/>
          </w:tcPr>
          <w:p/>
        </w:tc>
        <w:tc>
          <w:tcPr>
            <w:tcW w:w="6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26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全年预算数</w:t>
            </w:r>
          </w:p>
        </w:tc>
        <w:tc>
          <w:tcPr>
            <w:tcW w:w="1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r>
      <w:tr>
        <w:tblPrEx>
          <w:shd w:val="clear" w:color="auto" w:fill="auto"/>
          <w:tblCellMar>
            <w:top w:w="0" w:type="dxa"/>
            <w:left w:w="108" w:type="dxa"/>
            <w:bottom w:w="0" w:type="dxa"/>
            <w:right w:w="108" w:type="dxa"/>
          </w:tblCellMar>
        </w:tblPrEx>
        <w:trPr>
          <w:trHeight w:val="500" w:hRule="atLeast"/>
        </w:trPr>
        <w:tc>
          <w:tcPr>
            <w:tcW w:w="1387"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13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6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28.89</w:t>
            </w:r>
          </w:p>
        </w:tc>
        <w:tc>
          <w:tcPr>
            <w:tcW w:w="26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28.89</w:t>
            </w:r>
          </w:p>
        </w:tc>
        <w:tc>
          <w:tcPr>
            <w:tcW w:w="1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28.89</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r>
      <w:tr>
        <w:tblPrEx>
          <w:shd w:val="clear" w:color="auto" w:fill="auto"/>
          <w:tblCellMar>
            <w:top w:w="0" w:type="dxa"/>
            <w:left w:w="108" w:type="dxa"/>
            <w:bottom w:w="0" w:type="dxa"/>
            <w:right w:w="108" w:type="dxa"/>
          </w:tblCellMar>
        </w:tblPrEx>
        <w:trPr>
          <w:trHeight w:val="500" w:hRule="atLeast"/>
        </w:trPr>
        <w:tc>
          <w:tcPr>
            <w:tcW w:w="1387" w:type="dxa"/>
            <w:gridSpan w:val="2"/>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6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28.89</w:t>
            </w:r>
          </w:p>
        </w:tc>
        <w:tc>
          <w:tcPr>
            <w:tcW w:w="26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28.89</w:t>
            </w:r>
          </w:p>
        </w:tc>
        <w:tc>
          <w:tcPr>
            <w:tcW w:w="1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28.89</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108" w:type="dxa"/>
            <w:bottom w:w="0" w:type="dxa"/>
            <w:right w:w="108" w:type="dxa"/>
          </w:tblCellMar>
        </w:tblPrEx>
        <w:trPr>
          <w:trHeight w:val="500" w:hRule="atLeast"/>
        </w:trPr>
        <w:tc>
          <w:tcPr>
            <w:tcW w:w="1387" w:type="dxa"/>
            <w:gridSpan w:val="2"/>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6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0</w:t>
            </w:r>
          </w:p>
        </w:tc>
        <w:tc>
          <w:tcPr>
            <w:tcW w:w="1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108" w:type="dxa"/>
            <w:bottom w:w="0" w:type="dxa"/>
            <w:right w:w="108" w:type="dxa"/>
          </w:tblCellMar>
        </w:tblPrEx>
        <w:trPr>
          <w:trHeight w:val="500" w:hRule="atLeast"/>
        </w:trPr>
        <w:tc>
          <w:tcPr>
            <w:tcW w:w="13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87"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69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0</w:t>
            </w:r>
          </w:p>
        </w:tc>
        <w:tc>
          <w:tcPr>
            <w:tcW w:w="2694"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0</w:t>
            </w:r>
          </w:p>
        </w:tc>
        <w:tc>
          <w:tcPr>
            <w:tcW w:w="1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108" w:type="dxa"/>
            <w:bottom w:w="0" w:type="dxa"/>
            <w:right w:w="108" w:type="dxa"/>
          </w:tblCellMar>
        </w:tblPrEx>
        <w:trPr>
          <w:trHeight w:val="1420" w:hRule="atLeast"/>
        </w:trPr>
        <w:tc>
          <w:tcPr>
            <w:tcW w:w="6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5469" w:type="dxa"/>
            <w:gridSpan w:val="6"/>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28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tblPrEx>
          <w:shd w:val="clear" w:color="auto" w:fill="auto"/>
          <w:tblCellMar>
            <w:top w:w="0" w:type="dxa"/>
            <w:left w:w="108" w:type="dxa"/>
            <w:bottom w:w="0" w:type="dxa"/>
            <w:right w:w="108" w:type="dxa"/>
          </w:tblCellMar>
        </w:tblPrEx>
        <w:trPr>
          <w:trHeight w:val="280" w:hRule="atLeast"/>
        </w:trPr>
        <w:tc>
          <w:tcPr>
            <w:tcW w:w="6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46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按照国家和自治区要求，按规定要求完成塔城地区满足条件的工业源、集中式处理设施、加油站、锅炉、村镇等2000余家的污染物的汇总和数据库建设，并根据普查结果，形成塔城地区污染源普查公告、污染源普查技术报告、污染源普查数据分析报告。</w:t>
            </w:r>
          </w:p>
        </w:tc>
        <w:tc>
          <w:tcPr>
            <w:tcW w:w="28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按照国家和自治区要求，按规定要求完成塔城地区满足条件的工业源、集中式处理设施、加油站、锅炉、村镇等2000余家的污染物的汇总和数据库建设，并根据普查结果，形成塔城地区污染源普查公告、污染源普查技术报告、污染源普查数据分析报告。</w:t>
            </w:r>
          </w:p>
        </w:tc>
      </w:tr>
      <w:tr>
        <w:tblPrEx>
          <w:shd w:val="clear" w:color="auto" w:fill="auto"/>
          <w:tblCellMar>
            <w:top w:w="0" w:type="dxa"/>
            <w:left w:w="108" w:type="dxa"/>
            <w:bottom w:w="0" w:type="dxa"/>
            <w:right w:w="108" w:type="dxa"/>
          </w:tblCellMar>
        </w:tblPrEx>
        <w:trPr>
          <w:trHeight w:val="270" w:hRule="atLeast"/>
        </w:trPr>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2082"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200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年度指标值</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1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shd w:val="clear" w:color="auto" w:fill="auto"/>
          <w:tblCellMar>
            <w:top w:w="0" w:type="dxa"/>
            <w:left w:w="108" w:type="dxa"/>
            <w:bottom w:w="0" w:type="dxa"/>
            <w:right w:w="108" w:type="dxa"/>
          </w:tblCellMar>
        </w:tblPrEx>
        <w:trPr>
          <w:trHeight w:val="540" w:hRule="atLeast"/>
        </w:trPr>
        <w:tc>
          <w:tcPr>
            <w:tcW w:w="6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年度绩效指标完成情况</w:t>
            </w:r>
          </w:p>
        </w:tc>
        <w:tc>
          <w:tcPr>
            <w:tcW w:w="6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6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2082"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对普查结果进行数据汇总分析</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p>
        </w:tc>
      </w:tr>
      <w:tr>
        <w:tblPrEx>
          <w:shd w:val="clear" w:color="auto" w:fill="auto"/>
          <w:tblCellMar>
            <w:top w:w="0" w:type="dxa"/>
            <w:left w:w="108" w:type="dxa"/>
            <w:bottom w:w="0" w:type="dxa"/>
            <w:right w:w="108" w:type="dxa"/>
          </w:tblCellMar>
        </w:tblPrEx>
        <w:trPr>
          <w:trHeight w:val="540" w:hRule="atLeast"/>
        </w:trPr>
        <w:tc>
          <w:tcPr>
            <w:tcW w:w="6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82"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编制数据分析报告、技术分析报告、公报的编写</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1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p>
        </w:tc>
      </w:tr>
      <w:tr>
        <w:tblPrEx>
          <w:shd w:val="clear" w:color="auto" w:fill="auto"/>
          <w:tblCellMar>
            <w:top w:w="0" w:type="dxa"/>
            <w:left w:w="108" w:type="dxa"/>
            <w:bottom w:w="0" w:type="dxa"/>
            <w:right w:w="108" w:type="dxa"/>
          </w:tblCellMar>
        </w:tblPrEx>
        <w:trPr>
          <w:trHeight w:val="540" w:hRule="atLeast"/>
        </w:trPr>
        <w:tc>
          <w:tcPr>
            <w:tcW w:w="6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2082"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各类汇总数据合理、科学</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p>
        </w:tc>
      </w:tr>
      <w:tr>
        <w:tblPrEx>
          <w:shd w:val="clear" w:color="auto" w:fill="auto"/>
          <w:tblCellMar>
            <w:top w:w="0" w:type="dxa"/>
            <w:left w:w="108" w:type="dxa"/>
            <w:bottom w:w="0" w:type="dxa"/>
            <w:right w:w="108" w:type="dxa"/>
          </w:tblCellMar>
        </w:tblPrEx>
        <w:trPr>
          <w:trHeight w:val="540" w:hRule="atLeast"/>
        </w:trPr>
        <w:tc>
          <w:tcPr>
            <w:tcW w:w="6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82"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各类汇总数据的有效性</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p>
        </w:tc>
      </w:tr>
      <w:tr>
        <w:tblPrEx>
          <w:shd w:val="clear" w:color="auto" w:fill="auto"/>
          <w:tblCellMar>
            <w:top w:w="0" w:type="dxa"/>
            <w:left w:w="108" w:type="dxa"/>
            <w:bottom w:w="0" w:type="dxa"/>
            <w:right w:w="108" w:type="dxa"/>
          </w:tblCellMar>
        </w:tblPrEx>
        <w:trPr>
          <w:trHeight w:val="540" w:hRule="atLeast"/>
        </w:trPr>
        <w:tc>
          <w:tcPr>
            <w:tcW w:w="6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2082"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12月底完成</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p>
        </w:tc>
      </w:tr>
      <w:tr>
        <w:tblPrEx>
          <w:shd w:val="clear" w:color="auto" w:fill="auto"/>
          <w:tblCellMar>
            <w:top w:w="0" w:type="dxa"/>
            <w:left w:w="108" w:type="dxa"/>
            <w:bottom w:w="0" w:type="dxa"/>
            <w:right w:w="108" w:type="dxa"/>
          </w:tblCellMar>
        </w:tblPrEx>
        <w:trPr>
          <w:trHeight w:val="540" w:hRule="atLeast"/>
        </w:trPr>
        <w:tc>
          <w:tcPr>
            <w:tcW w:w="6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2082"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严格控制成本</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≤288892</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288892</w:t>
            </w:r>
          </w:p>
        </w:tc>
        <w:tc>
          <w:tcPr>
            <w:tcW w:w="1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p>
        </w:tc>
      </w:tr>
      <w:tr>
        <w:tblPrEx>
          <w:shd w:val="clear" w:color="auto" w:fill="auto"/>
          <w:tblCellMar>
            <w:top w:w="0" w:type="dxa"/>
            <w:left w:w="108" w:type="dxa"/>
            <w:bottom w:w="0" w:type="dxa"/>
            <w:right w:w="108" w:type="dxa"/>
          </w:tblCellMar>
        </w:tblPrEx>
        <w:trPr>
          <w:trHeight w:val="540" w:hRule="atLeast"/>
        </w:trPr>
        <w:tc>
          <w:tcPr>
            <w:tcW w:w="6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2082"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提供技术保障</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为塔城地区生态环境保护提供一整套行之有效的技术保障</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为地区生态环境保护提供一整套行之有效的技术保障</w:t>
            </w:r>
          </w:p>
        </w:tc>
        <w:tc>
          <w:tcPr>
            <w:tcW w:w="1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p>
        </w:tc>
      </w:tr>
      <w:tr>
        <w:tblPrEx>
          <w:shd w:val="clear" w:color="auto" w:fill="auto"/>
          <w:tblCellMar>
            <w:top w:w="0" w:type="dxa"/>
            <w:left w:w="108" w:type="dxa"/>
            <w:bottom w:w="0" w:type="dxa"/>
            <w:right w:w="108" w:type="dxa"/>
          </w:tblCellMar>
        </w:tblPrEx>
        <w:trPr>
          <w:trHeight w:val="700" w:hRule="atLeast"/>
        </w:trPr>
        <w:tc>
          <w:tcPr>
            <w:tcW w:w="6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生态效益指标</w:t>
            </w:r>
          </w:p>
        </w:tc>
        <w:tc>
          <w:tcPr>
            <w:tcW w:w="2082"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了解污染源基数和对行业汇总数据为塔城地区环境管理和决策服务</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更好地发挥其生态功能，建立七个县市污染源档案</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建立七个县市污染源档案，更好发挥其生态功能</w:t>
            </w:r>
          </w:p>
        </w:tc>
        <w:tc>
          <w:tcPr>
            <w:tcW w:w="1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p>
        </w:tc>
      </w:tr>
      <w:tr>
        <w:tblPrEx>
          <w:shd w:val="clear" w:color="auto" w:fill="auto"/>
          <w:tblCellMar>
            <w:top w:w="0" w:type="dxa"/>
            <w:left w:w="108" w:type="dxa"/>
            <w:bottom w:w="0" w:type="dxa"/>
            <w:right w:w="108" w:type="dxa"/>
          </w:tblCellMar>
        </w:tblPrEx>
        <w:trPr>
          <w:trHeight w:val="940" w:hRule="atLeast"/>
        </w:trPr>
        <w:tc>
          <w:tcPr>
            <w:tcW w:w="6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2082"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通过为环境决策服务，确保经济可持续发展</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完成第二次污染源普查各项汇总报告编写，为经济管理服务</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完成第二次全国污染源普查数据汇总、报告编写工作，为地区经济管理服务</w:t>
            </w:r>
          </w:p>
        </w:tc>
        <w:tc>
          <w:tcPr>
            <w:tcW w:w="1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p>
        </w:tc>
      </w:tr>
      <w:tr>
        <w:tblPrEx>
          <w:shd w:val="clear" w:color="auto" w:fill="auto"/>
          <w:tblCellMar>
            <w:top w:w="0" w:type="dxa"/>
            <w:left w:w="108" w:type="dxa"/>
            <w:bottom w:w="0" w:type="dxa"/>
            <w:right w:w="108" w:type="dxa"/>
          </w:tblCellMar>
        </w:tblPrEx>
        <w:trPr>
          <w:trHeight w:val="700" w:hRule="atLeast"/>
        </w:trPr>
        <w:tc>
          <w:tcPr>
            <w:tcW w:w="6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2082"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p>
        </w:tc>
      </w:tr>
    </w:tbl>
    <w:p>
      <w:pPr>
        <w:pStyle w:val="2"/>
      </w:pPr>
    </w:p>
    <w:sectPr>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Arial Unicode MS"/>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4"/>
          <w:jc w:val="center"/>
        </w:pPr>
        <w:r>
          <w:fldChar w:fldCharType="begin"/>
        </w:r>
        <w:r>
          <w:instrText xml:space="preserve">PAGE   \* MERGEFORMAT</w:instrText>
        </w:r>
        <w:r>
          <w:fldChar w:fldCharType="separate"/>
        </w:r>
        <w:r>
          <w:rPr>
            <w:lang w:val="zh-CN"/>
          </w:rPr>
          <w:t>2</w:t>
        </w:r>
        <w:r>
          <w:fldChar w:fldCharType="end"/>
        </w:r>
      </w:p>
    </w:sdtContent>
  </w:sdt>
  <w:p>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B1020F72"/>
    <w:multiLevelType w:val="singleLevel"/>
    <w:tmpl w:val="B1020F72"/>
    <w:lvl w:ilvl="0" w:tentative="0">
      <w:start w:val="1"/>
      <w:numFmt w:val="decimal"/>
      <w:suff w:val="nothing"/>
      <w:lvlText w:val="%1、"/>
      <w:lvlJc w:val="left"/>
    </w:lvl>
  </w:abstractNum>
  <w:abstractNum w:abstractNumId="2">
    <w:nsid w:val="EE5C6BF8"/>
    <w:multiLevelType w:val="singleLevel"/>
    <w:tmpl w:val="EE5C6BF8"/>
    <w:lvl w:ilvl="0" w:tentative="0">
      <w:start w:val="2"/>
      <w:numFmt w:val="decimal"/>
      <w:suff w:val="nothing"/>
      <w:lvlText w:val="%1、"/>
      <w:lvlJc w:val="left"/>
    </w:lvl>
  </w:abstractNum>
  <w:abstractNum w:abstractNumId="3">
    <w:nsid w:val="FF4BB6DE"/>
    <w:multiLevelType w:val="singleLevel"/>
    <w:tmpl w:val="FF4BB6DE"/>
    <w:lvl w:ilvl="0" w:tentative="0">
      <w:start w:val="1"/>
      <w:numFmt w:val="decimal"/>
      <w:suff w:val="nothing"/>
      <w:lvlText w:val="%1、"/>
      <w:lvlJc w:val="left"/>
    </w:lvl>
  </w:abstractNum>
  <w:abstractNum w:abstractNumId="4">
    <w:nsid w:val="FF9379A8"/>
    <w:multiLevelType w:val="singleLevel"/>
    <w:tmpl w:val="FF9379A8"/>
    <w:lvl w:ilvl="0" w:tentative="0">
      <w:start w:val="2"/>
      <w:numFmt w:val="chineseCounting"/>
      <w:suff w:val="nothing"/>
      <w:lvlText w:val="（%1）"/>
      <w:lvlJc w:val="left"/>
      <w:rPr>
        <w:rFonts w:hint="eastAsia"/>
      </w:rPr>
    </w:lvl>
  </w:abstractNum>
  <w:abstractNum w:abstractNumId="5">
    <w:nsid w:val="116B29BF"/>
    <w:multiLevelType w:val="singleLevel"/>
    <w:tmpl w:val="116B29BF"/>
    <w:lvl w:ilvl="0" w:tentative="0">
      <w:start w:val="3"/>
      <w:numFmt w:val="chineseCounting"/>
      <w:suff w:val="nothing"/>
      <w:lvlText w:val="%1、"/>
      <w:lvlJc w:val="left"/>
      <w:rPr>
        <w:rFonts w:hint="eastAsia"/>
      </w:rPr>
    </w:lvl>
  </w:abstractNum>
  <w:abstractNum w:abstractNumId="6">
    <w:nsid w:val="3730CCE4"/>
    <w:multiLevelType w:val="singleLevel"/>
    <w:tmpl w:val="3730CCE4"/>
    <w:lvl w:ilvl="0" w:tentative="0">
      <w:start w:val="2"/>
      <w:numFmt w:val="decimal"/>
      <w:suff w:val="nothing"/>
      <w:lvlText w:val="（%1）"/>
      <w:lvlJc w:val="left"/>
    </w:lvl>
  </w:abstractNum>
  <w:num w:numId="1">
    <w:abstractNumId w:val="6"/>
  </w:num>
  <w:num w:numId="2">
    <w:abstractNumId w:val="2"/>
  </w:num>
  <w:num w:numId="3">
    <w:abstractNumId w:val="5"/>
  </w:num>
  <w:num w:numId="4">
    <w:abstractNumId w:val="4"/>
  </w:num>
  <w:num w:numId="5">
    <w:abstractNumId w:val="1"/>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56465"/>
    <w:rsid w:val="000E50F0"/>
    <w:rsid w:val="000E586C"/>
    <w:rsid w:val="00121AE4"/>
    <w:rsid w:val="00146AAD"/>
    <w:rsid w:val="001B3A40"/>
    <w:rsid w:val="003C18BC"/>
    <w:rsid w:val="004366A8"/>
    <w:rsid w:val="00464900"/>
    <w:rsid w:val="00502BA7"/>
    <w:rsid w:val="005162F1"/>
    <w:rsid w:val="00535153"/>
    <w:rsid w:val="00554F82"/>
    <w:rsid w:val="0056390D"/>
    <w:rsid w:val="005719B0"/>
    <w:rsid w:val="005D10D6"/>
    <w:rsid w:val="006233B1"/>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DF7C45"/>
    <w:rsid w:val="00E31565"/>
    <w:rsid w:val="00E46C51"/>
    <w:rsid w:val="00E769FE"/>
    <w:rsid w:val="00EA2CBE"/>
    <w:rsid w:val="00F32FEE"/>
    <w:rsid w:val="00F71278"/>
    <w:rsid w:val="00FB10BB"/>
    <w:rsid w:val="01CD2D60"/>
    <w:rsid w:val="051A56F5"/>
    <w:rsid w:val="066D6EAA"/>
    <w:rsid w:val="08C662D4"/>
    <w:rsid w:val="09BD4D95"/>
    <w:rsid w:val="0F8D41CB"/>
    <w:rsid w:val="11C75270"/>
    <w:rsid w:val="12637CC3"/>
    <w:rsid w:val="12E657C5"/>
    <w:rsid w:val="167C7687"/>
    <w:rsid w:val="168B3546"/>
    <w:rsid w:val="17A205FC"/>
    <w:rsid w:val="19A47438"/>
    <w:rsid w:val="1A2374E0"/>
    <w:rsid w:val="1C317CE2"/>
    <w:rsid w:val="1DD45808"/>
    <w:rsid w:val="1DED42AC"/>
    <w:rsid w:val="20005763"/>
    <w:rsid w:val="20FB313D"/>
    <w:rsid w:val="220B4804"/>
    <w:rsid w:val="282475E3"/>
    <w:rsid w:val="2C044818"/>
    <w:rsid w:val="2C6100C1"/>
    <w:rsid w:val="3264220D"/>
    <w:rsid w:val="3963178C"/>
    <w:rsid w:val="3B0E038A"/>
    <w:rsid w:val="418D129F"/>
    <w:rsid w:val="41CC2676"/>
    <w:rsid w:val="46B21672"/>
    <w:rsid w:val="4F552460"/>
    <w:rsid w:val="4FCC6863"/>
    <w:rsid w:val="500A214A"/>
    <w:rsid w:val="513D4CE3"/>
    <w:rsid w:val="522D604D"/>
    <w:rsid w:val="5297585E"/>
    <w:rsid w:val="52AD7D6F"/>
    <w:rsid w:val="5549519D"/>
    <w:rsid w:val="5557596B"/>
    <w:rsid w:val="5939399D"/>
    <w:rsid w:val="5A2B61B1"/>
    <w:rsid w:val="5B596DFC"/>
    <w:rsid w:val="5DF03945"/>
    <w:rsid w:val="637C2815"/>
    <w:rsid w:val="65561A11"/>
    <w:rsid w:val="7A353D0B"/>
    <w:rsid w:val="7D3A5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2"/>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3"/>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4"/>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5"/>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6"/>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7"/>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28"/>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29"/>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0"/>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Body Text"/>
    <w:basedOn w:val="1"/>
    <w:qFormat/>
    <w:uiPriority w:val="0"/>
    <w:pPr>
      <w:spacing w:after="120"/>
    </w:pPr>
  </w:style>
  <w:style w:type="paragraph" w:styleId="13">
    <w:name w:val="Balloon Text"/>
    <w:basedOn w:val="1"/>
    <w:link w:val="47"/>
    <w:semiHidden/>
    <w:unhideWhenUsed/>
    <w:qFormat/>
    <w:uiPriority w:val="99"/>
    <w:rPr>
      <w:sz w:val="18"/>
      <w:szCs w:val="18"/>
    </w:rPr>
  </w:style>
  <w:style w:type="paragraph" w:styleId="14">
    <w:name w:val="footer"/>
    <w:basedOn w:val="1"/>
    <w:link w:val="46"/>
    <w:unhideWhenUsed/>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45"/>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Subtitle"/>
    <w:basedOn w:val="1"/>
    <w:next w:val="1"/>
    <w:link w:val="32"/>
    <w:qFormat/>
    <w:uiPriority w:val="11"/>
    <w:pPr>
      <w:widowControl/>
      <w:spacing w:after="60"/>
      <w:jc w:val="center"/>
      <w:outlineLvl w:val="1"/>
    </w:pPr>
    <w:rPr>
      <w:rFonts w:asciiTheme="majorHAnsi" w:hAnsiTheme="majorHAnsi" w:eastAsiaTheme="majorEastAsia"/>
      <w:kern w:val="0"/>
      <w:sz w:val="24"/>
    </w:rPr>
  </w:style>
  <w:style w:type="paragraph" w:styleId="17">
    <w:name w:val="Body Text First Indent"/>
    <w:basedOn w:val="12"/>
    <w:qFormat/>
    <w:uiPriority w:val="0"/>
    <w:pPr>
      <w:spacing w:after="0"/>
      <w:ind w:firstLine="200" w:firstLineChars="200"/>
    </w:pPr>
  </w:style>
  <w:style w:type="character" w:styleId="20">
    <w:name w:val="Strong"/>
    <w:basedOn w:val="19"/>
    <w:qFormat/>
    <w:uiPriority w:val="0"/>
    <w:rPr>
      <w:b/>
      <w:bCs/>
    </w:rPr>
  </w:style>
  <w:style w:type="character" w:styleId="21">
    <w:name w:val="Emphasis"/>
    <w:basedOn w:val="19"/>
    <w:qFormat/>
    <w:uiPriority w:val="20"/>
    <w:rPr>
      <w:rFonts w:asciiTheme="minorHAnsi" w:hAnsiTheme="minorHAnsi"/>
      <w:b/>
      <w:i/>
      <w:iCs/>
    </w:rPr>
  </w:style>
  <w:style w:type="character" w:customStyle="1" w:styleId="22">
    <w:name w:val="标题 1 字符"/>
    <w:basedOn w:val="19"/>
    <w:link w:val="3"/>
    <w:qFormat/>
    <w:uiPriority w:val="9"/>
    <w:rPr>
      <w:rFonts w:asciiTheme="majorHAnsi" w:hAnsiTheme="majorHAnsi" w:eastAsiaTheme="majorEastAsia"/>
      <w:b/>
      <w:bCs/>
      <w:kern w:val="32"/>
      <w:sz w:val="32"/>
      <w:szCs w:val="32"/>
    </w:rPr>
  </w:style>
  <w:style w:type="character" w:customStyle="1" w:styleId="23">
    <w:name w:val="标题 2 字符"/>
    <w:basedOn w:val="19"/>
    <w:link w:val="4"/>
    <w:semiHidden/>
    <w:qFormat/>
    <w:uiPriority w:val="9"/>
    <w:rPr>
      <w:rFonts w:asciiTheme="majorHAnsi" w:hAnsiTheme="majorHAnsi" w:eastAsiaTheme="majorEastAsia"/>
      <w:b/>
      <w:bCs/>
      <w:i/>
      <w:iCs/>
      <w:sz w:val="28"/>
      <w:szCs w:val="28"/>
    </w:rPr>
  </w:style>
  <w:style w:type="character" w:customStyle="1" w:styleId="24">
    <w:name w:val="标题 3 字符"/>
    <w:basedOn w:val="19"/>
    <w:link w:val="5"/>
    <w:semiHidden/>
    <w:qFormat/>
    <w:uiPriority w:val="9"/>
    <w:rPr>
      <w:rFonts w:asciiTheme="majorHAnsi" w:hAnsiTheme="majorHAnsi" w:eastAsiaTheme="majorEastAsia"/>
      <w:b/>
      <w:bCs/>
      <w:sz w:val="26"/>
      <w:szCs w:val="26"/>
    </w:rPr>
  </w:style>
  <w:style w:type="character" w:customStyle="1" w:styleId="25">
    <w:name w:val="标题 4 字符"/>
    <w:basedOn w:val="19"/>
    <w:link w:val="6"/>
    <w:semiHidden/>
    <w:qFormat/>
    <w:uiPriority w:val="9"/>
    <w:rPr>
      <w:b/>
      <w:bCs/>
      <w:sz w:val="28"/>
      <w:szCs w:val="28"/>
    </w:rPr>
  </w:style>
  <w:style w:type="character" w:customStyle="1" w:styleId="26">
    <w:name w:val="标题 5 字符"/>
    <w:basedOn w:val="19"/>
    <w:link w:val="7"/>
    <w:semiHidden/>
    <w:qFormat/>
    <w:uiPriority w:val="9"/>
    <w:rPr>
      <w:b/>
      <w:bCs/>
      <w:i/>
      <w:iCs/>
      <w:sz w:val="26"/>
      <w:szCs w:val="26"/>
    </w:rPr>
  </w:style>
  <w:style w:type="character" w:customStyle="1" w:styleId="27">
    <w:name w:val="标题 6 字符"/>
    <w:basedOn w:val="19"/>
    <w:link w:val="8"/>
    <w:semiHidden/>
    <w:qFormat/>
    <w:uiPriority w:val="9"/>
    <w:rPr>
      <w:b/>
      <w:bCs/>
    </w:rPr>
  </w:style>
  <w:style w:type="character" w:customStyle="1" w:styleId="28">
    <w:name w:val="标题 7 字符"/>
    <w:basedOn w:val="19"/>
    <w:link w:val="9"/>
    <w:semiHidden/>
    <w:qFormat/>
    <w:uiPriority w:val="9"/>
    <w:rPr>
      <w:sz w:val="24"/>
      <w:szCs w:val="24"/>
    </w:rPr>
  </w:style>
  <w:style w:type="character" w:customStyle="1" w:styleId="29">
    <w:name w:val="标题 8 字符"/>
    <w:basedOn w:val="19"/>
    <w:link w:val="10"/>
    <w:semiHidden/>
    <w:qFormat/>
    <w:uiPriority w:val="9"/>
    <w:rPr>
      <w:i/>
      <w:iCs/>
      <w:sz w:val="24"/>
      <w:szCs w:val="24"/>
    </w:rPr>
  </w:style>
  <w:style w:type="character" w:customStyle="1" w:styleId="30">
    <w:name w:val="标题 9 字符"/>
    <w:basedOn w:val="19"/>
    <w:link w:val="11"/>
    <w:semiHidden/>
    <w:qFormat/>
    <w:uiPriority w:val="9"/>
    <w:rPr>
      <w:rFonts w:asciiTheme="majorHAnsi" w:hAnsiTheme="majorHAnsi" w:eastAsiaTheme="majorEastAsia"/>
    </w:rPr>
  </w:style>
  <w:style w:type="character" w:customStyle="1" w:styleId="31">
    <w:name w:val="标题 字符"/>
    <w:basedOn w:val="19"/>
    <w:link w:val="2"/>
    <w:qFormat/>
    <w:uiPriority w:val="10"/>
    <w:rPr>
      <w:rFonts w:asciiTheme="majorHAnsi" w:hAnsiTheme="majorHAnsi" w:eastAsiaTheme="majorEastAsia"/>
      <w:b/>
      <w:bCs/>
      <w:kern w:val="28"/>
      <w:sz w:val="32"/>
      <w:szCs w:val="32"/>
    </w:rPr>
  </w:style>
  <w:style w:type="character" w:customStyle="1" w:styleId="32">
    <w:name w:val="副标题 字符"/>
    <w:basedOn w:val="19"/>
    <w:link w:val="16"/>
    <w:qFormat/>
    <w:uiPriority w:val="11"/>
    <w:rPr>
      <w:rFonts w:asciiTheme="majorHAnsi" w:hAnsiTheme="majorHAnsi" w:eastAsiaTheme="majorEastAsia"/>
      <w:sz w:val="24"/>
      <w:szCs w:val="24"/>
    </w:rPr>
  </w:style>
  <w:style w:type="paragraph" w:styleId="33">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4">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5">
    <w:name w:val="Quote"/>
    <w:basedOn w:val="1"/>
    <w:next w:val="1"/>
    <w:link w:val="36"/>
    <w:qFormat/>
    <w:uiPriority w:val="29"/>
    <w:pPr>
      <w:widowControl/>
      <w:jc w:val="left"/>
    </w:pPr>
    <w:rPr>
      <w:rFonts w:asciiTheme="minorHAnsi" w:hAnsiTheme="minorHAnsi" w:eastAsiaTheme="minorEastAsia"/>
      <w:i/>
      <w:kern w:val="0"/>
      <w:sz w:val="24"/>
    </w:rPr>
  </w:style>
  <w:style w:type="character" w:customStyle="1" w:styleId="36">
    <w:name w:val="引用 字符"/>
    <w:basedOn w:val="19"/>
    <w:link w:val="35"/>
    <w:qFormat/>
    <w:uiPriority w:val="29"/>
    <w:rPr>
      <w:i/>
      <w:sz w:val="24"/>
      <w:szCs w:val="24"/>
    </w:rPr>
  </w:style>
  <w:style w:type="paragraph" w:styleId="37">
    <w:name w:val="Intense Quote"/>
    <w:basedOn w:val="1"/>
    <w:next w:val="1"/>
    <w:link w:val="38"/>
    <w:qFormat/>
    <w:uiPriority w:val="30"/>
    <w:pPr>
      <w:widowControl/>
      <w:ind w:left="720" w:right="720"/>
      <w:jc w:val="left"/>
    </w:pPr>
    <w:rPr>
      <w:rFonts w:asciiTheme="minorHAnsi" w:hAnsiTheme="minorHAnsi" w:eastAsiaTheme="minorEastAsia"/>
      <w:b/>
      <w:i/>
      <w:kern w:val="0"/>
      <w:sz w:val="24"/>
      <w:szCs w:val="22"/>
    </w:rPr>
  </w:style>
  <w:style w:type="character" w:customStyle="1" w:styleId="38">
    <w:name w:val="明显引用 字符"/>
    <w:basedOn w:val="19"/>
    <w:link w:val="37"/>
    <w:qFormat/>
    <w:uiPriority w:val="30"/>
    <w:rPr>
      <w:b/>
      <w:i/>
      <w:sz w:val="24"/>
    </w:rPr>
  </w:style>
  <w:style w:type="character" w:customStyle="1" w:styleId="39">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0">
    <w:name w:val="明显强调1"/>
    <w:basedOn w:val="19"/>
    <w:qFormat/>
    <w:uiPriority w:val="21"/>
    <w:rPr>
      <w:b/>
      <w:i/>
      <w:sz w:val="24"/>
      <w:szCs w:val="24"/>
      <w:u w:val="single"/>
    </w:rPr>
  </w:style>
  <w:style w:type="character" w:customStyle="1" w:styleId="41">
    <w:name w:val="不明显参考1"/>
    <w:basedOn w:val="19"/>
    <w:qFormat/>
    <w:uiPriority w:val="31"/>
    <w:rPr>
      <w:sz w:val="24"/>
      <w:szCs w:val="24"/>
      <w:u w:val="single"/>
    </w:rPr>
  </w:style>
  <w:style w:type="character" w:customStyle="1" w:styleId="42">
    <w:name w:val="明显参考1"/>
    <w:basedOn w:val="19"/>
    <w:qFormat/>
    <w:uiPriority w:val="32"/>
    <w:rPr>
      <w:b/>
      <w:sz w:val="24"/>
      <w:u w:val="single"/>
    </w:rPr>
  </w:style>
  <w:style w:type="character" w:customStyle="1" w:styleId="43">
    <w:name w:val="书籍标题1"/>
    <w:basedOn w:val="19"/>
    <w:qFormat/>
    <w:uiPriority w:val="33"/>
    <w:rPr>
      <w:rFonts w:asciiTheme="majorHAnsi" w:hAnsiTheme="majorHAnsi" w:eastAsiaTheme="majorEastAsia"/>
      <w:b/>
      <w:i/>
      <w:sz w:val="24"/>
      <w:szCs w:val="24"/>
    </w:rPr>
  </w:style>
  <w:style w:type="paragraph" w:customStyle="1" w:styleId="44">
    <w:name w:val="TOC 标题1"/>
    <w:basedOn w:val="3"/>
    <w:next w:val="1"/>
    <w:semiHidden/>
    <w:unhideWhenUsed/>
    <w:qFormat/>
    <w:uiPriority w:val="39"/>
    <w:pPr>
      <w:outlineLvl w:val="9"/>
    </w:pPr>
    <w:rPr>
      <w:lang w:eastAsia="en-US" w:bidi="en-US"/>
    </w:rPr>
  </w:style>
  <w:style w:type="character" w:customStyle="1" w:styleId="45">
    <w:name w:val="页眉 字符"/>
    <w:basedOn w:val="19"/>
    <w:link w:val="15"/>
    <w:qFormat/>
    <w:uiPriority w:val="99"/>
    <w:rPr>
      <w:rFonts w:ascii="Calibri" w:hAnsi="Calibri" w:eastAsia="宋体"/>
      <w:kern w:val="2"/>
      <w:sz w:val="18"/>
      <w:szCs w:val="18"/>
    </w:rPr>
  </w:style>
  <w:style w:type="character" w:customStyle="1" w:styleId="46">
    <w:name w:val="页脚 字符"/>
    <w:basedOn w:val="19"/>
    <w:link w:val="14"/>
    <w:qFormat/>
    <w:uiPriority w:val="99"/>
    <w:rPr>
      <w:rFonts w:ascii="Calibri" w:hAnsi="Calibri" w:eastAsia="宋体"/>
      <w:kern w:val="2"/>
      <w:sz w:val="18"/>
      <w:szCs w:val="18"/>
    </w:rPr>
  </w:style>
  <w:style w:type="character" w:customStyle="1" w:styleId="47">
    <w:name w:val="批注框文本 字符"/>
    <w:basedOn w:val="19"/>
    <w:link w:val="13"/>
    <w:semiHidden/>
    <w:qFormat/>
    <w:uiPriority w:val="99"/>
    <w:rPr>
      <w:rFonts w:ascii="Times New Roman" w:hAnsi="Times New Roman" w:eastAsia="宋体"/>
      <w:kern w:val="2"/>
      <w:sz w:val="18"/>
      <w:szCs w:val="18"/>
    </w:rPr>
  </w:style>
  <w:style w:type="paragraph" w:customStyle="1" w:styleId="48">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49">
    <w:name w:val="fontstyle01"/>
    <w:qFormat/>
    <w:uiPriority w:val="0"/>
    <w:rPr>
      <w:rFonts w:ascii="仿宋_GB2312" w:hAnsi="仿宋_GB2312" w:eastAsia="仿宋_GB2312" w:cs="仿宋_GB2312"/>
      <w:color w:val="000000"/>
      <w:sz w:val="32"/>
      <w:szCs w:val="32"/>
    </w:rPr>
  </w:style>
  <w:style w:type="paragraph" w:customStyle="1" w:styleId="50">
    <w:name w:val="闻政-正文段落文字"/>
    <w:basedOn w:val="1"/>
    <w:qFormat/>
    <w:uiPriority w:val="0"/>
    <w:pPr>
      <w:spacing w:line="500" w:lineRule="exact"/>
      <w:ind w:firstLine="200"/>
    </w:pPr>
    <w:rPr>
      <w:rFonts w:ascii="Times New Roman" w:hAnsi="Times New Roman" w:cs="Times New Roman"/>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1340</Words>
  <Characters>7640</Characters>
  <Lines>63</Lines>
  <Paragraphs>17</Paragraphs>
  <TotalTime>1</TotalTime>
  <ScaleCrop>false</ScaleCrop>
  <LinksUpToDate>false</LinksUpToDate>
  <CharactersWithSpaces>8963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dell-dell</cp:lastModifiedBy>
  <cp:lastPrinted>2021-04-09T04:00:00Z</cp:lastPrinted>
  <dcterms:modified xsi:type="dcterms:W3CDTF">2021-05-29T12:46:44Z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607F4302D9A14F5FBCF9AE197FB17442</vt:lpwstr>
  </property>
  <property fmtid="{D5CDD505-2E9C-101B-9397-08002B2CF9AE}" pid="4" name="KSOSaveFontToCloudKey">
    <vt:lpwstr>229835342_cloud</vt:lpwstr>
  </property>
</Properties>
</file>