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eastAsia="华文中宋" w:cs="宋体"/>
          <w:b/>
          <w:kern w:val="0"/>
          <w:sz w:val="52"/>
          <w:szCs w:val="52"/>
        </w:rPr>
      </w:pPr>
    </w:p>
    <w:p>
      <w:pPr>
        <w:spacing w:line="540" w:lineRule="exact"/>
        <w:jc w:val="center"/>
        <w:rPr>
          <w:rFonts w:ascii="华文中宋" w:eastAsia="华文中宋" w:cs="宋体"/>
          <w:b/>
          <w:kern w:val="0"/>
          <w:sz w:val="52"/>
          <w:szCs w:val="52"/>
        </w:rPr>
      </w:pPr>
    </w:p>
    <w:p>
      <w:pPr>
        <w:spacing w:line="540" w:lineRule="exact"/>
        <w:jc w:val="center"/>
        <w:rPr>
          <w:rFonts w:ascii="华文中宋" w:eastAsia="华文中宋" w:cs="宋体"/>
          <w:b/>
          <w:kern w:val="0"/>
          <w:sz w:val="52"/>
          <w:szCs w:val="52"/>
        </w:rPr>
      </w:pPr>
    </w:p>
    <w:p>
      <w:pPr>
        <w:spacing w:line="540" w:lineRule="exact"/>
        <w:jc w:val="center"/>
        <w:rPr>
          <w:rFonts w:ascii="华文中宋" w:eastAsia="华文中宋" w:cs="宋体"/>
          <w:b/>
          <w:kern w:val="0"/>
          <w:sz w:val="52"/>
          <w:szCs w:val="52"/>
        </w:rPr>
      </w:pPr>
    </w:p>
    <w:p>
      <w:pPr>
        <w:spacing w:line="540" w:lineRule="exact"/>
        <w:jc w:val="center"/>
        <w:rPr>
          <w:rFonts w:ascii="华文中宋" w:eastAsia="华文中宋" w:cs="宋体"/>
          <w:b/>
          <w:kern w:val="0"/>
          <w:sz w:val="52"/>
          <w:szCs w:val="52"/>
        </w:rPr>
      </w:pPr>
    </w:p>
    <w:p>
      <w:pPr>
        <w:spacing w:line="540" w:lineRule="exact"/>
        <w:jc w:val="center"/>
        <w:rPr>
          <w:rFonts w:ascii="华文中宋" w:eastAsia="华文中宋" w:cs="宋体"/>
          <w:b/>
          <w:kern w:val="0"/>
          <w:sz w:val="52"/>
          <w:szCs w:val="52"/>
        </w:rPr>
      </w:pPr>
    </w:p>
    <w:p>
      <w:pPr>
        <w:spacing w:line="700" w:lineRule="exact"/>
        <w:ind w:firstLine="880" w:firstLineChars="200"/>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专户上解项目支出绩效评价报告</w:t>
      </w:r>
    </w:p>
    <w:p>
      <w:pPr>
        <w:spacing w:line="540" w:lineRule="exact"/>
        <w:jc w:val="center"/>
        <w:rPr>
          <w:rFonts w:hint="eastAsia" w:ascii="仿宋_GB2312" w:hAnsi="仿宋_GB2312" w:eastAsia="仿宋_GB2312" w:cs="仿宋_GB2312"/>
          <w:b/>
          <w:kern w:val="0"/>
          <w:sz w:val="36"/>
          <w:szCs w:val="36"/>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2020年度）</w:t>
      </w:r>
    </w:p>
    <w:p>
      <w:pPr>
        <w:spacing w:line="540" w:lineRule="exact"/>
        <w:jc w:val="center"/>
        <w:rPr>
          <w:rFonts w:hint="eastAsia" w:ascii="仿宋_GB2312" w:hAnsi="仿宋_GB2312" w:eastAsia="仿宋_GB2312" w:cs="仿宋_GB2312"/>
          <w:kern w:val="0"/>
          <w:sz w:val="36"/>
          <w:szCs w:val="36"/>
        </w:rPr>
      </w:pPr>
    </w:p>
    <w:p>
      <w:pPr>
        <w:spacing w:line="540" w:lineRule="exact"/>
        <w:jc w:val="center"/>
        <w:rPr>
          <w:rFonts w:hint="eastAsia" w:ascii="仿宋_GB2312" w:hAnsi="仿宋_GB2312" w:eastAsia="仿宋_GB2312" w:cs="仿宋_GB2312"/>
          <w:kern w:val="0"/>
          <w:sz w:val="36"/>
          <w:szCs w:val="36"/>
        </w:rPr>
      </w:pPr>
    </w:p>
    <w:p>
      <w:pPr>
        <w:spacing w:line="540" w:lineRule="exact"/>
        <w:jc w:val="center"/>
        <w:rPr>
          <w:rFonts w:hint="eastAsia" w:ascii="仿宋_GB2312" w:hAnsi="仿宋_GB2312" w:eastAsia="仿宋_GB2312" w:cs="仿宋_GB2312"/>
          <w:kern w:val="0"/>
          <w:sz w:val="36"/>
          <w:szCs w:val="36"/>
        </w:rPr>
      </w:pPr>
    </w:p>
    <w:p>
      <w:pPr>
        <w:spacing w:line="540" w:lineRule="exact"/>
        <w:jc w:val="center"/>
        <w:rPr>
          <w:rFonts w:hint="eastAsia" w:ascii="仿宋_GB2312" w:hAnsi="仿宋_GB2312" w:eastAsia="仿宋_GB2312" w:cs="仿宋_GB2312"/>
          <w:kern w:val="0"/>
          <w:sz w:val="36"/>
          <w:szCs w:val="36"/>
        </w:rPr>
      </w:pPr>
    </w:p>
    <w:p>
      <w:pPr>
        <w:spacing w:line="540" w:lineRule="exact"/>
        <w:jc w:val="center"/>
        <w:rPr>
          <w:rFonts w:hint="eastAsia" w:ascii="仿宋_GB2312" w:hAnsi="仿宋_GB2312" w:eastAsia="仿宋_GB2312" w:cs="仿宋_GB2312"/>
          <w:kern w:val="0"/>
          <w:sz w:val="36"/>
          <w:szCs w:val="36"/>
        </w:rPr>
      </w:pPr>
    </w:p>
    <w:p>
      <w:pPr>
        <w:spacing w:line="700" w:lineRule="exact"/>
        <w:ind w:firstLine="1440" w:firstLineChars="4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项目名称：专户上解资金</w:t>
      </w:r>
    </w:p>
    <w:p>
      <w:pPr>
        <w:spacing w:line="700" w:lineRule="exact"/>
        <w:ind w:firstLine="720" w:firstLineChars="200"/>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实施单位（公章）：塔城地区林业和草原局</w:t>
      </w:r>
    </w:p>
    <w:p>
      <w:pPr>
        <w:spacing w:line="700" w:lineRule="exact"/>
        <w:ind w:firstLine="720" w:firstLineChars="200"/>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主管部门（公章）：塔城地区林业和草原局</w:t>
      </w:r>
    </w:p>
    <w:p>
      <w:pPr>
        <w:spacing w:line="700" w:lineRule="exact"/>
        <w:ind w:firstLine="1440" w:firstLineChars="4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项目负责人（签章）：杜江涛</w:t>
      </w:r>
    </w:p>
    <w:p>
      <w:pPr>
        <w:spacing w:line="700" w:lineRule="exact"/>
        <w:ind w:firstLine="1440" w:firstLineChars="4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填报时间：2021年4月2日</w:t>
      </w:r>
    </w:p>
    <w:p>
      <w:pPr>
        <w:spacing w:line="540" w:lineRule="exact"/>
        <w:jc w:val="center"/>
        <w:rPr>
          <w:rFonts w:hint="eastAsia" w:ascii="仿宋_GB2312" w:hAnsi="仿宋_GB2312" w:eastAsia="仿宋_GB2312" w:cs="仿宋_GB2312"/>
          <w:kern w:val="0"/>
          <w:sz w:val="36"/>
          <w:szCs w:val="36"/>
        </w:rPr>
      </w:pPr>
    </w:p>
    <w:p>
      <w:pPr>
        <w:spacing w:line="540" w:lineRule="exact"/>
        <w:jc w:val="center"/>
        <w:rPr>
          <w:rStyle w:val="20"/>
          <w:rFonts w:hint="eastAsia" w:ascii="仿宋_GB2312" w:hAnsi="仿宋_GB2312" w:eastAsia="仿宋_GB2312" w:cs="仿宋_GB2312"/>
          <w:b w:val="0"/>
          <w:spacing w:val="-4"/>
          <w:sz w:val="36"/>
          <w:szCs w:val="36"/>
        </w:rPr>
      </w:pPr>
    </w:p>
    <w:p>
      <w:pPr>
        <w:spacing w:line="540" w:lineRule="exact"/>
        <w:ind w:firstLine="640"/>
        <w:jc w:val="center"/>
        <w:rPr>
          <w:rStyle w:val="20"/>
          <w:rFonts w:hint="eastAsia" w:ascii="仿宋_GB2312" w:hAnsi="仿宋_GB2312" w:eastAsia="仿宋_GB2312" w:cs="仿宋_GB2312"/>
          <w:b w:val="0"/>
          <w:spacing w:val="-4"/>
          <w:sz w:val="36"/>
          <w:szCs w:val="36"/>
        </w:rPr>
      </w:pPr>
    </w:p>
    <w:p>
      <w:pPr>
        <w:spacing w:line="600" w:lineRule="exact"/>
        <w:jc w:val="center"/>
        <w:rPr>
          <w:rFonts w:hint="eastAsia" w:ascii="仿宋_GB2312" w:hAnsi="仿宋_GB2312" w:eastAsia="仿宋_GB2312" w:cs="仿宋_GB2312"/>
          <w:bCs/>
          <w:sz w:val="36"/>
          <w:szCs w:val="36"/>
        </w:rPr>
      </w:pPr>
    </w:p>
    <w:p>
      <w:pPr>
        <w:pageBreakBefore w:val="0"/>
        <w:kinsoku/>
        <w:wordWrap/>
        <w:overflowPunct/>
        <w:topLinePunct w:val="0"/>
        <w:autoSpaceDE/>
        <w:autoSpaceDN/>
        <w:bidi w:val="0"/>
        <w:adjustRightInd/>
        <w:snapToGrid/>
        <w:spacing w:line="560" w:lineRule="exact"/>
        <w:textAlignment w:val="auto"/>
        <w:rPr>
          <w:rFonts w:ascii="黑体" w:eastAsia="黑体" w:cs="黑体"/>
          <w:b/>
          <w:bCs w:val="0"/>
          <w:sz w:val="32"/>
          <w:szCs w:val="32"/>
        </w:rPr>
      </w:pPr>
      <w:r>
        <w:rPr>
          <w:rFonts w:hint="eastAsia" w:ascii="黑体" w:eastAsia="黑体" w:cs="黑体"/>
          <w:b/>
          <w:bCs w:val="0"/>
          <w:sz w:val="32"/>
          <w:szCs w:val="32"/>
        </w:rPr>
        <w:t>一、基本情况</w:t>
      </w:r>
    </w:p>
    <w:p>
      <w:pPr>
        <w:pageBreakBefore w:val="0"/>
        <w:kinsoku/>
        <w:wordWrap/>
        <w:overflowPunct/>
        <w:topLinePunct w:val="0"/>
        <w:autoSpaceDE/>
        <w:autoSpaceDN/>
        <w:bidi w:val="0"/>
        <w:adjustRightInd/>
        <w:snapToGrid/>
        <w:spacing w:line="560" w:lineRule="exact"/>
        <w:ind w:firstLine="641"/>
        <w:textAlignment w:val="auto"/>
        <w:rPr>
          <w:rFonts w:ascii="楷体_GB2312" w:eastAsia="楷体_GB2312" w:cs="楷体_GB2312"/>
          <w:b/>
          <w:bCs/>
          <w:sz w:val="32"/>
          <w:szCs w:val="32"/>
        </w:rPr>
      </w:pPr>
      <w:r>
        <w:rPr>
          <w:rFonts w:hint="eastAsia" w:asci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b/>
          <w:bCs/>
          <w:sz w:val="32"/>
          <w:szCs w:val="32"/>
        </w:rPr>
      </w:pPr>
      <w:r>
        <w:rPr>
          <w:rFonts w:hint="eastAsia" w:ascii="仿宋_GB2312" w:eastAsia="仿宋_GB2312" w:cs="仿宋_GB2312"/>
          <w:b/>
          <w:bCs/>
          <w:sz w:val="32"/>
          <w:szCs w:val="32"/>
        </w:rPr>
        <w:t>1、项目背景</w:t>
      </w:r>
    </w:p>
    <w:p>
      <w:pPr>
        <w:pStyle w:val="2"/>
        <w:pageBreakBefore w:val="0"/>
        <w:kinsoku/>
        <w:wordWrap/>
        <w:overflowPunct/>
        <w:topLinePunct w:val="0"/>
        <w:autoSpaceDE/>
        <w:autoSpaceDN/>
        <w:bidi w:val="0"/>
        <w:adjustRightInd/>
        <w:snapToGrid/>
        <w:spacing w:before="0" w:after="0" w:line="560" w:lineRule="exact"/>
        <w:ind w:firstLine="643" w:firstLineChars="200"/>
        <w:jc w:val="left"/>
        <w:textAlignment w:val="auto"/>
        <w:rPr>
          <w:rFonts w:ascii="仿宋_GB2312" w:eastAsia="仿宋_GB2312" w:cs="仿宋_GB2312"/>
          <w:b w:val="0"/>
          <w:bCs w:val="0"/>
          <w:kern w:val="0"/>
        </w:rPr>
      </w:pPr>
      <w:r>
        <w:rPr>
          <w:rFonts w:hint="eastAsia"/>
        </w:rPr>
        <w:t>一</w:t>
      </w:r>
      <w:r>
        <w:rPr>
          <w:rFonts w:hint="eastAsia" w:ascii="仿宋_GB2312" w:eastAsia="仿宋_GB2312" w:cs="仿宋_GB2312"/>
          <w:b w:val="0"/>
          <w:bCs w:val="0"/>
          <w:kern w:val="0"/>
        </w:rPr>
        <w:t>是我局办公楼始建于1990年，目前已使用30余年，大门已无法使用，围墙已经老化，所以为了给我局职工提供良好的办公环境，解决这些问题，2020年12月收到地委财经委员会奖励资金800000元后，我局已将维修大门及围墙费用列入其中。二是</w:t>
      </w:r>
      <w:r>
        <w:rPr>
          <w:rFonts w:hint="eastAsia" w:ascii="仿宋_GB2312" w:eastAsia="仿宋_GB2312" w:cs="仿宋_GB2312"/>
          <w:b w:val="0"/>
          <w:bCs w:val="0"/>
          <w:kern w:val="0"/>
          <w:lang w:eastAsia="zh-CN"/>
        </w:rPr>
        <w:t>采购</w:t>
      </w:r>
      <w:r>
        <w:rPr>
          <w:rFonts w:hint="eastAsia" w:ascii="仿宋_GB2312" w:eastAsia="仿宋_GB2312" w:cs="仿宋_GB2312"/>
          <w:b w:val="0"/>
          <w:bCs w:val="0"/>
          <w:kern w:val="0"/>
        </w:rPr>
        <w:t>家具用具及相关物品。三是确保机关正常运行，提高业务工作效率。</w:t>
      </w:r>
    </w:p>
    <w:p>
      <w:pPr>
        <w:pageBreakBefore w:val="0"/>
        <w:numPr>
          <w:ilvl w:val="0"/>
          <w:numId w:val="1"/>
        </w:numPr>
        <w:kinsoku/>
        <w:wordWrap/>
        <w:overflowPunct/>
        <w:topLinePunct w:val="0"/>
        <w:autoSpaceDE/>
        <w:autoSpaceDN/>
        <w:bidi w:val="0"/>
        <w:adjustRightInd/>
        <w:snapToGrid/>
        <w:spacing w:line="560" w:lineRule="exact"/>
        <w:ind w:firstLine="641"/>
        <w:textAlignment w:val="auto"/>
        <w:rPr>
          <w:rFonts w:ascii="仿宋_GB2312" w:eastAsia="仿宋_GB2312" w:cs="仿宋_GB2312"/>
          <w:b/>
          <w:bCs/>
          <w:sz w:val="32"/>
          <w:szCs w:val="32"/>
        </w:rPr>
      </w:pPr>
      <w:r>
        <w:rPr>
          <w:rFonts w:hint="eastAsia" w:ascii="仿宋_GB2312" w:eastAsia="仿宋_GB2312" w:cs="仿宋_GB2312"/>
          <w:b/>
          <w:bCs/>
          <w:sz w:val="32"/>
          <w:szCs w:val="32"/>
        </w:rPr>
        <w:t>项目主要内容及实施情况</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cs="仿宋_GB2312"/>
          <w:b w:val="0"/>
          <w:bCs w:val="0"/>
          <w:kern w:val="2"/>
        </w:rPr>
      </w:pPr>
      <w:r>
        <w:rPr>
          <w:rFonts w:hint="eastAsia" w:ascii="仿宋_GB2312" w:eastAsia="仿宋_GB2312" w:cs="仿宋_GB2312"/>
          <w:b w:val="0"/>
          <w:bCs w:val="0"/>
          <w:kern w:val="2"/>
        </w:rPr>
        <w:t>项目主要内容：一是</w:t>
      </w:r>
      <w:r>
        <w:rPr>
          <w:rFonts w:hint="eastAsia" w:ascii="仿宋_GB2312" w:eastAsia="仿宋_GB2312" w:cs="仿宋_GB2312"/>
          <w:b w:val="0"/>
          <w:bCs w:val="0"/>
          <w:kern w:val="0"/>
        </w:rPr>
        <w:t>将维修大门及围墙费用列入其中。二是</w:t>
      </w:r>
      <w:r>
        <w:rPr>
          <w:rFonts w:hint="eastAsia" w:ascii="仿宋_GB2312" w:eastAsia="仿宋_GB2312" w:cs="仿宋_GB2312"/>
          <w:b w:val="0"/>
          <w:bCs w:val="0"/>
          <w:kern w:val="0"/>
          <w:lang w:eastAsia="zh-CN"/>
        </w:rPr>
        <w:t>采购</w:t>
      </w:r>
      <w:r>
        <w:rPr>
          <w:rFonts w:hint="eastAsia" w:ascii="仿宋_GB2312" w:eastAsia="仿宋_GB2312" w:cs="仿宋_GB2312"/>
          <w:b w:val="0"/>
          <w:bCs w:val="0"/>
          <w:kern w:val="0"/>
        </w:rPr>
        <w:t>家具用具及相关物品。三是确保机关正常运行，提高业务工作效率。</w:t>
      </w:r>
    </w:p>
    <w:p>
      <w:pPr>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exact"/>
        <w:ind w:firstLine="579" w:firstLineChars="181"/>
        <w:textAlignment w:val="auto"/>
        <w:rPr>
          <w:rFonts w:ascii="仿宋_GB2312" w:eastAsia="仿宋_GB2312" w:cs="仿宋_GB2312"/>
          <w:sz w:val="32"/>
          <w:szCs w:val="32"/>
        </w:rPr>
      </w:pPr>
      <w:r>
        <w:rPr>
          <w:rFonts w:hint="eastAsia" w:ascii="仿宋_GB2312" w:eastAsia="仿宋_GB2312" w:cs="仿宋_GB2312"/>
          <w:sz w:val="32"/>
          <w:szCs w:val="32"/>
        </w:rPr>
        <w:t>本项目总投资80万元，其中：财政本级资金80万元。项目实际支出42.12万元， 支出率为52.65%。</w:t>
      </w:r>
    </w:p>
    <w:p>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b/>
          <w:bCs/>
          <w:sz w:val="32"/>
          <w:szCs w:val="32"/>
        </w:rPr>
      </w:pPr>
      <w:r>
        <w:rPr>
          <w:rFonts w:hint="eastAsia" w:asci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sz w:val="20"/>
          <w:szCs w:val="20"/>
        </w:rPr>
      </w:pPr>
      <w:r>
        <w:rPr>
          <w:rFonts w:hint="eastAsia" w:asci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exact"/>
        <w:ind w:firstLine="579" w:firstLineChars="181"/>
        <w:textAlignment w:val="auto"/>
        <w:rPr>
          <w:rFonts w:ascii="仿宋_GB2312" w:eastAsia="仿宋_GB2312" w:cs="仿宋_GB2312"/>
          <w:sz w:val="32"/>
          <w:szCs w:val="32"/>
        </w:rPr>
      </w:pPr>
      <w:r>
        <w:rPr>
          <w:rFonts w:hint="eastAsia" w:ascii="仿宋_GB2312" w:eastAsia="仿宋_GB2312" w:cs="仿宋_GB2312"/>
          <w:sz w:val="32"/>
          <w:szCs w:val="32"/>
        </w:rPr>
        <w:t>项目总投资80万元，按照《专项资金管理办法》及单位财务制度等相关规定，资金支出符合专户上解专项资金费用范围，做到了专款专用。在项目资金拨付和使用过程中，为确保项目资金的安全性，提高项目资金使用效率，严格遵循项目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rPr>
      </w:pPr>
      <w:r>
        <w:rPr>
          <w:rFonts w:hint="eastAsia" w:ascii="仿宋_GB2312" w:eastAsia="仿宋_GB2312" w:cs="仿宋_GB2312"/>
          <w:sz w:val="32"/>
          <w:szCs w:val="32"/>
        </w:rPr>
        <w:t>（2）预算资金来源及使用情况</w:t>
      </w:r>
      <w:bookmarkStart w:id="0" w:name="page10"/>
      <w:bookmarkEnd w:id="0"/>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cs="仿宋_GB2312"/>
          <w:b w:val="0"/>
          <w:bCs w:val="0"/>
          <w:kern w:val="2"/>
        </w:rPr>
      </w:pPr>
      <w:r>
        <w:rPr>
          <w:rFonts w:hint="eastAsia" w:ascii="仿宋_GB2312" w:eastAsia="仿宋_GB2312" w:cs="仿宋_GB2312"/>
          <w:b w:val="0"/>
          <w:bCs w:val="0"/>
          <w:kern w:val="2"/>
        </w:rPr>
        <w:t>项目预算资金来源批复的资金，项目资金到位80万元，用于支付项目实施进程中的各项费用。</w:t>
      </w:r>
    </w:p>
    <w:p>
      <w:pPr>
        <w:pageBreakBefore w:val="0"/>
        <w:kinsoku/>
        <w:wordWrap/>
        <w:overflowPunct/>
        <w:topLinePunct w:val="0"/>
        <w:autoSpaceDE/>
        <w:autoSpaceDN/>
        <w:bidi w:val="0"/>
        <w:adjustRightInd/>
        <w:snapToGrid/>
        <w:spacing w:line="560" w:lineRule="exact"/>
        <w:ind w:firstLine="641"/>
        <w:textAlignment w:val="auto"/>
        <w:rPr>
          <w:rFonts w:ascii="楷体_GB2312" w:eastAsia="楷体_GB2312" w:cs="楷体_GB2312"/>
          <w:b/>
          <w:bCs/>
          <w:sz w:val="32"/>
          <w:szCs w:val="32"/>
        </w:rPr>
      </w:pPr>
      <w:r>
        <w:rPr>
          <w:rFonts w:hint="eastAsia" w:ascii="楷体_GB2312" w:eastAsia="楷体_GB2312" w:cs="楷体_GB2312"/>
          <w:b/>
          <w:bCs/>
          <w:sz w:val="32"/>
          <w:szCs w:val="32"/>
        </w:rPr>
        <w:t>（二）项目绩效目标</w:t>
      </w:r>
    </w:p>
    <w:p>
      <w:pPr>
        <w:pStyle w:val="2"/>
        <w:pageBreakBefore w:val="0"/>
        <w:kinsoku/>
        <w:wordWrap/>
        <w:overflowPunct/>
        <w:topLinePunct w:val="0"/>
        <w:autoSpaceDE/>
        <w:autoSpaceDN/>
        <w:bidi w:val="0"/>
        <w:adjustRightInd/>
        <w:snapToGrid/>
        <w:spacing w:before="0" w:after="0" w:line="560" w:lineRule="exact"/>
        <w:ind w:firstLine="643" w:firstLineChars="200"/>
        <w:jc w:val="left"/>
        <w:textAlignment w:val="auto"/>
      </w:pPr>
      <w:r>
        <w:rPr>
          <w:rFonts w:hint="eastAsia" w:ascii="仿宋_GB2312" w:eastAsia="仿宋_GB2312" w:cs="仿宋_GB2312"/>
          <w:b/>
          <w:bCs/>
          <w:kern w:val="2"/>
        </w:rPr>
        <w:t>1、总体目标</w:t>
      </w:r>
      <w:r>
        <w:rPr>
          <w:rFonts w:hint="eastAsia" w:ascii="仿宋_GB2312" w:eastAsia="仿宋_GB2312" w:cs="仿宋_GB2312"/>
          <w:b w:val="0"/>
          <w:bCs w:val="0"/>
          <w:kern w:val="2"/>
        </w:rPr>
        <w:t>：一是</w:t>
      </w:r>
      <w:r>
        <w:rPr>
          <w:rFonts w:hint="eastAsia" w:ascii="仿宋_GB2312" w:eastAsia="仿宋_GB2312" w:cs="仿宋_GB2312"/>
          <w:b w:val="0"/>
          <w:bCs w:val="0"/>
          <w:kern w:val="0"/>
        </w:rPr>
        <w:t>将维修大门及围墙费用列入其中。二是</w:t>
      </w:r>
      <w:r>
        <w:rPr>
          <w:rFonts w:hint="eastAsia" w:ascii="仿宋_GB2312" w:eastAsia="仿宋_GB2312" w:cs="仿宋_GB2312"/>
          <w:b w:val="0"/>
          <w:bCs w:val="0"/>
          <w:kern w:val="0"/>
          <w:lang w:eastAsia="zh-CN"/>
        </w:rPr>
        <w:t>采购</w:t>
      </w:r>
      <w:r>
        <w:rPr>
          <w:rFonts w:hint="eastAsia" w:ascii="仿宋_GB2312" w:eastAsia="仿宋_GB2312" w:cs="仿宋_GB2312"/>
          <w:b w:val="0"/>
          <w:bCs w:val="0"/>
          <w:kern w:val="0"/>
        </w:rPr>
        <w:t>家具用具及相关物品。三是确保机关正常运行，提高业务工作效率。</w:t>
      </w:r>
    </w:p>
    <w:p>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b/>
          <w:bCs/>
          <w:sz w:val="32"/>
          <w:szCs w:val="32"/>
        </w:rPr>
      </w:pPr>
      <w:r>
        <w:rPr>
          <w:rFonts w:hint="eastAsia" w:ascii="仿宋_GB2312" w:eastAsia="仿宋_GB2312" w:cs="仿宋_GB2312"/>
          <w:b/>
          <w:bCs/>
          <w:sz w:val="32"/>
          <w:szCs w:val="32"/>
        </w:rPr>
        <w:t>2、阶段性目标</w:t>
      </w:r>
    </w:p>
    <w:p>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rPr>
      </w:pPr>
      <w:r>
        <w:rPr>
          <w:rFonts w:hint="eastAsia" w:ascii="仿宋_GB2312" w:eastAsia="仿宋_GB2312" w:cs="仿宋_GB2312"/>
          <w:sz w:val="32"/>
          <w:szCs w:val="32"/>
        </w:rPr>
        <w:t>（1）前期准备：根据《专户上解资金实施方案》，通过制定项目实施方案，经项目负责人审核通过后，有序开展后续工程。</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（2）组织实施：资金一到位，立即根据项目要求实施项目。项目责任人按照《专户上解资金实施方案》要求逐一进行项目部署安排，提高项目质量及效率性。</w:t>
      </w:r>
    </w:p>
    <w:p>
      <w:pPr>
        <w:pageBreakBefore w:val="0"/>
        <w:kinsoku/>
        <w:wordWrap/>
        <w:overflowPunct/>
        <w:topLinePunct w:val="0"/>
        <w:autoSpaceDE/>
        <w:autoSpaceDN/>
        <w:bidi w:val="0"/>
        <w:adjustRightInd/>
        <w:snapToGrid/>
        <w:spacing w:line="560" w:lineRule="exact"/>
        <w:ind w:firstLine="641"/>
        <w:textAlignment w:val="auto"/>
        <w:rPr>
          <w:rFonts w:ascii="黑体" w:eastAsia="黑体"/>
          <w:b/>
          <w:bCs/>
          <w:sz w:val="32"/>
          <w:szCs w:val="32"/>
        </w:rPr>
      </w:pPr>
      <w:r>
        <w:rPr>
          <w:rFonts w:hint="eastAsia" w:ascii="黑体" w:eastAsia="黑体"/>
          <w:b/>
          <w:bCs/>
          <w:sz w:val="32"/>
          <w:szCs w:val="32"/>
        </w:rPr>
        <w:t>二、绩效评价工作开展情况</w:t>
      </w:r>
    </w:p>
    <w:p>
      <w:pPr>
        <w:pageBreakBefore w:val="0"/>
        <w:kinsoku/>
        <w:wordWrap/>
        <w:overflowPunct/>
        <w:topLinePunct w:val="0"/>
        <w:autoSpaceDE/>
        <w:autoSpaceDN/>
        <w:bidi w:val="0"/>
        <w:adjustRightInd/>
        <w:snapToGrid/>
        <w:spacing w:line="560" w:lineRule="exact"/>
        <w:ind w:firstLine="641"/>
        <w:textAlignment w:val="auto"/>
        <w:rPr>
          <w:rFonts w:ascii="楷体_GB2312" w:eastAsia="楷体_GB2312" w:cs="楷体_GB2312"/>
          <w:b/>
          <w:bCs/>
          <w:sz w:val="32"/>
          <w:szCs w:val="32"/>
        </w:rPr>
      </w:pPr>
      <w:r>
        <w:rPr>
          <w:rFonts w:hint="eastAsia" w:ascii="楷体_GB2312" w:eastAsia="楷体_GB2312" w:cs="楷体_GB2312"/>
          <w:b/>
          <w:bCs/>
          <w:sz w:val="32"/>
          <w:szCs w:val="32"/>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bCs/>
        </w:rPr>
      </w:pPr>
      <w:r>
        <w:rPr>
          <w:rFonts w:hint="eastAsia" w:ascii="仿宋_GB2312" w:eastAsia="仿宋_GB2312" w:cs="仿宋_GB2312"/>
          <w:b/>
          <w:bCs/>
        </w:rPr>
        <w:t>1、绩效评价的目的</w:t>
      </w:r>
    </w:p>
    <w:p>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rPr>
      </w:pPr>
      <w:r>
        <w:rPr>
          <w:rFonts w:hint="eastAsia" w:asci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2"/>
        </w:numPr>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rPr>
      </w:pPr>
      <w:r>
        <w:rPr>
          <w:rFonts w:hint="eastAsia" w:asci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641"/>
        <w:textAlignment w:val="auto"/>
        <w:rPr>
          <w:rFonts w:ascii="仿宋_GB2312" w:eastAsia="仿宋_GB2312" w:cs="仿宋_GB2312"/>
          <w:sz w:val="32"/>
          <w:szCs w:val="32"/>
        </w:rPr>
      </w:pPr>
      <w:r>
        <w:rPr>
          <w:rFonts w:hint="eastAsia" w:asci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rPr>
      </w:pPr>
      <w:r>
        <w:rPr>
          <w:rFonts w:hint="eastAsia" w:ascii="仿宋_GB2312" w:eastAsia="仿宋_GB2312" w:cs="仿宋_GB2312"/>
          <w:sz w:val="32"/>
          <w:szCs w:val="32"/>
        </w:rPr>
        <w:t>综合来看，通过开展有效的财政支出绩效评价管理，达到改进预算管理、控制节约成本，提高预算资金使用效益的目的。</w:t>
      </w:r>
    </w:p>
    <w:p>
      <w:pPr>
        <w:pStyle w:val="2"/>
        <w:pageBreakBefore w:val="0"/>
        <w:widowControl w:val="0"/>
        <w:numPr>
          <w:ilvl w:val="0"/>
          <w:numId w:val="1"/>
        </w:numPr>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bCs/>
        </w:rPr>
      </w:pPr>
      <w:r>
        <w:rPr>
          <w:rFonts w:hint="eastAsia" w:ascii="仿宋_GB2312" w:eastAsia="仿宋_GB2312" w:cs="仿宋_GB2312"/>
          <w:b/>
          <w:bCs/>
        </w:rPr>
        <w:t>绩效评价的对象</w:t>
      </w:r>
    </w:p>
    <w:p>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rPr>
      </w:pPr>
      <w:r>
        <w:rPr>
          <w:rFonts w:hint="eastAsia" w:ascii="仿宋_GB2312" w:eastAsia="仿宋_GB2312" w:cs="仿宋_GB2312"/>
          <w:sz w:val="32"/>
          <w:szCs w:val="32"/>
        </w:rPr>
        <w:t>评价对象为专户上解资金项目</w:t>
      </w:r>
    </w:p>
    <w:p>
      <w:pPr>
        <w:pStyle w:val="2"/>
        <w:pageBreakBefore w:val="0"/>
        <w:widowControl w:val="0"/>
        <w:numPr>
          <w:ilvl w:val="0"/>
          <w:numId w:val="1"/>
        </w:numPr>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bCs/>
          <w:kern w:val="2"/>
        </w:rPr>
      </w:pPr>
      <w:r>
        <w:rPr>
          <w:rFonts w:hint="eastAsia" w:ascii="仿宋_GB2312" w:eastAsia="仿宋_GB2312" w:cs="仿宋_GB2312"/>
          <w:b/>
          <w:bCs/>
          <w:kern w:val="2"/>
        </w:rPr>
        <w:t>绩效评价的范围</w:t>
      </w:r>
    </w:p>
    <w:p>
      <w:pPr>
        <w:pageBreakBefore w:val="0"/>
        <w:tabs>
          <w:tab w:val="left" w:pos="0"/>
        </w:tabs>
        <w:kinsoku/>
        <w:wordWrap/>
        <w:overflowPunct/>
        <w:topLinePunct w:val="0"/>
        <w:autoSpaceDE/>
        <w:autoSpaceDN/>
        <w:bidi w:val="0"/>
        <w:adjustRightInd/>
        <w:snapToGrid/>
        <w:spacing w:line="560" w:lineRule="exact"/>
        <w:ind w:left="641"/>
        <w:textAlignment w:val="auto"/>
        <w:rPr>
          <w:rFonts w:ascii="仿宋_GB2312" w:eastAsia="仿宋_GB2312" w:cs="仿宋_GB2312"/>
          <w:sz w:val="32"/>
          <w:szCs w:val="32"/>
        </w:rPr>
      </w:pPr>
      <w:r>
        <w:rPr>
          <w:rFonts w:hint="eastAsia" w:ascii="仿宋_GB2312" w:eastAsia="仿宋_GB2312" w:cs="仿宋_GB2312"/>
          <w:sz w:val="32"/>
          <w:szCs w:val="32"/>
        </w:rPr>
        <w:t>从此项目的决策、过程、产出、过程等方面进行评价。</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rPr>
      </w:pPr>
      <w:r>
        <w:rPr>
          <w:rFonts w:hint="eastAsia" w:ascii="楷体_GB2312" w:eastAsia="楷体_GB2312" w:cs="楷体_GB2312"/>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bCs/>
        </w:rPr>
      </w:pPr>
      <w:r>
        <w:rPr>
          <w:rFonts w:hint="eastAsia" w:ascii="仿宋_GB2312" w:eastAsia="仿宋_GB2312" w:cs="仿宋_GB2312"/>
          <w:b/>
          <w:bCs/>
        </w:rPr>
        <w:t>1、绩效评价原则</w:t>
      </w:r>
    </w:p>
    <w:p>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z w:val="32"/>
          <w:szCs w:val="32"/>
        </w:rPr>
      </w:pPr>
      <w:r>
        <w:rPr>
          <w:rFonts w:hint="eastAsia" w:ascii="仿宋_GB2312" w:eastAsia="仿宋_GB2312" w:cs="仿宋_GB2312"/>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bCs/>
        </w:rPr>
      </w:pPr>
      <w:r>
        <w:rPr>
          <w:rFonts w:hint="eastAsia" w:ascii="仿宋_GB2312" w:eastAsia="仿宋_GB2312" w:cs="仿宋_GB2312"/>
          <w:b/>
          <w:bCs/>
        </w:rPr>
        <w:t>2、评价指标体系</w:t>
      </w:r>
    </w:p>
    <w:p>
      <w:pPr>
        <w:pageBreakBefore w:val="0"/>
        <w:kinsoku/>
        <w:wordWrap/>
        <w:overflowPunct/>
        <w:topLinePunct w:val="0"/>
        <w:autoSpaceDE/>
        <w:autoSpaceDN/>
        <w:bidi w:val="0"/>
        <w:adjustRightInd/>
        <w:snapToGrid/>
        <w:spacing w:line="560" w:lineRule="exact"/>
        <w:ind w:firstLine="641"/>
        <w:textAlignment w:val="auto"/>
        <w:rPr>
          <w:rFonts w:ascii="宋体" w:cs="宋体"/>
          <w:color w:val="000000"/>
          <w:spacing w:val="17"/>
          <w:sz w:val="32"/>
          <w:szCs w:val="32"/>
        </w:rPr>
      </w:pPr>
      <w:r>
        <w:rPr>
          <w:rFonts w:hint="eastAsia" w:asci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采用层次分析法，建立评价指标体系。绩效评价将指标分为项目决策、项目过程、项目产出、项目效益指标四个维度，最终形成一个由多个相互联系的指标组成的多层次指标体系。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确定各个指标相对于项目总体绩效的权重分值。在绩效评价指标体系中，项目决策权重为5分，项目过程权重值占5分，项目产出权重值占50分，项目效益权重占40分。</w:t>
      </w:r>
    </w:p>
    <w:p>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ascii="仿宋_GB2312" w:eastAsia="仿宋_GB2312" w:cs="仿宋_GB2312"/>
          <w:b w:val="0"/>
          <w:bCs w:val="0"/>
          <w:color w:val="000000"/>
          <w:spacing w:val="17"/>
          <w:kern w:val="2"/>
        </w:rPr>
      </w:pPr>
      <w:r>
        <w:rPr>
          <w:rFonts w:hint="eastAsia" w:asci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exact"/>
        <w:jc w:val="both"/>
        <w:textAlignment w:val="auto"/>
        <w:outlineLvl w:val="9"/>
        <w:rPr>
          <w:rFonts w:ascii="仿宋_GB2312" w:eastAsia="仿宋_GB2312" w:cs="仿宋_GB2312"/>
          <w:b w:val="0"/>
          <w:bCs w:val="0"/>
          <w:color w:val="000000"/>
          <w:spacing w:val="17"/>
        </w:rPr>
      </w:pPr>
      <w:r>
        <w:rPr>
          <w:rFonts w:hint="eastAsia" w:ascii="仿宋_GB2312" w:eastAsia="仿宋_GB2312" w:cs="仿宋_GB2312"/>
          <w:b w:val="0"/>
          <w:bCs w:val="0"/>
          <w:color w:val="000000"/>
          <w:spacing w:val="17"/>
        </w:rPr>
        <w:t>具体评价指标体系详情见附件1</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bCs/>
        </w:rPr>
      </w:pPr>
      <w:r>
        <w:rPr>
          <w:rFonts w:hint="eastAsia" w:ascii="仿宋_GB2312" w:eastAsia="仿宋_GB2312" w:cs="仿宋_GB2312"/>
          <w:b/>
          <w:bCs/>
        </w:rPr>
        <w:t>3、绩效评价方法</w:t>
      </w:r>
    </w:p>
    <w:p>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通过对绩效目标与实施效果、历史与当期情况，综合分析绩效目标实现程度。对</w:t>
      </w:r>
      <w:r>
        <w:rPr>
          <w:rFonts w:hint="eastAsia" w:ascii="仿宋_GB2312" w:eastAsia="仿宋_GB2312" w:cs="仿宋_GB2312"/>
          <w:sz w:val="32"/>
          <w:szCs w:val="32"/>
        </w:rPr>
        <w:t>项目</w:t>
      </w:r>
      <w:r>
        <w:rPr>
          <w:rFonts w:hint="eastAsia" w:asci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eastAsia="仿宋_GB2312" w:cs="仿宋_GB2312"/>
          <w:sz w:val="32"/>
          <w:szCs w:val="32"/>
        </w:rPr>
        <w:t>项目</w:t>
      </w:r>
      <w:r>
        <w:rPr>
          <w:rFonts w:hint="eastAsia" w:asci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ageBreakBefore w:val="0"/>
        <w:numPr>
          <w:ilvl w:val="0"/>
          <w:numId w:val="3"/>
        </w:numPr>
        <w:kinsoku/>
        <w:wordWrap/>
        <w:overflowPunct/>
        <w:topLinePunct w:val="0"/>
        <w:autoSpaceDE/>
        <w:autoSpaceDN/>
        <w:bidi w:val="0"/>
        <w:adjustRightInd/>
        <w:snapToGrid/>
        <w:spacing w:line="560" w:lineRule="exact"/>
        <w:ind w:firstLine="641"/>
        <w:textAlignment w:val="auto"/>
        <w:rPr>
          <w:rFonts w:ascii="黑体" w:eastAsia="黑体" w:cs="黑体"/>
          <w:b/>
          <w:bCs/>
          <w:sz w:val="32"/>
          <w:szCs w:val="32"/>
        </w:rPr>
      </w:pPr>
      <w:r>
        <w:rPr>
          <w:rFonts w:hint="eastAsia" w:ascii="黑体" w:eastAsia="黑体" w:cs="黑体"/>
          <w:b/>
          <w:bCs/>
          <w:sz w:val="32"/>
          <w:szCs w:val="32"/>
        </w:rPr>
        <w:t>综合评价情况及评价结论（附相关评分表）</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对专户上解资金项目进行客观评价，最终评分结果：总得分为 89分，属于“优”。其中，项目决策类指标权重为5分，得分为 5分，得分率为 100%。项目过程类指标权重为5分，得分为4.5分，得分率为 90%。项目产出类指标权重为50分，得分为44分，得分率为 88%。项目效益类指标权重为40分，得分为34.5分，得分率为 89%。</w:t>
      </w:r>
    </w:p>
    <w:p>
      <w:pPr>
        <w:pStyle w:val="2"/>
        <w:pageBreakBefore w:val="0"/>
        <w:kinsoku/>
        <w:wordWrap/>
        <w:overflowPunct/>
        <w:topLinePunct w:val="0"/>
        <w:autoSpaceDE/>
        <w:autoSpaceDN/>
        <w:bidi w:val="0"/>
        <w:adjustRightInd/>
        <w:snapToGrid/>
        <w:spacing w:before="0" w:after="0" w:line="560" w:lineRule="exact"/>
        <w:textAlignment w:val="auto"/>
        <w:rPr>
          <w:rFonts w:ascii="仿宋_GB2312" w:eastAsia="仿宋_GB2312" w:cs="仿宋_GB2312"/>
          <w:sz w:val="30"/>
          <w:szCs w:val="30"/>
        </w:rPr>
      </w:pPr>
      <w:r>
        <w:rPr>
          <w:rFonts w:hint="eastAsia" w:ascii="仿宋_GB2312" w:eastAsia="仿宋_GB2312" w:cs="仿宋_GB2312"/>
          <w:sz w:val="30"/>
          <w:szCs w:val="30"/>
        </w:rPr>
        <w:t>表1综合评分表</w:t>
      </w:r>
    </w:p>
    <w:p>
      <w:pPr>
        <w:pageBreakBefore w:val="0"/>
        <w:kinsoku/>
        <w:wordWrap/>
        <w:overflowPunct/>
        <w:topLinePunct w:val="0"/>
        <w:autoSpaceDE/>
        <w:autoSpaceDN/>
        <w:bidi w:val="0"/>
        <w:adjustRightInd/>
        <w:snapToGrid/>
        <w:spacing w:line="560" w:lineRule="exact"/>
        <w:textAlignment w:val="auto"/>
      </w:pPr>
    </w:p>
    <w:p>
      <w:pPr>
        <w:pageBreakBefore w:val="0"/>
        <w:kinsoku/>
        <w:wordWrap/>
        <w:overflowPunct/>
        <w:topLinePunct w:val="0"/>
        <w:autoSpaceDE/>
        <w:autoSpaceDN/>
        <w:bidi w:val="0"/>
        <w:adjustRightInd/>
        <w:snapToGrid/>
        <w:spacing w:line="560" w:lineRule="exact"/>
        <w:textAlignment w:val="auto"/>
      </w:pPr>
    </w:p>
    <w:tbl>
      <w:tblPr>
        <w:tblStyle w:val="18"/>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pPr>
              <w:pageBreakBefore w:val="0"/>
              <w:widowControl/>
              <w:kinsoku/>
              <w:wordWrap/>
              <w:overflowPunct/>
              <w:topLinePunct w:val="0"/>
              <w:autoSpaceDE/>
              <w:autoSpaceDN/>
              <w:bidi w:val="0"/>
              <w:adjustRightInd/>
              <w:snapToGrid/>
              <w:spacing w:line="560" w:lineRule="exact"/>
              <w:textAlignment w:val="auto"/>
              <w:rPr>
                <w:rFonts w:ascii="宋体" w:cs="宋体"/>
                <w:b/>
                <w:bCs/>
                <w:color w:val="000000"/>
                <w:kern w:val="0"/>
                <w:sz w:val="22"/>
                <w:szCs w:val="22"/>
              </w:rPr>
            </w:pPr>
            <w:r>
              <w:rPr>
                <w:rFonts w:hint="eastAsia" w:ascii="宋体" w:cs="宋体"/>
                <w:b/>
                <w:bCs/>
                <w:color w:val="000000"/>
                <w:kern w:val="0"/>
                <w:sz w:val="22"/>
                <w:szCs w:val="22"/>
              </w:rPr>
              <w:t>一级指标</w:t>
            </w:r>
          </w:p>
        </w:tc>
        <w:tc>
          <w:tcPr>
            <w:tcW w:w="990"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分值</w:t>
            </w:r>
          </w:p>
        </w:tc>
        <w:tc>
          <w:tcPr>
            <w:tcW w:w="1283"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二级指标</w:t>
            </w:r>
          </w:p>
        </w:tc>
        <w:tc>
          <w:tcPr>
            <w:tcW w:w="1707"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三级指标</w:t>
            </w:r>
          </w:p>
        </w:tc>
        <w:tc>
          <w:tcPr>
            <w:tcW w:w="727"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权重</w:t>
            </w:r>
          </w:p>
        </w:tc>
        <w:tc>
          <w:tcPr>
            <w:tcW w:w="1044"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目标值</w:t>
            </w:r>
          </w:p>
        </w:tc>
        <w:tc>
          <w:tcPr>
            <w:tcW w:w="924"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业绩值</w:t>
            </w:r>
          </w:p>
        </w:tc>
        <w:tc>
          <w:tcPr>
            <w:tcW w:w="1215"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得分率</w:t>
            </w:r>
          </w:p>
        </w:tc>
        <w:tc>
          <w:tcPr>
            <w:tcW w:w="960"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决策　</w:t>
            </w: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　</w:t>
            </w: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　</w:t>
            </w:r>
          </w:p>
        </w:tc>
        <w:tc>
          <w:tcPr>
            <w:tcW w:w="99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kern w:val="0"/>
                <w:sz w:val="18"/>
                <w:szCs w:val="18"/>
              </w:rPr>
              <w:t>5分</w:t>
            </w: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项目立项　</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充分性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0.5</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0.5</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0.5</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规范性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0.5</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0.5</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0.5</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绩效目标　</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合理性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明确性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资金投入</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科学性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合理性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过程</w:t>
            </w:r>
          </w:p>
          <w:p>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　</w:t>
            </w:r>
          </w:p>
        </w:tc>
        <w:tc>
          <w:tcPr>
            <w:tcW w:w="99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kern w:val="0"/>
                <w:sz w:val="18"/>
                <w:szCs w:val="18"/>
              </w:rPr>
              <w:t>5分</w:t>
            </w: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资金管理</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资金到位率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预算执行率</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0.5</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lang w:val="en-US" w:eastAsia="zh-CN"/>
              </w:rPr>
              <w:t>5</w:t>
            </w:r>
            <w:r>
              <w:rPr>
                <w:rFonts w:hint="eastAsia" w:ascii="宋体" w:cs="宋体"/>
                <w:color w:val="000000"/>
                <w:kern w:val="0"/>
                <w:sz w:val="18"/>
                <w:szCs w:val="18"/>
              </w:rPr>
              <w:t>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资金管理</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合规性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组织实施</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健全性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有效性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产出</w:t>
            </w:r>
          </w:p>
        </w:tc>
        <w:tc>
          <w:tcPr>
            <w:tcW w:w="99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kern w:val="0"/>
                <w:sz w:val="18"/>
                <w:szCs w:val="18"/>
              </w:rPr>
              <w:t>50分</w:t>
            </w: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产出数量</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实际完成率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15</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15</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15</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w:t>
            </w:r>
            <w:r>
              <w:rPr>
                <w:rFonts w:ascii="宋体" w:cs="宋体"/>
                <w:color w:val="000000"/>
                <w:kern w:val="0"/>
                <w:sz w:val="18"/>
                <w:szCs w:val="18"/>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产出质量</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质量达标率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产出时效</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完成及时性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15</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15</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6</w:t>
            </w:r>
            <w:r>
              <w:rPr>
                <w:rFonts w:hint="eastAsia" w:ascii="宋体" w:cs="宋体"/>
                <w:color w:val="000000"/>
                <w:kern w:val="0"/>
                <w:sz w:val="18"/>
                <w:szCs w:val="18"/>
                <w:lang w:val="en-US" w:eastAsia="zh-CN"/>
              </w:rPr>
              <w:t>7</w:t>
            </w:r>
            <w:r>
              <w:rPr>
                <w:rFonts w:hint="eastAsia" w:ascii="宋体" w:cs="宋体"/>
                <w:color w:val="000000"/>
                <w:kern w:val="0"/>
                <w:sz w:val="18"/>
                <w:szCs w:val="18"/>
              </w:rPr>
              <w:t>%</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产出成本</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成本节约率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9</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90%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效益　</w:t>
            </w:r>
          </w:p>
        </w:tc>
        <w:tc>
          <w:tcPr>
            <w:tcW w:w="99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40分</w:t>
            </w: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项目效益　</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实施效益</w:t>
            </w: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（社会效益、经济效益、可持续效益）</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30</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30</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26.5</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88%</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26.5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exact"/>
              <w:textAlignment w:val="auto"/>
              <w:rPr>
                <w:sz w:val="18"/>
                <w:szCs w:val="18"/>
              </w:rPr>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满意度</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10</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9</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90%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9</w:t>
            </w:r>
          </w:p>
        </w:tc>
      </w:tr>
    </w:tbl>
    <w:p>
      <w:pPr>
        <w:pageBreakBefore w:val="0"/>
        <w:kinsoku/>
        <w:wordWrap/>
        <w:overflowPunct/>
        <w:topLinePunct w:val="0"/>
        <w:autoSpaceDE/>
        <w:autoSpaceDN/>
        <w:bidi w:val="0"/>
        <w:adjustRightInd/>
        <w:snapToGrid/>
        <w:spacing w:line="560" w:lineRule="exact"/>
        <w:ind w:firstLine="321" w:firstLineChars="100"/>
        <w:textAlignment w:val="auto"/>
        <w:rPr>
          <w:rFonts w:ascii="黑体" w:eastAsia="黑体"/>
          <w:b/>
          <w:bCs/>
          <w:sz w:val="32"/>
          <w:szCs w:val="32"/>
        </w:rPr>
      </w:pPr>
      <w:r>
        <w:rPr>
          <w:rFonts w:hint="eastAsia" w:ascii="黑体" w:eastAsia="黑体"/>
          <w:b/>
          <w:bCs/>
          <w:sz w:val="32"/>
          <w:szCs w:val="32"/>
        </w:rPr>
        <w:t>四、绩效评价指标分析</w:t>
      </w:r>
    </w:p>
    <w:p>
      <w:pPr>
        <w:pStyle w:val="2"/>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ascii="楷体_GB2312" w:eastAsia="楷体_GB2312" w:cs="楷体_GB2312"/>
        </w:rPr>
      </w:pPr>
      <w:r>
        <w:rPr>
          <w:rFonts w:hint="eastAsia" w:ascii="楷体_GB2312" w:eastAsia="楷体_GB2312" w:cs="楷体_GB2312"/>
        </w:rPr>
        <w:t>（一）项目决策情况</w:t>
      </w:r>
    </w:p>
    <w:p>
      <w:pPr>
        <w:pStyle w:val="2"/>
        <w:pageBreakBefore w:val="0"/>
        <w:kinsoku/>
        <w:wordWrap/>
        <w:overflowPunct/>
        <w:topLinePunct w:val="0"/>
        <w:autoSpaceDE/>
        <w:autoSpaceDN/>
        <w:bidi w:val="0"/>
        <w:adjustRightInd/>
        <w:snapToGrid/>
        <w:spacing w:before="0" w:after="0" w:line="560" w:lineRule="exact"/>
        <w:jc w:val="both"/>
        <w:textAlignment w:val="auto"/>
        <w:rPr>
          <w:rFonts w:ascii="仿宋_GB2312" w:eastAsia="仿宋_GB2312" w:cs="仿宋_GB2312"/>
          <w:b w:val="0"/>
          <w:bCs w:val="0"/>
        </w:rPr>
      </w:pPr>
      <w:r>
        <w:rPr>
          <w:rFonts w:hint="eastAsia" w:ascii="仿宋_GB2312" w:eastAsia="仿宋_GB2312" w:cs="仿宋_GB2312"/>
          <w:b w:val="0"/>
          <w:bCs w:val="0"/>
        </w:rPr>
        <w:t>决策指标从从项目立项、绩效目标、资金投入3个方面对项目的决策进行考察，项目决策类指标分值5分，实际得分5分，得分率100</w:t>
      </w:r>
      <w:r>
        <w:rPr>
          <w:rFonts w:ascii="仿宋_GB2312" w:eastAsia="仿宋_GB2312" w:cs="仿宋_GB2312"/>
          <w:b w:val="0"/>
          <w:bCs w:val="0"/>
        </w:rPr>
        <w:t>%</w:t>
      </w:r>
    </w:p>
    <w:p>
      <w:pPr>
        <w:pStyle w:val="5"/>
        <w:keepNext w:val="0"/>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cs="仿宋_GB2312"/>
          <w:b w:val="0"/>
          <w:bCs w:val="0"/>
          <w:kern w:val="28"/>
          <w:sz w:val="32"/>
          <w:szCs w:val="32"/>
        </w:rPr>
      </w:pPr>
      <w:r>
        <w:rPr>
          <w:rFonts w:hint="eastAsia" w:ascii="仿宋_GB2312" w:eastAsia="仿宋_GB2312" w:cs="仿宋_GB2312"/>
          <w:b w:val="0"/>
          <w:bCs w:val="0"/>
          <w:kern w:val="28"/>
          <w:sz w:val="32"/>
          <w:szCs w:val="32"/>
        </w:rPr>
        <w:t>项目</w:t>
      </w:r>
      <w:r>
        <w:rPr>
          <w:rFonts w:ascii="仿宋_GB2312" w:eastAsia="仿宋_GB2312" w:cs="仿宋_GB2312"/>
          <w:b w:val="0"/>
          <w:bCs w:val="0"/>
          <w:kern w:val="28"/>
          <w:sz w:val="32"/>
          <w:szCs w:val="32"/>
        </w:rPr>
        <w:t>决策</w:t>
      </w:r>
      <w:r>
        <w:rPr>
          <w:rFonts w:hint="eastAsia" w:ascii="仿宋_GB2312" w:eastAsia="仿宋_GB2312" w:cs="仿宋_GB2312"/>
          <w:b w:val="0"/>
          <w:bCs w:val="0"/>
          <w:kern w:val="28"/>
          <w:sz w:val="32"/>
          <w:szCs w:val="32"/>
        </w:rPr>
        <w:t>情况对于“项目立项”，地区林草局根据下拨资金，在合理工期内完成项目建设任务，有效控制投资概算，实现项目预期目标要求的经济、社会、可持续影响效益指标。项目的立项符合规划，项目单位的绩效指标设置表述清晰、设置合理、指标设置完整，根据评分标准实际得分率为100%。</w:t>
      </w:r>
    </w:p>
    <w:p>
      <w:pPr>
        <w:pStyle w:val="5"/>
        <w:keepNext w:val="0"/>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cs="仿宋_GB2312"/>
          <w:b w:val="0"/>
          <w:bCs w:val="0"/>
          <w:kern w:val="28"/>
          <w:sz w:val="32"/>
          <w:szCs w:val="32"/>
        </w:rPr>
      </w:pPr>
      <w:r>
        <w:rPr>
          <w:rFonts w:hint="eastAsia" w:ascii="仿宋_GB2312" w:eastAsia="仿宋_GB2312" w:cs="仿宋_GB2312"/>
          <w:b w:val="0"/>
          <w:bCs w:val="0"/>
          <w:kern w:val="28"/>
          <w:sz w:val="32"/>
          <w:szCs w:val="32"/>
        </w:rPr>
        <w:t>对于“绩效目标”，地区林草局</w:t>
      </w:r>
      <w:r>
        <w:rPr>
          <w:rFonts w:ascii="仿宋_GB2312" w:eastAsia="仿宋_GB2312" w:cs="仿宋_GB2312"/>
          <w:b w:val="0"/>
          <w:bCs w:val="0"/>
          <w:kern w:val="28"/>
          <w:sz w:val="32"/>
          <w:szCs w:val="32"/>
        </w:rPr>
        <w:t>专户上解</w:t>
      </w:r>
      <w:r>
        <w:rPr>
          <w:rFonts w:hint="eastAsia" w:ascii="仿宋_GB2312" w:eastAsia="仿宋_GB2312" w:cs="仿宋_GB2312"/>
          <w:b w:val="0"/>
          <w:bCs w:val="0"/>
          <w:kern w:val="28"/>
          <w:sz w:val="32"/>
          <w:szCs w:val="32"/>
        </w:rPr>
        <w:t>项目，设置了较为明确的项目支出绩效目标，目标设置完整，根据评分标准实际得分率为100%。</w:t>
      </w:r>
    </w:p>
    <w:p>
      <w:pPr>
        <w:pStyle w:val="5"/>
        <w:keepNext w:val="0"/>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cs="仿宋_GB2312"/>
          <w:b w:val="0"/>
          <w:bCs w:val="0"/>
          <w:kern w:val="28"/>
          <w:sz w:val="32"/>
          <w:szCs w:val="32"/>
        </w:rPr>
      </w:pPr>
      <w:r>
        <w:rPr>
          <w:rFonts w:hint="eastAsia" w:ascii="仿宋_GB2312" w:eastAsia="仿宋_GB2312" w:cs="仿宋_GB2312"/>
          <w:b w:val="0"/>
          <w:bCs w:val="0"/>
          <w:kern w:val="28"/>
          <w:sz w:val="32"/>
          <w:szCs w:val="32"/>
        </w:rPr>
        <w:t>对于“资金投入”，地区林草局</w:t>
      </w:r>
      <w:r>
        <w:rPr>
          <w:rFonts w:ascii="仿宋_GB2312" w:eastAsia="仿宋_GB2312" w:cs="仿宋_GB2312"/>
          <w:b w:val="0"/>
          <w:bCs w:val="0"/>
          <w:kern w:val="28"/>
          <w:sz w:val="32"/>
          <w:szCs w:val="32"/>
        </w:rPr>
        <w:t>专户上解</w:t>
      </w:r>
      <w:r>
        <w:rPr>
          <w:rFonts w:hint="eastAsia" w:ascii="仿宋_GB2312" w:eastAsia="仿宋_GB2312" w:cs="仿宋_GB2312"/>
          <w:b w:val="0"/>
          <w:bCs w:val="0"/>
          <w:kern w:val="28"/>
          <w:sz w:val="32"/>
          <w:szCs w:val="32"/>
        </w:rPr>
        <w:t>项目，资金全部投入到位，总投资80万元。根据评分标准，该指标实际得分率100%。</w:t>
      </w:r>
    </w:p>
    <w:p>
      <w:pPr>
        <w:pStyle w:val="2"/>
        <w:pageBreakBefore w:val="0"/>
        <w:numPr>
          <w:ilvl w:val="0"/>
          <w:numId w:val="4"/>
        </w:numPr>
        <w:kinsoku/>
        <w:wordWrap/>
        <w:overflowPunct/>
        <w:topLinePunct w:val="0"/>
        <w:autoSpaceDE/>
        <w:autoSpaceDN/>
        <w:bidi w:val="0"/>
        <w:adjustRightInd/>
        <w:snapToGrid/>
        <w:spacing w:before="0" w:after="0" w:line="560" w:lineRule="exact"/>
        <w:jc w:val="both"/>
        <w:textAlignment w:val="auto"/>
        <w:rPr>
          <w:rFonts w:ascii="楷体_GB2312" w:eastAsia="楷体_GB2312" w:cs="楷体_GB2312"/>
        </w:rPr>
      </w:pPr>
      <w:r>
        <w:rPr>
          <w:rFonts w:hint="eastAsia" w:ascii="楷体_GB2312" w:eastAsia="楷体_GB2312" w:cs="楷体_GB2312"/>
        </w:rPr>
        <w:t>项目</w:t>
      </w:r>
      <w:r>
        <w:rPr>
          <w:rFonts w:ascii="楷体_GB2312" w:eastAsia="楷体_GB2312" w:cs="楷体_GB2312"/>
        </w:rPr>
        <w:t>过程</w:t>
      </w:r>
      <w:r>
        <w:rPr>
          <w:rFonts w:hint="eastAsia" w:ascii="楷体_GB2312" w:eastAsia="楷体_GB2312" w:cs="楷体_GB2312"/>
        </w:rPr>
        <w:t>情况</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cs="仿宋_GB2312"/>
          <w:b w:val="0"/>
          <w:bCs w:val="0"/>
        </w:rPr>
      </w:pPr>
      <w:r>
        <w:rPr>
          <w:rFonts w:ascii="仿宋_GB2312" w:eastAsia="仿宋_GB2312" w:cs="仿宋_GB2312"/>
          <w:b w:val="0"/>
          <w:bCs w:val="0"/>
        </w:rPr>
        <w:t>项目过程从资金管理、组织实施2</w:t>
      </w:r>
      <w:r>
        <w:rPr>
          <w:rFonts w:hint="eastAsia" w:ascii="仿宋_GB2312" w:eastAsia="仿宋_GB2312" w:cs="仿宋_GB2312"/>
          <w:b w:val="0"/>
          <w:bCs w:val="0"/>
        </w:rPr>
        <w:t>个方面对项目的</w:t>
      </w:r>
      <w:r>
        <w:rPr>
          <w:rFonts w:ascii="仿宋_GB2312" w:eastAsia="仿宋_GB2312" w:cs="仿宋_GB2312"/>
          <w:b w:val="0"/>
          <w:bCs w:val="0"/>
        </w:rPr>
        <w:t>过程</w:t>
      </w:r>
      <w:r>
        <w:rPr>
          <w:rFonts w:hint="eastAsia" w:ascii="仿宋_GB2312" w:eastAsia="仿宋_GB2312" w:cs="仿宋_GB2312"/>
          <w:b w:val="0"/>
          <w:bCs w:val="0"/>
        </w:rPr>
        <w:t>进行</w:t>
      </w:r>
      <w:r>
        <w:rPr>
          <w:rFonts w:ascii="仿宋_GB2312" w:eastAsia="仿宋_GB2312" w:cs="仿宋_GB2312"/>
          <w:b w:val="0"/>
          <w:bCs w:val="0"/>
        </w:rPr>
        <w:t>分析</w:t>
      </w:r>
      <w:r>
        <w:rPr>
          <w:rFonts w:hint="eastAsia" w:ascii="仿宋_GB2312" w:eastAsia="仿宋_GB2312" w:cs="仿宋_GB2312"/>
          <w:b w:val="0"/>
          <w:bCs w:val="0"/>
        </w:rPr>
        <w:t>，项目</w:t>
      </w:r>
      <w:r>
        <w:rPr>
          <w:rFonts w:ascii="仿宋_GB2312" w:eastAsia="仿宋_GB2312" w:cs="仿宋_GB2312"/>
          <w:b w:val="0"/>
          <w:bCs w:val="0"/>
        </w:rPr>
        <w:t>过程</w:t>
      </w:r>
      <w:r>
        <w:rPr>
          <w:rFonts w:hint="eastAsia" w:ascii="仿宋_GB2312" w:eastAsia="仿宋_GB2312" w:cs="仿宋_GB2312"/>
          <w:b w:val="0"/>
          <w:bCs w:val="0"/>
        </w:rPr>
        <w:t>指标分值5分，实际得分</w:t>
      </w:r>
      <w:r>
        <w:rPr>
          <w:rFonts w:ascii="仿宋_GB2312" w:eastAsia="仿宋_GB2312" w:cs="仿宋_GB2312"/>
          <w:b w:val="0"/>
          <w:bCs w:val="0"/>
        </w:rPr>
        <w:t>4.5</w:t>
      </w:r>
      <w:r>
        <w:rPr>
          <w:rFonts w:hint="eastAsia" w:ascii="仿宋_GB2312" w:eastAsia="仿宋_GB2312" w:cs="仿宋_GB2312"/>
          <w:b w:val="0"/>
          <w:bCs w:val="0"/>
        </w:rPr>
        <w:t>分，得分率</w:t>
      </w:r>
      <w:r>
        <w:rPr>
          <w:rFonts w:ascii="仿宋_GB2312" w:eastAsia="仿宋_GB2312" w:cs="仿宋_GB2312"/>
          <w:b w:val="0"/>
          <w:bCs w:val="0"/>
        </w:rPr>
        <w:t>9</w:t>
      </w:r>
      <w:r>
        <w:rPr>
          <w:rFonts w:hint="eastAsia" w:ascii="仿宋_GB2312" w:eastAsia="仿宋_GB2312" w:cs="仿宋_GB2312"/>
          <w:b w:val="0"/>
          <w:bCs w:val="0"/>
        </w:rPr>
        <w:t>0</w:t>
      </w:r>
      <w:r>
        <w:rPr>
          <w:rFonts w:ascii="仿宋_GB2312" w:eastAsia="仿宋_GB2312" w:cs="仿宋_GB2312"/>
          <w:b w:val="0"/>
          <w:bCs w:val="0"/>
        </w:rPr>
        <w:t>%</w:t>
      </w:r>
    </w:p>
    <w:p>
      <w:pPr>
        <w:pStyle w:val="5"/>
        <w:keepNext w:val="0"/>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cs="仿宋_GB2312"/>
          <w:b w:val="0"/>
          <w:bCs w:val="0"/>
          <w:kern w:val="28"/>
          <w:sz w:val="32"/>
          <w:szCs w:val="32"/>
        </w:rPr>
      </w:pPr>
      <w:r>
        <w:rPr>
          <w:rFonts w:hint="eastAsia" w:ascii="仿宋_GB2312" w:eastAsia="仿宋_GB2312" w:cs="仿宋_GB2312"/>
          <w:b w:val="0"/>
          <w:bCs w:val="0"/>
          <w:kern w:val="28"/>
          <w:sz w:val="32"/>
          <w:szCs w:val="32"/>
        </w:rPr>
        <w:t>对于“</w:t>
      </w:r>
      <w:r>
        <w:rPr>
          <w:rFonts w:ascii="仿宋_GB2312" w:eastAsia="仿宋_GB2312" w:cs="仿宋_GB2312"/>
          <w:b w:val="0"/>
          <w:bCs w:val="0"/>
          <w:kern w:val="28"/>
          <w:sz w:val="32"/>
          <w:szCs w:val="32"/>
        </w:rPr>
        <w:t>资金管理</w:t>
      </w:r>
      <w:r>
        <w:rPr>
          <w:rFonts w:hint="eastAsia" w:ascii="仿宋_GB2312" w:eastAsia="仿宋_GB2312" w:cs="仿宋_GB2312"/>
          <w:b w:val="0"/>
          <w:bCs w:val="0"/>
          <w:kern w:val="28"/>
          <w:sz w:val="32"/>
          <w:szCs w:val="32"/>
        </w:rPr>
        <w:t>”，地区林草局</w:t>
      </w:r>
      <w:r>
        <w:rPr>
          <w:rFonts w:ascii="仿宋_GB2312" w:eastAsia="仿宋_GB2312" w:cs="仿宋_GB2312"/>
          <w:b w:val="0"/>
          <w:bCs w:val="0"/>
          <w:kern w:val="28"/>
          <w:sz w:val="32"/>
          <w:szCs w:val="32"/>
        </w:rPr>
        <w:t>专户上解</w:t>
      </w:r>
      <w:r>
        <w:rPr>
          <w:rFonts w:hint="eastAsia" w:ascii="仿宋_GB2312" w:eastAsia="仿宋_GB2312" w:cs="仿宋_GB2312"/>
          <w:b w:val="0"/>
          <w:bCs w:val="0"/>
          <w:kern w:val="28"/>
          <w:sz w:val="32"/>
          <w:szCs w:val="32"/>
        </w:rPr>
        <w:t>项目，资金全部投入到位，总投资80万元。根据评分标准，该指标实际得分率100%。</w:t>
      </w:r>
    </w:p>
    <w:p>
      <w:pPr>
        <w:pStyle w:val="5"/>
        <w:keepNext w:val="0"/>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cs="仿宋_GB2312"/>
          <w:b w:val="0"/>
          <w:bCs w:val="0"/>
          <w:kern w:val="28"/>
          <w:sz w:val="32"/>
          <w:szCs w:val="32"/>
        </w:rPr>
      </w:pPr>
      <w:r>
        <w:rPr>
          <w:rFonts w:hint="eastAsia" w:ascii="仿宋_GB2312" w:eastAsia="仿宋_GB2312" w:cs="仿宋_GB2312"/>
          <w:b w:val="0"/>
          <w:bCs w:val="0"/>
          <w:kern w:val="28"/>
          <w:sz w:val="32"/>
          <w:szCs w:val="32"/>
        </w:rPr>
        <w:t>对于“</w:t>
      </w:r>
      <w:r>
        <w:rPr>
          <w:rFonts w:ascii="仿宋_GB2312" w:eastAsia="仿宋_GB2312" w:cs="仿宋_GB2312"/>
          <w:b w:val="0"/>
          <w:bCs w:val="0"/>
          <w:kern w:val="28"/>
          <w:sz w:val="32"/>
          <w:szCs w:val="32"/>
        </w:rPr>
        <w:t>资金管理</w:t>
      </w:r>
      <w:r>
        <w:rPr>
          <w:rFonts w:hint="eastAsia" w:ascii="仿宋_GB2312" w:eastAsia="仿宋_GB2312" w:cs="仿宋_GB2312"/>
          <w:b w:val="0"/>
          <w:bCs w:val="0"/>
          <w:kern w:val="28"/>
          <w:sz w:val="32"/>
          <w:szCs w:val="32"/>
        </w:rPr>
        <w:t>”，地区林草局</w:t>
      </w:r>
      <w:r>
        <w:rPr>
          <w:rFonts w:ascii="仿宋_GB2312" w:eastAsia="仿宋_GB2312" w:cs="仿宋_GB2312"/>
          <w:b w:val="0"/>
          <w:bCs w:val="0"/>
          <w:kern w:val="28"/>
          <w:sz w:val="32"/>
          <w:szCs w:val="32"/>
        </w:rPr>
        <w:t>专户上解</w:t>
      </w:r>
      <w:r>
        <w:rPr>
          <w:rFonts w:hint="eastAsia" w:ascii="仿宋_GB2312" w:eastAsia="仿宋_GB2312" w:cs="仿宋_GB2312"/>
          <w:b w:val="0"/>
          <w:bCs w:val="0"/>
          <w:kern w:val="28"/>
          <w:sz w:val="32"/>
          <w:szCs w:val="32"/>
        </w:rPr>
        <w:t>项目，资金预算执行率情况</w:t>
      </w:r>
      <w:r>
        <w:rPr>
          <w:rFonts w:ascii="仿宋_GB2312" w:eastAsia="仿宋_GB2312" w:cs="仿宋_GB2312"/>
          <w:b w:val="0"/>
          <w:bCs w:val="0"/>
          <w:kern w:val="28"/>
          <w:sz w:val="32"/>
          <w:szCs w:val="32"/>
        </w:rPr>
        <w:t>，资金到位80万元，实际支付4</w:t>
      </w:r>
      <w:r>
        <w:rPr>
          <w:rFonts w:hint="eastAsia" w:ascii="仿宋_GB2312" w:eastAsia="仿宋_GB2312" w:cs="仿宋_GB2312"/>
          <w:b w:val="0"/>
          <w:bCs w:val="0"/>
          <w:kern w:val="28"/>
          <w:sz w:val="32"/>
          <w:szCs w:val="32"/>
          <w:lang w:val="en-US" w:eastAsia="zh-CN"/>
        </w:rPr>
        <w:t>2.12</w:t>
      </w:r>
      <w:r>
        <w:rPr>
          <w:rFonts w:ascii="仿宋_GB2312" w:eastAsia="仿宋_GB2312" w:cs="仿宋_GB2312"/>
          <w:b w:val="0"/>
          <w:bCs w:val="0"/>
          <w:kern w:val="28"/>
          <w:sz w:val="32"/>
          <w:szCs w:val="32"/>
        </w:rPr>
        <w:t>万元，</w:t>
      </w:r>
      <w:r>
        <w:rPr>
          <w:rFonts w:hint="eastAsia" w:ascii="仿宋_GB2312" w:eastAsia="仿宋_GB2312" w:cs="仿宋_GB2312"/>
          <w:b w:val="0"/>
          <w:bCs w:val="0"/>
          <w:kern w:val="28"/>
          <w:sz w:val="32"/>
          <w:szCs w:val="32"/>
        </w:rPr>
        <w:t>预算执行率5</w:t>
      </w:r>
      <w:r>
        <w:rPr>
          <w:rFonts w:hint="eastAsia" w:ascii="仿宋_GB2312" w:eastAsia="仿宋_GB2312" w:cs="仿宋_GB2312"/>
          <w:b w:val="0"/>
          <w:bCs w:val="0"/>
          <w:kern w:val="28"/>
          <w:sz w:val="32"/>
          <w:szCs w:val="32"/>
          <w:lang w:val="en-US" w:eastAsia="zh-CN"/>
        </w:rPr>
        <w:t>2.65</w:t>
      </w:r>
      <w:r>
        <w:rPr>
          <w:rFonts w:ascii="仿宋_GB2312" w:eastAsia="仿宋_GB2312" w:cs="仿宋_GB2312"/>
          <w:b w:val="0"/>
          <w:bCs w:val="0"/>
          <w:kern w:val="28"/>
          <w:sz w:val="32"/>
          <w:szCs w:val="32"/>
        </w:rPr>
        <w:t>%</w:t>
      </w:r>
    </w:p>
    <w:p>
      <w:pPr>
        <w:pageBreakBefore w:val="0"/>
        <w:widowControl/>
        <w:kinsoku/>
        <w:wordWrap/>
        <w:overflowPunct/>
        <w:topLinePunct w:val="0"/>
        <w:autoSpaceDE/>
        <w:autoSpaceDN/>
        <w:bidi w:val="0"/>
        <w:adjustRightInd/>
        <w:snapToGrid/>
        <w:spacing w:line="560" w:lineRule="exact"/>
        <w:jc w:val="center"/>
        <w:textAlignment w:val="auto"/>
        <w:rPr>
          <w:rFonts w:ascii="仿宋_GB2312" w:eastAsia="仿宋_GB2312" w:cs="仿宋_GB2312"/>
          <w:kern w:val="28"/>
          <w:sz w:val="32"/>
          <w:szCs w:val="32"/>
        </w:rPr>
      </w:pPr>
      <w:r>
        <w:rPr>
          <w:rFonts w:ascii="仿宋_GB2312" w:eastAsia="仿宋_GB2312" w:cs="仿宋_GB2312"/>
          <w:kern w:val="28"/>
          <w:sz w:val="32"/>
          <w:szCs w:val="32"/>
        </w:rPr>
        <w:t xml:space="preserve">  </w:t>
      </w:r>
      <w:r>
        <w:rPr>
          <w:rFonts w:hint="eastAsia" w:ascii="仿宋_GB2312" w:eastAsia="仿宋_GB2312" w:cs="仿宋_GB2312"/>
          <w:kern w:val="28"/>
          <w:sz w:val="32"/>
          <w:szCs w:val="32"/>
        </w:rPr>
        <w:t>对于“</w:t>
      </w:r>
      <w:r>
        <w:rPr>
          <w:rFonts w:ascii="仿宋_GB2312" w:eastAsia="仿宋_GB2312" w:cs="仿宋_GB2312"/>
          <w:kern w:val="28"/>
          <w:sz w:val="32"/>
          <w:szCs w:val="32"/>
        </w:rPr>
        <w:t>资金管理</w:t>
      </w:r>
      <w:r>
        <w:rPr>
          <w:rFonts w:hint="eastAsia" w:ascii="仿宋_GB2312" w:eastAsia="仿宋_GB2312" w:cs="仿宋_GB2312"/>
          <w:kern w:val="28"/>
          <w:sz w:val="32"/>
          <w:szCs w:val="32"/>
        </w:rPr>
        <w:t>”，地区林草局</w:t>
      </w:r>
      <w:r>
        <w:rPr>
          <w:rFonts w:ascii="仿宋_GB2312" w:eastAsia="仿宋_GB2312" w:cs="仿宋_GB2312"/>
          <w:kern w:val="28"/>
          <w:sz w:val="32"/>
          <w:szCs w:val="32"/>
        </w:rPr>
        <w:t>专户上解</w:t>
      </w:r>
      <w:r>
        <w:rPr>
          <w:rFonts w:hint="eastAsia" w:ascii="仿宋_GB2312" w:eastAsia="仿宋_GB2312" w:cs="仿宋_GB2312"/>
          <w:kern w:val="28"/>
          <w:sz w:val="32"/>
          <w:szCs w:val="32"/>
        </w:rPr>
        <w:t>项目，资金使用</w:t>
      </w:r>
    </w:p>
    <w:p>
      <w:pPr>
        <w:pStyle w:val="5"/>
        <w:keepNext w:val="0"/>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cs="仿宋_GB2312"/>
          <w:b w:val="0"/>
          <w:bCs w:val="0"/>
          <w:kern w:val="28"/>
          <w:sz w:val="32"/>
          <w:szCs w:val="32"/>
        </w:rPr>
      </w:pPr>
      <w:r>
        <w:rPr>
          <w:rFonts w:hint="eastAsia" w:ascii="仿宋_GB2312" w:eastAsia="仿宋_GB2312" w:cs="仿宋_GB2312"/>
          <w:b w:val="0"/>
          <w:bCs w:val="0"/>
          <w:kern w:val="28"/>
          <w:sz w:val="32"/>
          <w:szCs w:val="32"/>
        </w:rPr>
        <w:t>合规性</w:t>
      </w:r>
      <w:r>
        <w:rPr>
          <w:rFonts w:ascii="仿宋_GB2312" w:eastAsia="仿宋_GB2312" w:cs="仿宋_GB2312"/>
          <w:b w:val="0"/>
          <w:bCs w:val="0"/>
          <w:kern w:val="28"/>
          <w:sz w:val="32"/>
          <w:szCs w:val="32"/>
        </w:rPr>
        <w:t>，专户上解</w:t>
      </w:r>
      <w:r>
        <w:rPr>
          <w:rFonts w:hint="eastAsia" w:ascii="仿宋_GB2312" w:eastAsia="仿宋_GB2312" w:cs="仿宋_GB2312"/>
          <w:b w:val="0"/>
          <w:bCs w:val="0"/>
          <w:kern w:val="28"/>
          <w:sz w:val="32"/>
          <w:szCs w:val="32"/>
        </w:rPr>
        <w:t>项目</w:t>
      </w:r>
      <w:r>
        <w:rPr>
          <w:rFonts w:ascii="仿宋_GB2312" w:eastAsia="仿宋_GB2312" w:cs="仿宋_GB2312"/>
          <w:b w:val="0"/>
          <w:bCs w:val="0"/>
          <w:kern w:val="28"/>
          <w:sz w:val="32"/>
          <w:szCs w:val="32"/>
        </w:rPr>
        <w:t>资金使用严格按照项目资金管理办法使用，</w:t>
      </w:r>
      <w:r>
        <w:rPr>
          <w:rFonts w:hint="eastAsia" w:ascii="仿宋_GB2312" w:eastAsia="仿宋_GB2312" w:cs="仿宋_GB2312"/>
          <w:b w:val="0"/>
          <w:bCs w:val="0"/>
          <w:kern w:val="28"/>
          <w:sz w:val="32"/>
          <w:szCs w:val="32"/>
        </w:rPr>
        <w:t>根据评分标准实际得分率为100%。</w:t>
      </w:r>
    </w:p>
    <w:p>
      <w:pPr>
        <w:pStyle w:val="5"/>
        <w:keepNext w:val="0"/>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cs="仿宋_GB2312"/>
          <w:b w:val="0"/>
          <w:bCs w:val="0"/>
          <w:kern w:val="28"/>
          <w:sz w:val="32"/>
          <w:szCs w:val="32"/>
        </w:rPr>
      </w:pPr>
      <w:r>
        <w:rPr>
          <w:rFonts w:ascii="仿宋_GB2312" w:eastAsia="仿宋_GB2312" w:cs="仿宋_GB2312"/>
          <w:b w:val="0"/>
          <w:bCs w:val="0"/>
          <w:kern w:val="28"/>
          <w:sz w:val="32"/>
          <w:szCs w:val="32"/>
        </w:rPr>
        <w:t xml:space="preserve"> </w:t>
      </w:r>
      <w:r>
        <w:rPr>
          <w:rFonts w:hint="eastAsia" w:ascii="仿宋_GB2312" w:eastAsia="仿宋_GB2312" w:cs="仿宋_GB2312"/>
          <w:b w:val="0"/>
          <w:bCs w:val="0"/>
          <w:kern w:val="28"/>
          <w:sz w:val="32"/>
          <w:szCs w:val="32"/>
        </w:rPr>
        <w:t>对于“组织实施”，地区林草局</w:t>
      </w:r>
      <w:bookmarkStart w:id="1" w:name="_Hlk68814442"/>
      <w:r>
        <w:rPr>
          <w:rFonts w:hint="eastAsia" w:ascii="仿宋_GB2312" w:eastAsia="仿宋_GB2312" w:cs="仿宋_GB2312"/>
          <w:b w:val="0"/>
          <w:bCs w:val="0"/>
          <w:kern w:val="28"/>
          <w:sz w:val="32"/>
          <w:szCs w:val="32"/>
        </w:rPr>
        <w:t>专户上解</w:t>
      </w:r>
      <w:bookmarkEnd w:id="1"/>
      <w:r>
        <w:rPr>
          <w:rFonts w:hint="eastAsia" w:ascii="仿宋_GB2312" w:eastAsia="仿宋_GB2312" w:cs="仿宋_GB2312"/>
          <w:b w:val="0"/>
          <w:bCs w:val="0"/>
          <w:kern w:val="28"/>
          <w:sz w:val="32"/>
          <w:szCs w:val="32"/>
        </w:rPr>
        <w:t>项目，资金管理制度健全性和制度执行有效性情况分析，在项目实施过程中做好定期监督检查，严格按照项目管理规范进行，专户上解项目，分工明确，不存在不相容岗位兼任情况，根据评分标准，该指标实际得分率100%。</w:t>
      </w:r>
    </w:p>
    <w:p>
      <w:pPr>
        <w:pageBreakBefore w:val="0"/>
        <w:widowControl/>
        <w:kinsoku/>
        <w:wordWrap/>
        <w:overflowPunct/>
        <w:topLinePunct w:val="0"/>
        <w:autoSpaceDE/>
        <w:autoSpaceDN/>
        <w:bidi w:val="0"/>
        <w:adjustRightInd/>
        <w:snapToGrid/>
        <w:spacing w:line="560" w:lineRule="exact"/>
        <w:jc w:val="left"/>
        <w:textAlignment w:val="auto"/>
        <w:rPr>
          <w:rFonts w:ascii="仿宋_GB2312" w:eastAsia="仿宋_GB2312" w:cs="仿宋_GB2312"/>
          <w:kern w:val="28"/>
          <w:sz w:val="32"/>
          <w:szCs w:val="32"/>
        </w:rPr>
      </w:pPr>
    </w:p>
    <w:p>
      <w:pPr>
        <w:pStyle w:val="17"/>
        <w:pageBreakBefore w:val="0"/>
        <w:kinsoku/>
        <w:wordWrap/>
        <w:overflowPunct/>
        <w:topLinePunct w:val="0"/>
        <w:autoSpaceDE/>
        <w:autoSpaceDN/>
        <w:bidi w:val="0"/>
        <w:adjustRightInd/>
        <w:snapToGrid/>
        <w:spacing w:after="0" w:line="560" w:lineRule="exact"/>
        <w:ind w:firstLine="482" w:firstLineChars="150"/>
        <w:textAlignment w:val="auto"/>
        <w:rPr>
          <w:rFonts w:ascii="楷体_GB2312" w:eastAsia="楷体_GB2312" w:cs="楷体_GB2312"/>
          <w:b/>
          <w:bCs/>
          <w:sz w:val="32"/>
          <w:szCs w:val="32"/>
        </w:rPr>
      </w:pPr>
      <w:r>
        <w:rPr>
          <w:rFonts w:ascii="楷体_GB2312" w:eastAsia="楷体_GB2312" w:cs="楷体_GB2312"/>
          <w:b/>
          <w:bCs/>
          <w:sz w:val="32"/>
          <w:szCs w:val="32"/>
        </w:rPr>
        <w:t>（三）</w:t>
      </w:r>
      <w:r>
        <w:rPr>
          <w:rFonts w:hint="eastAsia" w:ascii="楷体_GB2312" w:eastAsia="楷体_GB2312" w:cs="楷体_GB2312"/>
          <w:b/>
          <w:bCs/>
          <w:sz w:val="32"/>
          <w:szCs w:val="32"/>
        </w:rPr>
        <w:t>项目产出</w:t>
      </w:r>
      <w:r>
        <w:rPr>
          <w:rFonts w:ascii="楷体_GB2312" w:eastAsia="楷体_GB2312" w:cs="楷体_GB2312"/>
          <w:b/>
          <w:bCs/>
          <w:sz w:val="32"/>
          <w:szCs w:val="32"/>
        </w:rPr>
        <w:t>情况</w:t>
      </w:r>
    </w:p>
    <w:p>
      <w:pPr>
        <w:pageBreakBefore w:val="0"/>
        <w:kinsoku/>
        <w:wordWrap/>
        <w:overflowPunct/>
        <w:topLinePunct w:val="0"/>
        <w:autoSpaceDE/>
        <w:autoSpaceDN/>
        <w:bidi w:val="0"/>
        <w:adjustRightInd/>
        <w:snapToGrid/>
        <w:spacing w:line="560" w:lineRule="exact"/>
        <w:ind w:firstLine="640"/>
        <w:textAlignment w:val="auto"/>
        <w:rPr>
          <w:rFonts w:ascii="仿宋_GB2312" w:eastAsia="仿宋_GB2312" w:cs="仿宋_GB2312"/>
          <w:kern w:val="28"/>
          <w:sz w:val="32"/>
          <w:szCs w:val="32"/>
        </w:rPr>
      </w:pPr>
      <w:r>
        <w:rPr>
          <w:rFonts w:hint="eastAsia" w:ascii="仿宋_GB2312" w:eastAsia="仿宋_GB2312" w:cs="仿宋_GB2312"/>
          <w:kern w:val="28"/>
          <w:sz w:val="32"/>
          <w:szCs w:val="32"/>
        </w:rPr>
        <w:t>数量指标方面：对于“产出数量”，地区林草局专户上解项目，购买物资6种、维修大门31.32平方米。根据评分标准，该指标实际得分率100%。</w:t>
      </w:r>
    </w:p>
    <w:p>
      <w:pPr>
        <w:pageBreakBefore w:val="0"/>
        <w:kinsoku/>
        <w:wordWrap/>
        <w:overflowPunct/>
        <w:topLinePunct w:val="0"/>
        <w:autoSpaceDE/>
        <w:autoSpaceDN/>
        <w:bidi w:val="0"/>
        <w:adjustRightInd/>
        <w:snapToGrid/>
        <w:spacing w:line="560" w:lineRule="exact"/>
        <w:ind w:firstLine="640"/>
        <w:textAlignment w:val="auto"/>
        <w:rPr>
          <w:rFonts w:ascii="仿宋_GB2312" w:eastAsia="仿宋_GB2312" w:cs="仿宋_GB2312"/>
          <w:kern w:val="28"/>
          <w:sz w:val="32"/>
          <w:szCs w:val="32"/>
        </w:rPr>
      </w:pPr>
      <w:r>
        <w:rPr>
          <w:rFonts w:hint="eastAsia" w:ascii="仿宋_GB2312" w:eastAsia="仿宋_GB2312" w:cs="仿宋_GB2312"/>
          <w:kern w:val="28"/>
          <w:sz w:val="32"/>
          <w:szCs w:val="32"/>
        </w:rPr>
        <w:t>质量指标方面：采购物资合格率100%，根据评分标准，该指标实际得分率100%。</w:t>
      </w:r>
    </w:p>
    <w:p>
      <w:pPr>
        <w:pageBreakBefore w:val="0"/>
        <w:kinsoku/>
        <w:wordWrap/>
        <w:overflowPunct/>
        <w:topLinePunct w:val="0"/>
        <w:autoSpaceDE/>
        <w:autoSpaceDN/>
        <w:bidi w:val="0"/>
        <w:adjustRightInd/>
        <w:snapToGrid/>
        <w:spacing w:line="560" w:lineRule="exact"/>
        <w:ind w:firstLine="640"/>
        <w:textAlignment w:val="auto"/>
        <w:rPr>
          <w:rFonts w:ascii="仿宋_GB2312" w:eastAsia="仿宋_GB2312" w:cs="仿宋_GB2312"/>
          <w:kern w:val="28"/>
          <w:sz w:val="32"/>
          <w:szCs w:val="32"/>
        </w:rPr>
      </w:pPr>
      <w:r>
        <w:rPr>
          <w:rFonts w:hint="eastAsia" w:ascii="仿宋_GB2312" w:eastAsia="仿宋_GB2312" w:cs="仿宋_GB2312"/>
          <w:kern w:val="28"/>
          <w:sz w:val="32"/>
          <w:szCs w:val="32"/>
        </w:rPr>
        <w:t>成本指标方面：维修大门支付1.84万元、维修围墙支付3.72万元、视频监控支付1.28万元，物资5万元，根据评分标准，该指标实际得分率</w:t>
      </w:r>
      <w:r>
        <w:rPr>
          <w:rFonts w:hint="eastAsia" w:ascii="仿宋_GB2312" w:eastAsia="仿宋_GB2312" w:cs="仿宋_GB2312"/>
          <w:kern w:val="28"/>
          <w:sz w:val="32"/>
          <w:szCs w:val="32"/>
          <w:lang w:val="en-US" w:eastAsia="zh-CN"/>
        </w:rPr>
        <w:t>6</w:t>
      </w:r>
      <w:r>
        <w:rPr>
          <w:rFonts w:hint="eastAsia" w:ascii="仿宋_GB2312" w:eastAsia="仿宋_GB2312" w:cs="仿宋_GB2312"/>
          <w:kern w:val="28"/>
          <w:sz w:val="32"/>
          <w:szCs w:val="32"/>
        </w:rPr>
        <w:t>0%。</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kern w:val="28"/>
          <w:sz w:val="32"/>
          <w:szCs w:val="32"/>
        </w:rPr>
      </w:pPr>
      <w:r>
        <w:rPr>
          <w:rFonts w:hint="eastAsia" w:ascii="仿宋_GB2312" w:eastAsia="仿宋_GB2312" w:cs="仿宋_GB2312"/>
          <w:kern w:val="28"/>
          <w:sz w:val="32"/>
          <w:szCs w:val="32"/>
        </w:rPr>
        <w:t>时效指标方面：资金支付率</w:t>
      </w:r>
      <w:r>
        <w:rPr>
          <w:rFonts w:hint="eastAsia" w:ascii="仿宋_GB2312" w:eastAsia="仿宋_GB2312" w:cs="仿宋_GB2312"/>
          <w:kern w:val="28"/>
          <w:sz w:val="32"/>
          <w:szCs w:val="32"/>
          <w:lang w:val="en-US" w:eastAsia="zh-CN"/>
        </w:rPr>
        <w:t>100%</w:t>
      </w:r>
      <w:r>
        <w:rPr>
          <w:rFonts w:hint="eastAsia" w:ascii="仿宋_GB2312" w:eastAsia="仿宋_GB2312" w:cs="仿宋_GB2312"/>
          <w:kern w:val="28"/>
          <w:sz w:val="32"/>
          <w:szCs w:val="32"/>
        </w:rPr>
        <w:t>，根据评分标准，该指标实际得分率</w:t>
      </w:r>
      <w:r>
        <w:rPr>
          <w:rFonts w:hint="eastAsia" w:ascii="仿宋_GB2312" w:eastAsia="仿宋_GB2312" w:cs="仿宋_GB2312"/>
          <w:kern w:val="28"/>
          <w:sz w:val="32"/>
          <w:szCs w:val="32"/>
          <w:lang w:val="en-US" w:eastAsia="zh-CN"/>
        </w:rPr>
        <w:t>100</w:t>
      </w:r>
      <w:r>
        <w:rPr>
          <w:rFonts w:hint="eastAsia" w:ascii="仿宋_GB2312" w:eastAsia="仿宋_GB2312" w:cs="仿宋_GB2312"/>
          <w:kern w:val="28"/>
          <w:sz w:val="32"/>
          <w:szCs w:val="32"/>
        </w:rPr>
        <w:t>%</w:t>
      </w:r>
    </w:p>
    <w:p>
      <w:pPr>
        <w:pStyle w:val="17"/>
        <w:pageBreakBefore w:val="0"/>
        <w:kinsoku/>
        <w:wordWrap/>
        <w:overflowPunct/>
        <w:topLinePunct w:val="0"/>
        <w:autoSpaceDE/>
        <w:autoSpaceDN/>
        <w:bidi w:val="0"/>
        <w:adjustRightInd/>
        <w:snapToGrid/>
        <w:spacing w:after="0" w:line="560" w:lineRule="exact"/>
        <w:ind w:firstLine="321" w:firstLineChars="100"/>
        <w:textAlignment w:val="auto"/>
        <w:rPr>
          <w:rFonts w:ascii="楷体_GB2312" w:eastAsia="楷体_GB2312" w:cs="楷体_GB2312"/>
          <w:b/>
          <w:bCs/>
          <w:sz w:val="32"/>
          <w:szCs w:val="32"/>
        </w:rPr>
      </w:pPr>
      <w:r>
        <w:rPr>
          <w:rFonts w:ascii="楷体_GB2312" w:eastAsia="楷体_GB2312" w:cs="楷体_GB2312"/>
          <w:b/>
          <w:bCs/>
          <w:sz w:val="32"/>
          <w:szCs w:val="32"/>
        </w:rPr>
        <w:t>（四）</w:t>
      </w:r>
      <w:r>
        <w:rPr>
          <w:rFonts w:hint="eastAsia" w:ascii="楷体_GB2312" w:eastAsia="楷体_GB2312" w:cs="楷体_GB2312"/>
          <w:b/>
          <w:bCs/>
          <w:sz w:val="32"/>
          <w:szCs w:val="32"/>
        </w:rPr>
        <w:t>效益情况</w:t>
      </w:r>
    </w:p>
    <w:p>
      <w:pPr>
        <w:pageBreakBefore w:val="0"/>
        <w:kinsoku/>
        <w:wordWrap/>
        <w:overflowPunct/>
        <w:topLinePunct w:val="0"/>
        <w:autoSpaceDE/>
        <w:autoSpaceDN/>
        <w:bidi w:val="0"/>
        <w:adjustRightInd/>
        <w:snapToGrid/>
        <w:spacing w:line="560" w:lineRule="exact"/>
        <w:ind w:firstLine="640"/>
        <w:textAlignment w:val="auto"/>
        <w:rPr>
          <w:rStyle w:val="33"/>
          <w:color w:val="auto"/>
        </w:rPr>
      </w:pPr>
      <w:r>
        <w:rPr>
          <w:rStyle w:val="33"/>
          <w:rFonts w:hint="eastAsia"/>
          <w:color w:val="auto"/>
        </w:rPr>
        <w:t>经济效益指标方面：无</w:t>
      </w:r>
    </w:p>
    <w:p>
      <w:pPr>
        <w:pageBreakBefore w:val="0"/>
        <w:kinsoku/>
        <w:wordWrap/>
        <w:overflowPunct/>
        <w:topLinePunct w:val="0"/>
        <w:autoSpaceDE/>
        <w:autoSpaceDN/>
        <w:bidi w:val="0"/>
        <w:adjustRightInd/>
        <w:snapToGrid/>
        <w:spacing w:line="560" w:lineRule="exact"/>
        <w:ind w:firstLine="640"/>
        <w:textAlignment w:val="auto"/>
        <w:rPr>
          <w:rStyle w:val="33"/>
          <w:color w:val="auto"/>
        </w:rPr>
      </w:pPr>
      <w:r>
        <w:rPr>
          <w:rStyle w:val="33"/>
          <w:rFonts w:hint="eastAsia"/>
          <w:color w:val="auto"/>
        </w:rPr>
        <w:t>社会效益指标方面：确保机关正常运行，提高业务工作效率。根据评分标准，该指标实际得分率</w:t>
      </w:r>
      <w:r>
        <w:rPr>
          <w:rStyle w:val="33"/>
          <w:rFonts w:hint="eastAsia" w:eastAsia="仿宋_GB2312"/>
          <w:color w:val="auto"/>
          <w:lang w:val="en-US" w:eastAsia="zh-CN"/>
        </w:rPr>
        <w:t>100</w:t>
      </w:r>
      <w:r>
        <w:rPr>
          <w:rStyle w:val="33"/>
          <w:rFonts w:hint="eastAsia"/>
          <w:color w:val="auto"/>
        </w:rPr>
        <w:t>%。</w:t>
      </w:r>
    </w:p>
    <w:p>
      <w:pPr>
        <w:pageBreakBefore w:val="0"/>
        <w:kinsoku/>
        <w:wordWrap/>
        <w:overflowPunct/>
        <w:topLinePunct w:val="0"/>
        <w:autoSpaceDE/>
        <w:autoSpaceDN/>
        <w:bidi w:val="0"/>
        <w:adjustRightInd/>
        <w:snapToGrid/>
        <w:spacing w:line="560" w:lineRule="exact"/>
        <w:ind w:firstLine="480" w:firstLineChars="150"/>
        <w:textAlignment w:val="auto"/>
        <w:rPr>
          <w:rStyle w:val="33"/>
          <w:color w:val="auto"/>
        </w:rPr>
      </w:pPr>
      <w:r>
        <w:rPr>
          <w:rStyle w:val="33"/>
          <w:color w:val="auto"/>
        </w:rPr>
        <w:t>可持续影响指标</w:t>
      </w:r>
      <w:r>
        <w:rPr>
          <w:rStyle w:val="33"/>
          <w:rFonts w:hint="eastAsia"/>
          <w:color w:val="auto"/>
        </w:rPr>
        <w:t>方面：为职工提供良好的办公环境。</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Style w:val="33"/>
          <w:color w:val="auto"/>
        </w:rPr>
        <w:t>满意度指标</w:t>
      </w:r>
      <w:r>
        <w:rPr>
          <w:rStyle w:val="33"/>
          <w:rFonts w:hint="eastAsia"/>
          <w:color w:val="auto"/>
        </w:rPr>
        <w:t>方面：职工满意度达到90%，根据评分标准，该指标实际得分率</w:t>
      </w:r>
      <w:r>
        <w:rPr>
          <w:rStyle w:val="33"/>
          <w:rFonts w:hint="eastAsia" w:eastAsia="仿宋_GB2312"/>
          <w:color w:val="auto"/>
          <w:lang w:val="en-US" w:eastAsia="zh-CN"/>
        </w:rPr>
        <w:t>100</w:t>
      </w:r>
      <w:r>
        <w:rPr>
          <w:rStyle w:val="33"/>
          <w:rFonts w:hint="eastAsia"/>
          <w:color w:val="auto"/>
        </w:rPr>
        <w:t>%</w:t>
      </w:r>
    </w:p>
    <w:p>
      <w:pPr>
        <w:pageBreakBefore w:val="0"/>
        <w:kinsoku/>
        <w:wordWrap/>
        <w:overflowPunct/>
        <w:topLinePunct w:val="0"/>
        <w:autoSpaceDE/>
        <w:autoSpaceDN/>
        <w:bidi w:val="0"/>
        <w:adjustRightInd/>
        <w:snapToGrid/>
        <w:spacing w:line="560" w:lineRule="exact"/>
        <w:ind w:firstLine="641"/>
        <w:textAlignment w:val="auto"/>
        <w:rPr>
          <w:rStyle w:val="33"/>
          <w:b/>
          <w:bCs/>
          <w:color w:val="auto"/>
        </w:rPr>
      </w:pPr>
      <w:r>
        <w:rPr>
          <w:rFonts w:hint="eastAsia" w:ascii="黑体" w:eastAsia="黑体"/>
          <w:b/>
          <w:bCs/>
          <w:sz w:val="32"/>
          <w:szCs w:val="32"/>
        </w:rPr>
        <w:t>五、主要经验及做法、存在的问题及原因分析</w:t>
      </w:r>
    </w:p>
    <w:p>
      <w:pPr>
        <w:pageBreakBefore w:val="0"/>
        <w:kinsoku/>
        <w:wordWrap/>
        <w:overflowPunct/>
        <w:topLinePunct w:val="0"/>
        <w:autoSpaceDE/>
        <w:autoSpaceDN/>
        <w:bidi w:val="0"/>
        <w:adjustRightInd/>
        <w:snapToGrid/>
        <w:spacing w:line="560" w:lineRule="exact"/>
        <w:ind w:firstLine="567" w:firstLineChars="181"/>
        <w:textAlignment w:val="auto"/>
        <w:rPr>
          <w:rFonts w:ascii="楷体" w:eastAsia="楷体"/>
          <w:b/>
          <w:spacing w:val="-4"/>
          <w:sz w:val="32"/>
          <w:szCs w:val="32"/>
        </w:rPr>
      </w:pPr>
      <w:r>
        <w:rPr>
          <w:rFonts w:hint="eastAsia" w:ascii="楷体" w:eastAsia="楷体"/>
          <w:b/>
          <w:spacing w:val="-4"/>
          <w:sz w:val="32"/>
          <w:szCs w:val="32"/>
        </w:rPr>
        <w:t>（一）主要经验及做法</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cs="仿宋_GB2312"/>
          <w:b w:val="0"/>
          <w:bCs w:val="0"/>
          <w:kern w:val="2"/>
        </w:rPr>
      </w:pPr>
      <w:r>
        <w:rPr>
          <w:rFonts w:hint="eastAsia" w:asci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5"/>
        </w:numPr>
        <w:kinsoku/>
        <w:wordWrap/>
        <w:overflowPunct/>
        <w:topLinePunct w:val="0"/>
        <w:autoSpaceDE/>
        <w:autoSpaceDN/>
        <w:bidi w:val="0"/>
        <w:adjustRightInd/>
        <w:snapToGrid/>
        <w:spacing w:line="560" w:lineRule="exact"/>
        <w:ind w:firstLine="641"/>
        <w:textAlignment w:val="auto"/>
        <w:rPr>
          <w:rFonts w:ascii="楷体_GB2312" w:eastAsia="楷体_GB2312" w:cs="楷体_GB2312"/>
          <w:b/>
          <w:bCs/>
          <w:sz w:val="32"/>
          <w:szCs w:val="32"/>
        </w:rPr>
      </w:pPr>
      <w:r>
        <w:rPr>
          <w:rFonts w:hint="eastAsia" w:ascii="楷体_GB2312" w:eastAsia="楷体_GB2312" w:cs="楷体_GB2312"/>
          <w:b/>
          <w:bCs/>
          <w:sz w:val="32"/>
          <w:szCs w:val="32"/>
        </w:rPr>
        <w:t>存在的问题及原因分析</w:t>
      </w:r>
    </w:p>
    <w:p>
      <w:pPr>
        <w:pStyle w:val="2"/>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ascii="仿宋_GB2312" w:eastAsia="仿宋_GB2312" w:cs="仿宋_GB2312"/>
          <w:b/>
          <w:bCs/>
          <w:kern w:val="2"/>
        </w:rPr>
      </w:pPr>
      <w:r>
        <w:rPr>
          <w:rFonts w:hint="eastAsia" w:ascii="仿宋_GB2312" w:eastAsia="仿宋_GB2312" w:cs="仿宋_GB2312"/>
          <w:b/>
          <w:bCs/>
          <w:kern w:val="2"/>
        </w:rPr>
        <w:t>1、存在的问题</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（1）、项目实施抓得不紧，一些技术措施和管理措施落实不到位，一定程度影响了项目完成的质量。</w:t>
      </w:r>
    </w:p>
    <w:p>
      <w:pPr>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eastAsia="仿宋_GB2312"/>
          <w:sz w:val="32"/>
          <w:szCs w:val="32"/>
        </w:rPr>
        <w:t>（2）、由于人员少、时间紧，下基层参加调查和调研少。</w:t>
      </w:r>
    </w:p>
    <w:p>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b/>
          <w:bCs/>
          <w:sz w:val="32"/>
          <w:szCs w:val="32"/>
        </w:rPr>
      </w:pPr>
      <w:r>
        <w:rPr>
          <w:rFonts w:hint="eastAsia" w:ascii="仿宋_GB2312" w:eastAsia="仿宋_GB2312" w:cs="仿宋_GB2312"/>
          <w:b/>
          <w:bCs/>
          <w:sz w:val="32"/>
          <w:szCs w:val="32"/>
        </w:rPr>
        <w:t>2、原因分析</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（1）、项目资金到位时间晚，错过了实施时间，影响了项目进度。</w:t>
      </w:r>
    </w:p>
    <w:p>
      <w:pPr>
        <w:pStyle w:val="23"/>
        <w:pageBreakBefore w:val="0"/>
        <w:numPr>
          <w:ilvl w:val="0"/>
          <w:numId w:val="6"/>
        </w:numPr>
        <w:kinsoku/>
        <w:wordWrap/>
        <w:overflowPunct/>
        <w:topLinePunct w:val="0"/>
        <w:autoSpaceDE/>
        <w:autoSpaceDN/>
        <w:bidi w:val="0"/>
        <w:adjustRightInd/>
        <w:snapToGrid/>
        <w:spacing w:line="560" w:lineRule="exact"/>
        <w:textAlignment w:val="auto"/>
        <w:rPr>
          <w:rFonts w:ascii="黑体" w:eastAsia="黑体"/>
          <w:b/>
          <w:bCs/>
          <w:sz w:val="32"/>
          <w:szCs w:val="32"/>
        </w:rPr>
      </w:pPr>
      <w:r>
        <w:rPr>
          <w:rFonts w:hint="eastAsia" w:ascii="黑体" w:eastAsia="黑体"/>
          <w:b/>
          <w:bCs/>
          <w:sz w:val="32"/>
          <w:szCs w:val="32"/>
        </w:rPr>
        <w:t>有关建议</w:t>
      </w:r>
    </w:p>
    <w:p>
      <w:pPr>
        <w:pageBreakBefore w:val="0"/>
        <w:numPr>
          <w:ilvl w:val="0"/>
          <w:numId w:val="7"/>
        </w:numPr>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rPr>
      </w:pPr>
      <w:r>
        <w:rPr>
          <w:rFonts w:hint="eastAsia" w:asci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7"/>
        </w:numPr>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rPr>
      </w:pPr>
      <w:r>
        <w:rPr>
          <w:rFonts w:hint="eastAsia" w:asci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pPr>
        <w:pStyle w:val="23"/>
        <w:pageBreakBefore w:val="0"/>
        <w:numPr>
          <w:ilvl w:val="0"/>
          <w:numId w:val="6"/>
        </w:numPr>
        <w:kinsoku/>
        <w:wordWrap/>
        <w:overflowPunct/>
        <w:topLinePunct w:val="0"/>
        <w:autoSpaceDE/>
        <w:autoSpaceDN/>
        <w:bidi w:val="0"/>
        <w:adjustRightInd/>
        <w:snapToGrid/>
        <w:spacing w:line="560" w:lineRule="exact"/>
        <w:textAlignment w:val="auto"/>
        <w:rPr>
          <w:rFonts w:ascii="黑体" w:eastAsia="黑体"/>
          <w:b/>
          <w:bCs/>
          <w:sz w:val="32"/>
          <w:szCs w:val="32"/>
        </w:rPr>
      </w:pPr>
      <w:r>
        <w:rPr>
          <w:rFonts w:hint="eastAsia" w:ascii="黑体" w:eastAsia="黑体"/>
          <w:b/>
          <w:bCs/>
          <w:sz w:val="32"/>
          <w:szCs w:val="32"/>
        </w:rPr>
        <w:t>其他需要说</w:t>
      </w:r>
      <w:bookmarkStart w:id="2" w:name="page8"/>
      <w:bookmarkEnd w:id="2"/>
      <w:r>
        <w:rPr>
          <w:rFonts w:hint="eastAsia" w:ascii="黑体" w:eastAsia="黑体"/>
          <w:b/>
          <w:bCs/>
          <w:sz w:val="32"/>
          <w:szCs w:val="32"/>
        </w:rPr>
        <w:t>明的问题</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本次预算绩效评价所采集的数据因为采集时间、数据来源等诸多因素的影响，可能会出现一定的偏差，进而对评价结果存在影响。</w:t>
      </w:r>
    </w:p>
    <w:p>
      <w:pPr>
        <w:pStyle w:val="2"/>
      </w:pPr>
    </w:p>
    <w:p/>
    <w:p>
      <w:pPr>
        <w:pStyle w:val="2"/>
      </w:pPr>
    </w:p>
    <w:p/>
    <w:p>
      <w:pPr>
        <w:pStyle w:val="2"/>
      </w:pPr>
    </w:p>
    <w:p/>
    <w:p>
      <w:pPr>
        <w:pStyle w:val="2"/>
      </w:pPr>
    </w:p>
    <w:p/>
    <w:p>
      <w:pPr>
        <w:pStyle w:val="2"/>
      </w:pPr>
    </w:p>
    <w:tbl>
      <w:tblPr>
        <w:tblStyle w:val="18"/>
        <w:tblW w:w="9345" w:type="dxa"/>
        <w:tblInd w:w="0" w:type="dxa"/>
        <w:shd w:val="clear" w:color="auto" w:fill="auto"/>
        <w:tblLayout w:type="autofit"/>
        <w:tblCellMar>
          <w:top w:w="0" w:type="dxa"/>
          <w:left w:w="0" w:type="dxa"/>
          <w:bottom w:w="0" w:type="dxa"/>
          <w:right w:w="0" w:type="dxa"/>
        </w:tblCellMar>
      </w:tblPr>
      <w:tblGrid>
        <w:gridCol w:w="840"/>
        <w:gridCol w:w="840"/>
        <w:gridCol w:w="840"/>
        <w:gridCol w:w="840"/>
        <w:gridCol w:w="840"/>
        <w:gridCol w:w="840"/>
        <w:gridCol w:w="840"/>
        <w:gridCol w:w="1485"/>
        <w:gridCol w:w="495"/>
        <w:gridCol w:w="1485"/>
      </w:tblGrid>
      <w:tr>
        <w:tblPrEx>
          <w:shd w:val="clear" w:color="auto" w:fill="auto"/>
          <w:tblCellMar>
            <w:top w:w="0" w:type="dxa"/>
            <w:left w:w="0" w:type="dxa"/>
            <w:bottom w:w="0" w:type="dxa"/>
            <w:right w:w="0" w:type="dxa"/>
          </w:tblCellMar>
        </w:tblPrEx>
        <w:trPr>
          <w:trHeight w:val="409" w:hRule="atLeast"/>
        </w:trPr>
        <w:tc>
          <w:tcPr>
            <w:tcW w:w="9345"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09" w:hRule="atLeast"/>
        </w:trPr>
        <w:tc>
          <w:tcPr>
            <w:tcW w:w="9345"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0" w:type="dxa"/>
            <w:bottom w:w="0" w:type="dxa"/>
            <w:right w:w="0" w:type="dxa"/>
          </w:tblCellMar>
        </w:tblPrEx>
        <w:trPr>
          <w:trHeight w:val="270" w:hRule="atLeast"/>
        </w:trPr>
        <w:tc>
          <w:tcPr>
            <w:tcW w:w="9345" w:type="dxa"/>
            <w:gridSpan w:val="10"/>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66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专户上解-非税奖励金</w:t>
            </w:r>
          </w:p>
        </w:tc>
      </w:tr>
      <w:tr>
        <w:tblPrEx>
          <w:shd w:val="clear" w:color="auto" w:fill="auto"/>
          <w:tblCellMar>
            <w:top w:w="0" w:type="dxa"/>
            <w:left w:w="0" w:type="dxa"/>
            <w:bottom w:w="0" w:type="dxa"/>
            <w:right w:w="0" w:type="dxa"/>
          </w:tblCellMar>
        </w:tblPrEx>
        <w:trPr>
          <w:trHeight w:val="60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2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塔城地区林业和草原管理局</w:t>
            </w:r>
          </w:p>
        </w:tc>
      </w:tr>
      <w:tr>
        <w:tblPrEx>
          <w:shd w:val="clear" w:color="auto" w:fill="auto"/>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98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4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42.12</w:t>
            </w:r>
          </w:p>
        </w:tc>
        <w:tc>
          <w:tcPr>
            <w:tcW w:w="198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42.12</w:t>
            </w:r>
          </w:p>
        </w:tc>
        <w:tc>
          <w:tcPr>
            <w:tcW w:w="14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tblPrEx>
          <w:shd w:val="clear" w:color="auto" w:fill="auto"/>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80.00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42.12</w:t>
            </w:r>
          </w:p>
        </w:tc>
        <w:tc>
          <w:tcPr>
            <w:tcW w:w="198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42.12</w:t>
            </w:r>
          </w:p>
        </w:tc>
        <w:tc>
          <w:tcPr>
            <w:tcW w:w="14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98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98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4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122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项目预算资金来源于批复的资金，项目资金到位80万元，用于支付项目实施进程中的各项费用。</w:t>
            </w:r>
          </w:p>
        </w:tc>
        <w:tc>
          <w:tcPr>
            <w:tcW w:w="34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项目预算资金来源于批复的资金，项目资金到位80万元，用于支付项目实施进程中的各项费用。</w:t>
            </w:r>
          </w:p>
        </w:tc>
      </w:tr>
      <w:tr>
        <w:tblPrEx>
          <w:shd w:val="clear" w:color="auto" w:fill="auto"/>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9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165"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购买物资种类</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=6种</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6种</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12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维修大门面积</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=31.32平方米</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31.32平方米</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采购物资合格率</w:t>
            </w:r>
            <w:bookmarkStart w:id="3" w:name="_GoBack"/>
            <w:bookmarkEnd w:id="3"/>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资金支付率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246"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专户上解资金投入经费</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≤80万元</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42.12万元</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确保机关正常运行，提高业务工作效率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4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为职工提供良好的办公环境</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12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职工满意度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bl>
    <w:p>
      <w:pPr>
        <w:pStyle w:val="2"/>
        <w:jc w:val="left"/>
        <w:rPr>
          <w:rFonts w:ascii="黑体" w:eastAsia="黑体"/>
        </w:rPr>
      </w:pPr>
    </w:p>
    <w:p>
      <w:pPr>
        <w:rPr>
          <w:rFonts w:ascii="黑体" w:eastAsia="黑体"/>
          <w:sz w:val="32"/>
          <w:szCs w:val="32"/>
        </w:rPr>
      </w:pPr>
    </w:p>
    <w:p>
      <w:pPr>
        <w:pStyle w:val="2"/>
        <w:rPr>
          <w:rFonts w:ascii="黑体" w:eastAsia="黑体"/>
        </w:rPr>
      </w:pPr>
    </w:p>
    <w:p/>
    <w:p>
      <w:pPr>
        <w:pStyle w:val="2"/>
        <w:rPr>
          <w:rFonts w:ascii="黑体" w:eastAsia="黑体"/>
        </w:rPr>
      </w:pPr>
    </w:p>
    <w:p>
      <w:pPr>
        <w:rPr>
          <w:rFonts w:ascii="黑体" w:eastAsia="黑体"/>
          <w:sz w:val="32"/>
          <w:szCs w:val="32"/>
        </w:rPr>
      </w:pPr>
    </w:p>
    <w:p>
      <w:pPr>
        <w:pStyle w:val="2"/>
        <w:jc w:val="both"/>
        <w:sectPr>
          <w:footerReference r:id="rId3" w:type="default"/>
          <w:pgSz w:w="11906" w:h="16838"/>
          <w:pgMar w:top="1440" w:right="1558" w:bottom="1440" w:left="1800" w:header="851" w:footer="992" w:gutter="0"/>
          <w:cols w:space="720" w:num="1"/>
          <w:docGrid w:type="lines" w:linePitch="312" w:charSpace="0"/>
        </w:sectPr>
      </w:pPr>
    </w:p>
    <w:p>
      <w:pPr>
        <w:spacing w:line="600" w:lineRule="exact"/>
        <w:rPr>
          <w:rFonts w:ascii="仿宋_GB2312" w:hAnsi="仿宋_GB2312"/>
          <w:bCs/>
          <w:sz w:val="32"/>
          <w:szCs w:val="32"/>
        </w:rPr>
      </w:pPr>
      <w:r>
        <w:rPr>
          <w:rFonts w:hint="eastAsia" w:ascii="仿宋_GB2312" w:hAnsi="仿宋_GB2312"/>
          <w:bCs/>
          <w:sz w:val="32"/>
          <w:szCs w:val="32"/>
        </w:rPr>
        <w:t>附件1</w:t>
      </w:r>
    </w:p>
    <w:tbl>
      <w:tblPr>
        <w:tblStyle w:val="18"/>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576"/>
        <w:gridCol w:w="576"/>
        <w:gridCol w:w="583"/>
        <w:gridCol w:w="4614"/>
        <w:gridCol w:w="7033"/>
        <w:gridCol w:w="396"/>
        <w:gridCol w:w="39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b/>
                <w:bCs/>
                <w:color w:val="000000"/>
                <w:kern w:val="0"/>
                <w:sz w:val="22"/>
                <w:szCs w:val="22"/>
              </w:rPr>
            </w:pPr>
            <w:r>
              <w:rPr>
                <w:rFonts w:hint="eastAsia" w:ascii="宋体" w:cs="宋体"/>
                <w:b/>
                <w:bCs/>
                <w:color w:val="000000"/>
                <w:kern w:val="0"/>
                <w:sz w:val="22"/>
                <w:szCs w:val="22"/>
              </w:rPr>
              <w:t>一级指标</w:t>
            </w:r>
          </w:p>
        </w:tc>
        <w:tc>
          <w:tcPr>
            <w:tcW w:w="30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b/>
                <w:bCs/>
                <w:color w:val="000000"/>
                <w:kern w:val="0"/>
                <w:sz w:val="22"/>
                <w:szCs w:val="22"/>
              </w:rPr>
            </w:pPr>
            <w:r>
              <w:rPr>
                <w:rFonts w:hint="eastAsia" w:ascii="宋体" w:cs="宋体"/>
                <w:b/>
                <w:bCs/>
                <w:color w:val="000000"/>
                <w:kern w:val="0"/>
                <w:sz w:val="22"/>
                <w:szCs w:val="22"/>
              </w:rPr>
              <w:t>二级指标</w:t>
            </w:r>
          </w:p>
        </w:tc>
        <w:tc>
          <w:tcPr>
            <w:tcW w:w="3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b/>
                <w:bCs/>
                <w:color w:val="000000"/>
                <w:kern w:val="0"/>
                <w:sz w:val="22"/>
                <w:szCs w:val="22"/>
              </w:rPr>
            </w:pPr>
            <w:r>
              <w:rPr>
                <w:rFonts w:hint="eastAsia" w:ascii="宋体" w:cs="宋体"/>
                <w:b/>
                <w:bCs/>
                <w:color w:val="000000"/>
                <w:kern w:val="0"/>
                <w:sz w:val="22"/>
                <w:szCs w:val="22"/>
              </w:rPr>
              <w:t>三级指标</w:t>
            </w:r>
          </w:p>
        </w:tc>
        <w:tc>
          <w:tcPr>
            <w:tcW w:w="92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b/>
                <w:bCs/>
                <w:color w:val="000000"/>
                <w:kern w:val="0"/>
                <w:sz w:val="22"/>
                <w:szCs w:val="22"/>
              </w:rPr>
            </w:pPr>
            <w:r>
              <w:rPr>
                <w:rFonts w:hint="eastAsia" w:ascii="宋体" w:cs="宋体"/>
                <w:b/>
                <w:bCs/>
                <w:color w:val="000000"/>
                <w:kern w:val="0"/>
                <w:sz w:val="22"/>
                <w:szCs w:val="22"/>
              </w:rPr>
              <w:t>指标解释</w:t>
            </w:r>
          </w:p>
        </w:tc>
        <w:tc>
          <w:tcPr>
            <w:tcW w:w="20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b/>
                <w:bCs/>
                <w:color w:val="000000"/>
                <w:kern w:val="0"/>
                <w:sz w:val="22"/>
                <w:szCs w:val="22"/>
              </w:rPr>
            </w:pPr>
            <w:r>
              <w:rPr>
                <w:rFonts w:hint="eastAsia" w:ascii="宋体" w:cs="宋体"/>
                <w:b/>
                <w:bCs/>
                <w:color w:val="000000"/>
                <w:kern w:val="0"/>
                <w:sz w:val="22"/>
                <w:szCs w:val="22"/>
              </w:rPr>
              <w:t>指标说明</w:t>
            </w:r>
          </w:p>
        </w:tc>
        <w:tc>
          <w:tcPr>
            <w:tcW w:w="51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b/>
                <w:bCs/>
                <w:color w:val="000000"/>
                <w:kern w:val="0"/>
                <w:sz w:val="22"/>
                <w:szCs w:val="22"/>
              </w:rPr>
            </w:pPr>
            <w:r>
              <w:rPr>
                <w:rFonts w:hint="eastAsia" w:ascii="宋体" w:cs="宋体"/>
                <w:b/>
                <w:bCs/>
                <w:color w:val="000000"/>
                <w:kern w:val="0"/>
                <w:sz w:val="22"/>
                <w:szCs w:val="22"/>
              </w:rPr>
              <w:t>权重</w:t>
            </w:r>
          </w:p>
        </w:tc>
        <w:tc>
          <w:tcPr>
            <w:tcW w:w="53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b/>
                <w:bCs/>
                <w:color w:val="000000"/>
                <w:kern w:val="0"/>
                <w:sz w:val="22"/>
                <w:szCs w:val="22"/>
              </w:rPr>
            </w:pPr>
            <w:r>
              <w:rPr>
                <w:rFonts w:hint="eastAsia" w:asci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1"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决策　</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　</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　</w:t>
            </w:r>
          </w:p>
        </w:tc>
        <w:tc>
          <w:tcPr>
            <w:tcW w:w="302"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项目立项　</w:t>
            </w:r>
          </w:p>
        </w:tc>
        <w:tc>
          <w:tcPr>
            <w:tcW w:w="3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立项依据</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充分性</w:t>
            </w:r>
          </w:p>
        </w:tc>
        <w:tc>
          <w:tcPr>
            <w:tcW w:w="92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项目立项是否符合法律法规、相关政策、发展规划以及部门职责，用以反映和考核项目立项依据情况。</w:t>
            </w:r>
          </w:p>
        </w:tc>
        <w:tc>
          <w:tcPr>
            <w:tcW w:w="20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18"/>
                <w:szCs w:val="18"/>
              </w:rPr>
            </w:pPr>
            <w:r>
              <w:rPr>
                <w:rFonts w:hint="eastAsia" w:ascii="宋体" w:cs="宋体"/>
                <w:color w:val="000000"/>
                <w:kern w:val="0"/>
                <w:sz w:val="18"/>
                <w:szCs w:val="18"/>
              </w:rPr>
              <w:t>评价要点：</w:t>
            </w:r>
            <w:r>
              <w:rPr>
                <w:rFonts w:hint="eastAsia" w:ascii="宋体" w:cs="宋体"/>
                <w:color w:val="000000"/>
                <w:kern w:val="0"/>
                <w:sz w:val="18"/>
                <w:szCs w:val="18"/>
              </w:rPr>
              <w:br w:type="textWrapping"/>
            </w:r>
            <w:r>
              <w:rPr>
                <w:rFonts w:hint="eastAsia" w:ascii="宋体" w:cs="宋体"/>
                <w:color w:val="000000"/>
                <w:kern w:val="0"/>
                <w:sz w:val="18"/>
                <w:szCs w:val="18"/>
              </w:rPr>
              <w:t>①项目立项是否符合国家法律法规、国民经济发展规划和相关政策；</w:t>
            </w:r>
            <w:r>
              <w:rPr>
                <w:rFonts w:hint="eastAsia" w:ascii="宋体" w:cs="宋体"/>
                <w:color w:val="000000"/>
                <w:kern w:val="0"/>
                <w:sz w:val="18"/>
                <w:szCs w:val="18"/>
              </w:rPr>
              <w:br w:type="textWrapping"/>
            </w:r>
            <w:r>
              <w:rPr>
                <w:rFonts w:hint="eastAsia" w:ascii="宋体" w:cs="宋体"/>
                <w:color w:val="000000"/>
                <w:kern w:val="0"/>
                <w:sz w:val="18"/>
                <w:szCs w:val="18"/>
              </w:rPr>
              <w:t>②项目立项是否符合行业发展规划和政策要求；</w:t>
            </w:r>
            <w:r>
              <w:rPr>
                <w:rFonts w:hint="eastAsia" w:ascii="宋体" w:cs="宋体"/>
                <w:color w:val="000000"/>
                <w:kern w:val="0"/>
                <w:sz w:val="18"/>
                <w:szCs w:val="18"/>
              </w:rPr>
              <w:br w:type="textWrapping"/>
            </w:r>
            <w:r>
              <w:rPr>
                <w:rFonts w:hint="eastAsia" w:ascii="宋体" w:cs="宋体"/>
                <w:color w:val="000000"/>
                <w:kern w:val="0"/>
                <w:sz w:val="18"/>
                <w:szCs w:val="18"/>
              </w:rPr>
              <w:t>③项目立项是否与部门职责范围相符，属于部门履职所需；</w:t>
            </w:r>
            <w:r>
              <w:rPr>
                <w:rFonts w:hint="eastAsia" w:ascii="宋体" w:cs="宋体"/>
                <w:color w:val="000000"/>
                <w:kern w:val="0"/>
                <w:sz w:val="18"/>
                <w:szCs w:val="18"/>
              </w:rPr>
              <w:br w:type="textWrapping"/>
            </w:r>
            <w:r>
              <w:rPr>
                <w:rFonts w:hint="eastAsia" w:ascii="宋体" w:cs="宋体"/>
                <w:color w:val="000000"/>
                <w:kern w:val="0"/>
                <w:sz w:val="18"/>
                <w:szCs w:val="18"/>
              </w:rPr>
              <w:t>④项目是否属于公共财政支持范围，是否符合中央、地方事权支出责任划分原则；</w:t>
            </w:r>
            <w:r>
              <w:rPr>
                <w:rFonts w:hint="eastAsia" w:ascii="宋体" w:cs="宋体"/>
                <w:color w:val="000000"/>
                <w:kern w:val="0"/>
                <w:sz w:val="18"/>
                <w:szCs w:val="18"/>
              </w:rPr>
              <w:br w:type="textWrapping"/>
            </w:r>
            <w:r>
              <w:rPr>
                <w:rFonts w:hint="eastAsia" w:ascii="宋体" w:cs="宋体"/>
                <w:color w:val="000000"/>
                <w:kern w:val="0"/>
                <w:sz w:val="18"/>
                <w:szCs w:val="18"/>
              </w:rPr>
              <w:t>⑤项目是否与相关部门同类项目或部门内部相关项目重复。</w:t>
            </w:r>
          </w:p>
        </w:tc>
        <w:tc>
          <w:tcPr>
            <w:tcW w:w="51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18"/>
                <w:szCs w:val="18"/>
              </w:rPr>
            </w:pPr>
            <w:r>
              <w:rPr>
                <w:rFonts w:ascii="宋体" w:cs="宋体"/>
                <w:color w:val="000000"/>
                <w:kern w:val="0"/>
                <w:sz w:val="18"/>
                <w:szCs w:val="18"/>
              </w:rPr>
              <w:t>0.5</w:t>
            </w:r>
          </w:p>
        </w:tc>
        <w:tc>
          <w:tcPr>
            <w:tcW w:w="53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18"/>
                <w:szCs w:val="18"/>
              </w:rPr>
            </w:pPr>
            <w:r>
              <w:rPr>
                <w:rFonts w:asci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textAlignment w:val="auto"/>
              <w:rPr>
                <w:sz w:val="18"/>
                <w:szCs w:val="18"/>
              </w:rPr>
            </w:pPr>
          </w:p>
        </w:tc>
        <w:tc>
          <w:tcPr>
            <w:tcW w:w="302"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textAlignment w:val="auto"/>
              <w:rPr>
                <w:sz w:val="18"/>
                <w:szCs w:val="18"/>
              </w:rPr>
            </w:pPr>
          </w:p>
        </w:tc>
        <w:tc>
          <w:tcPr>
            <w:tcW w:w="3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立项程序</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规范性</w:t>
            </w:r>
          </w:p>
        </w:tc>
        <w:tc>
          <w:tcPr>
            <w:tcW w:w="92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项目申请、设立过程是否符合相关要求，用以反映和考核项目立项的规范情况。</w:t>
            </w:r>
          </w:p>
        </w:tc>
        <w:tc>
          <w:tcPr>
            <w:tcW w:w="20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18"/>
                <w:szCs w:val="18"/>
              </w:rPr>
            </w:pPr>
            <w:r>
              <w:rPr>
                <w:rFonts w:hint="eastAsia" w:ascii="宋体" w:cs="宋体"/>
                <w:color w:val="000000"/>
                <w:kern w:val="0"/>
                <w:sz w:val="18"/>
                <w:szCs w:val="18"/>
              </w:rPr>
              <w:t>评价要点：</w:t>
            </w:r>
            <w:r>
              <w:rPr>
                <w:rFonts w:hint="eastAsia" w:ascii="宋体" w:cs="宋体"/>
                <w:color w:val="000000"/>
                <w:kern w:val="0"/>
                <w:sz w:val="18"/>
                <w:szCs w:val="18"/>
              </w:rPr>
              <w:br w:type="textWrapping"/>
            </w:r>
            <w:r>
              <w:rPr>
                <w:rFonts w:hint="eastAsia" w:ascii="宋体" w:cs="宋体"/>
                <w:color w:val="000000"/>
                <w:kern w:val="0"/>
                <w:sz w:val="18"/>
                <w:szCs w:val="18"/>
              </w:rPr>
              <w:t>①项目是否按照规定的程序申请设立；</w:t>
            </w:r>
            <w:r>
              <w:rPr>
                <w:rFonts w:hint="eastAsia" w:ascii="宋体" w:cs="宋体"/>
                <w:color w:val="000000"/>
                <w:kern w:val="0"/>
                <w:sz w:val="18"/>
                <w:szCs w:val="18"/>
              </w:rPr>
              <w:br w:type="textWrapping"/>
            </w:r>
            <w:r>
              <w:rPr>
                <w:rFonts w:hint="eastAsia" w:ascii="宋体" w:cs="宋体"/>
                <w:color w:val="000000"/>
                <w:kern w:val="0"/>
                <w:sz w:val="18"/>
                <w:szCs w:val="18"/>
              </w:rPr>
              <w:t>②审批文件、材料是否符合相关要求；</w:t>
            </w:r>
            <w:r>
              <w:rPr>
                <w:rFonts w:hint="eastAsia" w:ascii="宋体" w:cs="宋体"/>
                <w:color w:val="000000"/>
                <w:kern w:val="0"/>
                <w:sz w:val="18"/>
                <w:szCs w:val="18"/>
              </w:rPr>
              <w:br w:type="textWrapping"/>
            </w:r>
            <w:r>
              <w:rPr>
                <w:rFonts w:hint="eastAsia" w:ascii="宋体" w:cs="宋体"/>
                <w:color w:val="000000"/>
                <w:kern w:val="0"/>
                <w:sz w:val="18"/>
                <w:szCs w:val="18"/>
              </w:rPr>
              <w:t>③事前是否已经过必要的可行性研究、专家论证、风险评估、绩效评估、集体决策。</w:t>
            </w:r>
          </w:p>
        </w:tc>
        <w:tc>
          <w:tcPr>
            <w:tcW w:w="51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18"/>
                <w:szCs w:val="18"/>
              </w:rPr>
            </w:pPr>
            <w:r>
              <w:rPr>
                <w:rFonts w:ascii="宋体" w:cs="宋体"/>
                <w:color w:val="000000"/>
                <w:kern w:val="0"/>
                <w:sz w:val="18"/>
                <w:szCs w:val="18"/>
              </w:rPr>
              <w:t>0.5</w:t>
            </w:r>
          </w:p>
        </w:tc>
        <w:tc>
          <w:tcPr>
            <w:tcW w:w="53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18"/>
                <w:szCs w:val="18"/>
              </w:rPr>
            </w:pPr>
            <w:r>
              <w:rPr>
                <w:rFonts w:asci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textAlignment w:val="auto"/>
              <w:rPr>
                <w:sz w:val="18"/>
                <w:szCs w:val="18"/>
              </w:rPr>
            </w:pPr>
          </w:p>
        </w:tc>
        <w:tc>
          <w:tcPr>
            <w:tcW w:w="30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绩效目标　</w:t>
            </w:r>
          </w:p>
        </w:tc>
        <w:tc>
          <w:tcPr>
            <w:tcW w:w="3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绩效目标</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合理性</w:t>
            </w:r>
          </w:p>
        </w:tc>
        <w:tc>
          <w:tcPr>
            <w:tcW w:w="927"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项目所设定的绩效目标是否依据充分，是否符合客观实际，用以反映和考核项目绩效目标与项目实施的相符情况。</w:t>
            </w:r>
          </w:p>
        </w:tc>
        <w:tc>
          <w:tcPr>
            <w:tcW w:w="2044"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18"/>
                <w:szCs w:val="18"/>
              </w:rPr>
            </w:pPr>
            <w:r>
              <w:rPr>
                <w:rFonts w:hint="eastAsia" w:ascii="宋体" w:cs="宋体"/>
                <w:color w:val="000000"/>
                <w:kern w:val="0"/>
                <w:sz w:val="18"/>
                <w:szCs w:val="18"/>
              </w:rPr>
              <w:t>评价要点：</w:t>
            </w:r>
            <w:r>
              <w:rPr>
                <w:rFonts w:hint="eastAsia" w:ascii="宋体" w:cs="宋体"/>
                <w:color w:val="000000"/>
                <w:kern w:val="0"/>
                <w:sz w:val="18"/>
                <w:szCs w:val="18"/>
              </w:rPr>
              <w:br w:type="textWrapping"/>
            </w:r>
            <w:r>
              <w:rPr>
                <w:rFonts w:hint="eastAsia" w:ascii="宋体" w:cs="宋体"/>
                <w:color w:val="000000"/>
                <w:kern w:val="0"/>
                <w:sz w:val="18"/>
                <w:szCs w:val="18"/>
              </w:rPr>
              <w:t>（如未设定预算绩效目标，也可考核其他工作任务目标）</w:t>
            </w:r>
            <w:r>
              <w:rPr>
                <w:rFonts w:hint="eastAsia" w:ascii="宋体" w:cs="宋体"/>
                <w:color w:val="000000"/>
                <w:kern w:val="0"/>
                <w:sz w:val="18"/>
                <w:szCs w:val="18"/>
              </w:rPr>
              <w:br w:type="textWrapping"/>
            </w:r>
            <w:r>
              <w:rPr>
                <w:rFonts w:hint="eastAsia" w:ascii="宋体" w:cs="宋体"/>
                <w:color w:val="000000"/>
                <w:kern w:val="0"/>
                <w:sz w:val="18"/>
                <w:szCs w:val="18"/>
              </w:rPr>
              <w:t>①项目是否有绩效目标；</w:t>
            </w:r>
            <w:r>
              <w:rPr>
                <w:rFonts w:hint="eastAsia" w:ascii="宋体" w:cs="宋体"/>
                <w:color w:val="000000"/>
                <w:kern w:val="0"/>
                <w:sz w:val="18"/>
                <w:szCs w:val="18"/>
              </w:rPr>
              <w:br w:type="textWrapping"/>
            </w:r>
            <w:r>
              <w:rPr>
                <w:rFonts w:hint="eastAsia" w:ascii="宋体" w:cs="宋体"/>
                <w:color w:val="000000"/>
                <w:kern w:val="0"/>
                <w:sz w:val="18"/>
                <w:szCs w:val="18"/>
              </w:rPr>
              <w:t>②项目绩效目标与实际工作内容是否具有相关性；</w:t>
            </w:r>
            <w:r>
              <w:rPr>
                <w:rFonts w:hint="eastAsia" w:ascii="宋体" w:cs="宋体"/>
                <w:color w:val="000000"/>
                <w:kern w:val="0"/>
                <w:sz w:val="18"/>
                <w:szCs w:val="18"/>
              </w:rPr>
              <w:br w:type="textWrapping"/>
            </w:r>
            <w:r>
              <w:rPr>
                <w:rFonts w:hint="eastAsia" w:ascii="宋体" w:cs="宋体"/>
                <w:color w:val="000000"/>
                <w:kern w:val="0"/>
                <w:sz w:val="18"/>
                <w:szCs w:val="18"/>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18"/>
                <w:szCs w:val="18"/>
              </w:rPr>
            </w:pPr>
            <w:r>
              <w:rPr>
                <w:rFonts w:hint="eastAsia" w:ascii="宋体" w:cs="宋体"/>
                <w:color w:val="000000"/>
                <w:kern w:val="0"/>
                <w:sz w:val="18"/>
                <w:szCs w:val="18"/>
              </w:rPr>
              <w:t>④是否与预算确定的项目投资额或资金量相匹配。</w:t>
            </w:r>
          </w:p>
        </w:tc>
        <w:tc>
          <w:tcPr>
            <w:tcW w:w="512"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18"/>
                <w:szCs w:val="18"/>
              </w:rPr>
            </w:pPr>
            <w:r>
              <w:rPr>
                <w:rFonts w:ascii="宋体" w:cs="宋体"/>
                <w:color w:val="000000"/>
                <w:kern w:val="0"/>
                <w:sz w:val="18"/>
                <w:szCs w:val="18"/>
              </w:rPr>
              <w:t>1</w:t>
            </w:r>
          </w:p>
        </w:tc>
        <w:tc>
          <w:tcPr>
            <w:tcW w:w="537"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18"/>
                <w:szCs w:val="18"/>
              </w:rPr>
            </w:pPr>
            <w:r>
              <w:rPr>
                <w:rFonts w:asci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决策　</w:t>
            </w:r>
          </w:p>
        </w:tc>
        <w:tc>
          <w:tcPr>
            <w:tcW w:w="30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绩效目标</w:t>
            </w:r>
          </w:p>
        </w:tc>
        <w:tc>
          <w:tcPr>
            <w:tcW w:w="3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绩效指标</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明确性</w:t>
            </w:r>
          </w:p>
        </w:tc>
        <w:tc>
          <w:tcPr>
            <w:tcW w:w="927"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依据绩效目标设定的绩效指标是否清晰、细化、可衡量等，用以反映和考核项目绩效目标的明细化情况。</w:t>
            </w:r>
          </w:p>
        </w:tc>
        <w:tc>
          <w:tcPr>
            <w:tcW w:w="2044"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评价要点：</w:t>
            </w:r>
            <w:r>
              <w:rPr>
                <w:rFonts w:hint="eastAsia" w:ascii="宋体" w:cs="宋体"/>
                <w:color w:val="000000"/>
                <w:kern w:val="0"/>
                <w:sz w:val="18"/>
                <w:szCs w:val="18"/>
              </w:rPr>
              <w:br w:type="textWrapping"/>
            </w:r>
            <w:r>
              <w:rPr>
                <w:rFonts w:hint="eastAsia" w:ascii="宋体" w:cs="宋体"/>
                <w:color w:val="000000"/>
                <w:kern w:val="0"/>
                <w:sz w:val="18"/>
                <w:szCs w:val="18"/>
              </w:rPr>
              <w:t>①是否将项目绩效目标细化分解为具体的绩效指标；</w:t>
            </w:r>
            <w:r>
              <w:rPr>
                <w:rFonts w:hint="eastAsia" w:ascii="宋体" w:cs="宋体"/>
                <w:color w:val="000000"/>
                <w:kern w:val="0"/>
                <w:sz w:val="18"/>
                <w:szCs w:val="18"/>
              </w:rPr>
              <w:br w:type="textWrapping"/>
            </w:r>
            <w:r>
              <w:rPr>
                <w:rFonts w:hint="eastAsia" w:ascii="宋体" w:cs="宋体"/>
                <w:color w:val="000000"/>
                <w:kern w:val="0"/>
                <w:sz w:val="18"/>
                <w:szCs w:val="18"/>
              </w:rPr>
              <w:t>②是否通过清晰、可衡量的指标值予以体现；</w:t>
            </w:r>
            <w:r>
              <w:rPr>
                <w:rFonts w:hint="eastAsia" w:ascii="宋体" w:cs="宋体"/>
                <w:color w:val="000000"/>
                <w:kern w:val="0"/>
                <w:sz w:val="18"/>
                <w:szCs w:val="18"/>
              </w:rPr>
              <w:br w:type="textWrapping"/>
            </w:r>
            <w:r>
              <w:rPr>
                <w:rFonts w:hint="eastAsia" w:ascii="宋体" w:cs="宋体"/>
                <w:color w:val="000000"/>
                <w:kern w:val="0"/>
                <w:sz w:val="18"/>
                <w:szCs w:val="18"/>
              </w:rPr>
              <w:t>③是否与项目目标任务数或计划数相对应。</w:t>
            </w:r>
            <w:r>
              <w:rPr>
                <w:rFonts w:hint="eastAsia" w:ascii="宋体" w:cs="宋体"/>
                <w:color w:val="000000"/>
                <w:kern w:val="0"/>
                <w:sz w:val="18"/>
                <w:szCs w:val="18"/>
              </w:rPr>
              <w:br w:type="textWrapping"/>
            </w:r>
          </w:p>
        </w:tc>
        <w:tc>
          <w:tcPr>
            <w:tcW w:w="512"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1</w:t>
            </w:r>
          </w:p>
        </w:tc>
        <w:tc>
          <w:tcPr>
            <w:tcW w:w="537"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textAlignment w:val="auto"/>
              <w:rPr>
                <w:sz w:val="18"/>
                <w:szCs w:val="18"/>
              </w:rPr>
            </w:pPr>
          </w:p>
        </w:tc>
        <w:tc>
          <w:tcPr>
            <w:tcW w:w="302"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资金投入</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　</w:t>
            </w:r>
          </w:p>
        </w:tc>
        <w:tc>
          <w:tcPr>
            <w:tcW w:w="3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预算编制</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科学性</w:t>
            </w:r>
          </w:p>
        </w:tc>
        <w:tc>
          <w:tcPr>
            <w:tcW w:w="92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项目预算编制是否经过科学论证、有明确标准，资金额度与年度目标是否相适应，用以反映和考核项目预算编制的科学性、合理性情况。</w:t>
            </w:r>
          </w:p>
        </w:tc>
        <w:tc>
          <w:tcPr>
            <w:tcW w:w="20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评价要点：</w:t>
            </w:r>
            <w:r>
              <w:rPr>
                <w:rFonts w:hint="eastAsia" w:ascii="宋体" w:cs="宋体"/>
                <w:color w:val="000000"/>
                <w:kern w:val="0"/>
                <w:sz w:val="18"/>
                <w:szCs w:val="18"/>
              </w:rPr>
              <w:br w:type="textWrapping"/>
            </w:r>
            <w:r>
              <w:rPr>
                <w:rFonts w:hint="eastAsia" w:ascii="宋体" w:cs="宋体"/>
                <w:color w:val="000000"/>
                <w:kern w:val="0"/>
                <w:sz w:val="18"/>
                <w:szCs w:val="18"/>
              </w:rPr>
              <w:t>①预算编制是否经过科学论证；</w:t>
            </w:r>
            <w:r>
              <w:rPr>
                <w:rFonts w:hint="eastAsia" w:ascii="宋体" w:cs="宋体"/>
                <w:color w:val="000000"/>
                <w:kern w:val="0"/>
                <w:sz w:val="18"/>
                <w:szCs w:val="18"/>
              </w:rPr>
              <w:br w:type="textWrapping"/>
            </w:r>
            <w:r>
              <w:rPr>
                <w:rFonts w:hint="eastAsia" w:ascii="宋体" w:cs="宋体"/>
                <w:color w:val="000000"/>
                <w:kern w:val="0"/>
                <w:sz w:val="18"/>
                <w:szCs w:val="18"/>
              </w:rPr>
              <w:t>②预算内容与项目内容是否匹配；</w:t>
            </w:r>
            <w:r>
              <w:rPr>
                <w:rFonts w:hint="eastAsia" w:ascii="宋体" w:cs="宋体"/>
                <w:color w:val="000000"/>
                <w:kern w:val="0"/>
                <w:sz w:val="18"/>
                <w:szCs w:val="18"/>
              </w:rPr>
              <w:br w:type="textWrapping"/>
            </w:r>
            <w:r>
              <w:rPr>
                <w:rFonts w:hint="eastAsia" w:ascii="宋体" w:cs="宋体"/>
                <w:color w:val="000000"/>
                <w:kern w:val="0"/>
                <w:sz w:val="18"/>
                <w:szCs w:val="18"/>
              </w:rPr>
              <w:t>③预算额度测算依据是否充分，是否按照标准编制；</w:t>
            </w:r>
            <w:r>
              <w:rPr>
                <w:rFonts w:hint="eastAsia" w:ascii="宋体" w:cs="宋体"/>
                <w:color w:val="000000"/>
                <w:kern w:val="0"/>
                <w:sz w:val="18"/>
                <w:szCs w:val="18"/>
              </w:rPr>
              <w:br w:type="textWrapping"/>
            </w:r>
            <w:r>
              <w:rPr>
                <w:rFonts w:hint="eastAsia" w:ascii="宋体" w:cs="宋体"/>
                <w:color w:val="000000"/>
                <w:kern w:val="0"/>
                <w:sz w:val="18"/>
                <w:szCs w:val="18"/>
              </w:rPr>
              <w:t>④预算确定的项目投资额或资金量是否与工作任务相匹配。</w:t>
            </w:r>
          </w:p>
        </w:tc>
        <w:tc>
          <w:tcPr>
            <w:tcW w:w="51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1</w:t>
            </w:r>
          </w:p>
        </w:tc>
        <w:tc>
          <w:tcPr>
            <w:tcW w:w="53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textAlignment w:val="auto"/>
              <w:rPr>
                <w:sz w:val="18"/>
                <w:szCs w:val="18"/>
              </w:rPr>
            </w:pPr>
          </w:p>
        </w:tc>
        <w:tc>
          <w:tcPr>
            <w:tcW w:w="302"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textAlignment w:val="auto"/>
              <w:rPr>
                <w:sz w:val="18"/>
                <w:szCs w:val="18"/>
              </w:rPr>
            </w:pPr>
          </w:p>
        </w:tc>
        <w:tc>
          <w:tcPr>
            <w:tcW w:w="3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资金分配</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合理性</w:t>
            </w:r>
          </w:p>
        </w:tc>
        <w:tc>
          <w:tcPr>
            <w:tcW w:w="92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项目预算资金分配是否有测算依据，与补助单位或地方实际是否相适应，用以反映和考核项目预算资金分配的科学性、合理性情况。</w:t>
            </w:r>
          </w:p>
        </w:tc>
        <w:tc>
          <w:tcPr>
            <w:tcW w:w="20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评价要点：</w:t>
            </w:r>
            <w:r>
              <w:rPr>
                <w:rFonts w:hint="eastAsia" w:ascii="宋体" w:cs="宋体"/>
                <w:color w:val="000000"/>
                <w:kern w:val="0"/>
                <w:sz w:val="18"/>
                <w:szCs w:val="18"/>
              </w:rPr>
              <w:br w:type="textWrapping"/>
            </w:r>
            <w:r>
              <w:rPr>
                <w:rFonts w:hint="eastAsia" w:ascii="宋体" w:cs="宋体"/>
                <w:color w:val="000000"/>
                <w:kern w:val="0"/>
                <w:sz w:val="18"/>
                <w:szCs w:val="18"/>
              </w:rPr>
              <w:t>①预算资金分配依据是否充分；</w:t>
            </w:r>
            <w:r>
              <w:rPr>
                <w:rFonts w:hint="eastAsia" w:ascii="宋体" w:cs="宋体"/>
                <w:color w:val="000000"/>
                <w:kern w:val="0"/>
                <w:sz w:val="18"/>
                <w:szCs w:val="18"/>
              </w:rPr>
              <w:br w:type="textWrapping"/>
            </w:r>
            <w:r>
              <w:rPr>
                <w:rFonts w:hint="eastAsia" w:ascii="宋体" w:cs="宋体"/>
                <w:color w:val="000000"/>
                <w:kern w:val="0"/>
                <w:sz w:val="18"/>
                <w:szCs w:val="18"/>
              </w:rPr>
              <w:t>②资金分配额度是否合理，与项目单位或地方实际是否相适应。</w:t>
            </w:r>
          </w:p>
        </w:tc>
        <w:tc>
          <w:tcPr>
            <w:tcW w:w="51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1</w:t>
            </w:r>
          </w:p>
        </w:tc>
        <w:tc>
          <w:tcPr>
            <w:tcW w:w="53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过程</w:t>
            </w:r>
          </w:p>
        </w:tc>
        <w:tc>
          <w:tcPr>
            <w:tcW w:w="302"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资金管理</w:t>
            </w:r>
          </w:p>
        </w:tc>
        <w:tc>
          <w:tcPr>
            <w:tcW w:w="3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资金到位率</w:t>
            </w:r>
          </w:p>
        </w:tc>
        <w:tc>
          <w:tcPr>
            <w:tcW w:w="927"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实际到位资金与预算资金的比率，用以反映和考核资金落实情况对项目实施的总体保障程度。</w:t>
            </w:r>
          </w:p>
        </w:tc>
        <w:tc>
          <w:tcPr>
            <w:tcW w:w="2044"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资金到位率=（实际到位资金/预算资金）×100%。</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预算资金：一定时期（本年度或项目期）内预算安排到具体项目的资金。</w:t>
            </w:r>
          </w:p>
        </w:tc>
        <w:tc>
          <w:tcPr>
            <w:tcW w:w="512"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1</w:t>
            </w:r>
          </w:p>
        </w:tc>
        <w:tc>
          <w:tcPr>
            <w:tcW w:w="537"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textAlignment w:val="auto"/>
              <w:rPr>
                <w:sz w:val="18"/>
                <w:szCs w:val="18"/>
              </w:rPr>
            </w:pPr>
          </w:p>
        </w:tc>
        <w:tc>
          <w:tcPr>
            <w:tcW w:w="302"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textAlignment w:val="auto"/>
              <w:rPr>
                <w:sz w:val="18"/>
                <w:szCs w:val="18"/>
              </w:rPr>
            </w:pPr>
          </w:p>
        </w:tc>
        <w:tc>
          <w:tcPr>
            <w:tcW w:w="3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预算执行率</w:t>
            </w:r>
          </w:p>
        </w:tc>
        <w:tc>
          <w:tcPr>
            <w:tcW w:w="92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项目预算资金是否按照计划执行，用以反映或考核项目预算执行情况。</w:t>
            </w:r>
          </w:p>
        </w:tc>
        <w:tc>
          <w:tcPr>
            <w:tcW w:w="20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预算执行率=（实际支出资金/实际到位资金）×100%。</w:t>
            </w:r>
            <w:r>
              <w:rPr>
                <w:rFonts w:hint="eastAsia" w:ascii="宋体" w:cs="宋体"/>
                <w:color w:val="000000"/>
                <w:kern w:val="0"/>
                <w:sz w:val="18"/>
                <w:szCs w:val="18"/>
              </w:rPr>
              <w:br w:type="textWrapping"/>
            </w:r>
            <w:r>
              <w:rPr>
                <w:rFonts w:hint="eastAsia" w:ascii="宋体" w:cs="宋体"/>
                <w:color w:val="000000"/>
                <w:kern w:val="0"/>
                <w:sz w:val="18"/>
                <w:szCs w:val="18"/>
              </w:rPr>
              <w:t>实际支出资金：一定时期（本年度或项目期）内项目实际拨付的资金。</w:t>
            </w:r>
          </w:p>
        </w:tc>
        <w:tc>
          <w:tcPr>
            <w:tcW w:w="51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1</w:t>
            </w:r>
          </w:p>
        </w:tc>
        <w:tc>
          <w:tcPr>
            <w:tcW w:w="53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　</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过程　</w:t>
            </w:r>
          </w:p>
        </w:tc>
        <w:tc>
          <w:tcPr>
            <w:tcW w:w="30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资金管理</w:t>
            </w:r>
          </w:p>
        </w:tc>
        <w:tc>
          <w:tcPr>
            <w:tcW w:w="3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资金使用</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合规性</w:t>
            </w:r>
          </w:p>
        </w:tc>
        <w:tc>
          <w:tcPr>
            <w:tcW w:w="927"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项目资金使用是否符合相关的财务管理制度规定，用以反映和考核项目资金的规范运行情况。</w:t>
            </w:r>
          </w:p>
        </w:tc>
        <w:tc>
          <w:tcPr>
            <w:tcW w:w="2044"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评价要点：</w:t>
            </w:r>
            <w:r>
              <w:rPr>
                <w:rFonts w:hint="eastAsia" w:ascii="宋体" w:cs="宋体"/>
                <w:color w:val="000000"/>
                <w:kern w:val="0"/>
                <w:sz w:val="18"/>
                <w:szCs w:val="18"/>
              </w:rPr>
              <w:br w:type="textWrapping"/>
            </w:r>
            <w:r>
              <w:rPr>
                <w:rFonts w:hint="eastAsia" w:ascii="宋体" w:cs="宋体"/>
                <w:color w:val="000000"/>
                <w:kern w:val="0"/>
                <w:sz w:val="18"/>
                <w:szCs w:val="18"/>
              </w:rPr>
              <w:t>①是否符合国家财经法规和财务管理制度以及有关专项资金管理办法的规定；</w:t>
            </w:r>
            <w:r>
              <w:rPr>
                <w:rFonts w:hint="eastAsia" w:ascii="宋体" w:cs="宋体"/>
                <w:color w:val="000000"/>
                <w:kern w:val="0"/>
                <w:sz w:val="18"/>
                <w:szCs w:val="18"/>
              </w:rPr>
              <w:br w:type="textWrapping"/>
            </w:r>
            <w:r>
              <w:rPr>
                <w:rFonts w:hint="eastAsia" w:ascii="宋体" w:cs="宋体"/>
                <w:color w:val="000000"/>
                <w:kern w:val="0"/>
                <w:sz w:val="18"/>
                <w:szCs w:val="18"/>
              </w:rPr>
              <w:t>②资金的拨付是否有完整的审批程序和手续；</w:t>
            </w:r>
            <w:r>
              <w:rPr>
                <w:rFonts w:hint="eastAsia" w:ascii="宋体" w:cs="宋体"/>
                <w:color w:val="000000"/>
                <w:kern w:val="0"/>
                <w:sz w:val="18"/>
                <w:szCs w:val="18"/>
              </w:rPr>
              <w:br w:type="textWrapping"/>
            </w:r>
            <w:r>
              <w:rPr>
                <w:rFonts w:hint="eastAsia" w:ascii="宋体" w:cs="宋体"/>
                <w:color w:val="000000"/>
                <w:kern w:val="0"/>
                <w:sz w:val="18"/>
                <w:szCs w:val="18"/>
              </w:rPr>
              <w:t>③是否符合项目预算批复或合同规定的用途；</w:t>
            </w:r>
            <w:r>
              <w:rPr>
                <w:rFonts w:hint="eastAsia" w:ascii="宋体" w:cs="宋体"/>
                <w:color w:val="000000"/>
                <w:kern w:val="0"/>
                <w:sz w:val="18"/>
                <w:szCs w:val="18"/>
              </w:rPr>
              <w:br w:type="textWrapping"/>
            </w:r>
            <w:r>
              <w:rPr>
                <w:rFonts w:hint="eastAsia" w:ascii="宋体" w:cs="宋体"/>
                <w:color w:val="000000"/>
                <w:kern w:val="0"/>
                <w:sz w:val="18"/>
                <w:szCs w:val="18"/>
              </w:rPr>
              <w:t>④是否存在截留、挤占、挪用、虚列支出等情况。</w:t>
            </w:r>
          </w:p>
        </w:tc>
        <w:tc>
          <w:tcPr>
            <w:tcW w:w="512"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1</w:t>
            </w:r>
          </w:p>
        </w:tc>
        <w:tc>
          <w:tcPr>
            <w:tcW w:w="537"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textAlignment w:val="auto"/>
              <w:rPr>
                <w:sz w:val="18"/>
                <w:szCs w:val="18"/>
              </w:rPr>
            </w:pPr>
          </w:p>
        </w:tc>
        <w:tc>
          <w:tcPr>
            <w:tcW w:w="302"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组织实施</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　</w:t>
            </w:r>
          </w:p>
        </w:tc>
        <w:tc>
          <w:tcPr>
            <w:tcW w:w="3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管理制度</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健全性</w:t>
            </w:r>
          </w:p>
        </w:tc>
        <w:tc>
          <w:tcPr>
            <w:tcW w:w="927"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项目实施单位的财务和业务管理制度是否健全，用以反映和考核财务和业务管理制度对项目顺利实施的保障情况。</w:t>
            </w:r>
          </w:p>
        </w:tc>
        <w:tc>
          <w:tcPr>
            <w:tcW w:w="2044"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评价要点：</w:t>
            </w:r>
            <w:r>
              <w:rPr>
                <w:rFonts w:hint="eastAsia" w:ascii="宋体" w:cs="宋体"/>
                <w:color w:val="000000"/>
                <w:kern w:val="0"/>
                <w:sz w:val="18"/>
                <w:szCs w:val="18"/>
              </w:rPr>
              <w:br w:type="textWrapping"/>
            </w:r>
            <w:r>
              <w:rPr>
                <w:rFonts w:hint="eastAsia" w:ascii="宋体" w:cs="宋体"/>
                <w:color w:val="000000"/>
                <w:kern w:val="0"/>
                <w:sz w:val="18"/>
                <w:szCs w:val="18"/>
              </w:rPr>
              <w:t>①是否已制定或具有相应的财务和业务管理制度；</w:t>
            </w:r>
            <w:r>
              <w:rPr>
                <w:rFonts w:hint="eastAsia" w:ascii="宋体" w:cs="宋体"/>
                <w:color w:val="000000"/>
                <w:kern w:val="0"/>
                <w:sz w:val="18"/>
                <w:szCs w:val="18"/>
              </w:rPr>
              <w:br w:type="textWrapping"/>
            </w:r>
            <w:r>
              <w:rPr>
                <w:rFonts w:hint="eastAsia" w:ascii="宋体" w:cs="宋体"/>
                <w:color w:val="000000"/>
                <w:kern w:val="0"/>
                <w:sz w:val="18"/>
                <w:szCs w:val="18"/>
              </w:rPr>
              <w:t>②财务和业务管理制度是否合法、合规、完整。</w:t>
            </w:r>
          </w:p>
        </w:tc>
        <w:tc>
          <w:tcPr>
            <w:tcW w:w="512"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1</w:t>
            </w:r>
          </w:p>
        </w:tc>
        <w:tc>
          <w:tcPr>
            <w:tcW w:w="537"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textAlignment w:val="auto"/>
              <w:rPr>
                <w:sz w:val="18"/>
                <w:szCs w:val="18"/>
              </w:rPr>
            </w:pPr>
          </w:p>
        </w:tc>
        <w:tc>
          <w:tcPr>
            <w:tcW w:w="302"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textAlignment w:val="auto"/>
              <w:rPr>
                <w:sz w:val="18"/>
                <w:szCs w:val="18"/>
              </w:rPr>
            </w:pPr>
          </w:p>
        </w:tc>
        <w:tc>
          <w:tcPr>
            <w:tcW w:w="3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制度执行</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有效性</w:t>
            </w:r>
          </w:p>
        </w:tc>
        <w:tc>
          <w:tcPr>
            <w:tcW w:w="927"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项目实施是否符合相关管理规定，用以反映和考核相关管理制度的有效执行情况。</w:t>
            </w:r>
          </w:p>
        </w:tc>
        <w:tc>
          <w:tcPr>
            <w:tcW w:w="2044"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评价要点：</w:t>
            </w:r>
            <w:r>
              <w:rPr>
                <w:rFonts w:hint="eastAsia" w:ascii="宋体" w:cs="宋体"/>
                <w:color w:val="000000"/>
                <w:kern w:val="0"/>
                <w:sz w:val="18"/>
                <w:szCs w:val="18"/>
              </w:rPr>
              <w:br w:type="textWrapping"/>
            </w:r>
            <w:r>
              <w:rPr>
                <w:rFonts w:hint="eastAsia" w:ascii="宋体" w:cs="宋体"/>
                <w:color w:val="000000"/>
                <w:kern w:val="0"/>
                <w:sz w:val="18"/>
                <w:szCs w:val="18"/>
              </w:rPr>
              <w:t>①是否遵守相关法律法规和相关管理规定；</w:t>
            </w:r>
            <w:r>
              <w:rPr>
                <w:rFonts w:hint="eastAsia" w:ascii="宋体" w:cs="宋体"/>
                <w:color w:val="000000"/>
                <w:kern w:val="0"/>
                <w:sz w:val="18"/>
                <w:szCs w:val="18"/>
              </w:rPr>
              <w:br w:type="textWrapping"/>
            </w:r>
            <w:r>
              <w:rPr>
                <w:rFonts w:hint="eastAsia" w:ascii="宋体" w:cs="宋体"/>
                <w:color w:val="000000"/>
                <w:kern w:val="0"/>
                <w:sz w:val="18"/>
                <w:szCs w:val="18"/>
              </w:rPr>
              <w:t>②项目调整及支出调整手续是否完备；</w:t>
            </w:r>
            <w:r>
              <w:rPr>
                <w:rFonts w:hint="eastAsia" w:ascii="宋体" w:cs="宋体"/>
                <w:color w:val="000000"/>
                <w:kern w:val="0"/>
                <w:sz w:val="18"/>
                <w:szCs w:val="18"/>
              </w:rPr>
              <w:br w:type="textWrapping"/>
            </w:r>
            <w:r>
              <w:rPr>
                <w:rFonts w:hint="eastAsia" w:ascii="宋体" w:cs="宋体"/>
                <w:color w:val="000000"/>
                <w:kern w:val="0"/>
                <w:sz w:val="18"/>
                <w:szCs w:val="18"/>
              </w:rPr>
              <w:t>③项目合同书、验收报告、技术鉴定等资料是否齐全并及时归档；</w:t>
            </w:r>
            <w:r>
              <w:rPr>
                <w:rFonts w:hint="eastAsia" w:ascii="宋体" w:cs="宋体"/>
                <w:color w:val="000000"/>
                <w:kern w:val="0"/>
                <w:sz w:val="18"/>
                <w:szCs w:val="18"/>
              </w:rPr>
              <w:br w:type="textWrapping"/>
            </w:r>
            <w:r>
              <w:rPr>
                <w:rFonts w:hint="eastAsia" w:ascii="宋体" w:cs="宋体"/>
                <w:color w:val="000000"/>
                <w:kern w:val="0"/>
                <w:sz w:val="18"/>
                <w:szCs w:val="18"/>
              </w:rPr>
              <w:t>④项目实施的人员条件、场地设备、信息支撑等是否落实到位。</w:t>
            </w:r>
          </w:p>
        </w:tc>
        <w:tc>
          <w:tcPr>
            <w:tcW w:w="512"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1</w:t>
            </w:r>
          </w:p>
        </w:tc>
        <w:tc>
          <w:tcPr>
            <w:tcW w:w="537"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产出</w:t>
            </w:r>
          </w:p>
        </w:tc>
        <w:tc>
          <w:tcPr>
            <w:tcW w:w="30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产出数量</w:t>
            </w:r>
          </w:p>
        </w:tc>
        <w:tc>
          <w:tcPr>
            <w:tcW w:w="3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实际完成率</w:t>
            </w:r>
          </w:p>
        </w:tc>
        <w:tc>
          <w:tcPr>
            <w:tcW w:w="927"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项目实施的实际产出数与计划产出数的比率，用以反映和考核项目产出数量目标的实现程度。</w:t>
            </w:r>
          </w:p>
        </w:tc>
        <w:tc>
          <w:tcPr>
            <w:tcW w:w="2044"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实际完成率=（实际产出数/计划产出数）×100%。</w:t>
            </w:r>
            <w:r>
              <w:rPr>
                <w:rFonts w:hint="eastAsia" w:ascii="宋体" w:cs="宋体"/>
                <w:color w:val="000000"/>
                <w:kern w:val="0"/>
                <w:sz w:val="18"/>
                <w:szCs w:val="18"/>
              </w:rPr>
              <w:br w:type="textWrapping"/>
            </w:r>
            <w:r>
              <w:rPr>
                <w:rFonts w:hint="eastAsia" w:ascii="宋体" w:cs="宋体"/>
                <w:color w:val="000000"/>
                <w:kern w:val="0"/>
                <w:sz w:val="18"/>
                <w:szCs w:val="18"/>
              </w:rPr>
              <w:t>实际产出数：一定时期（本年度或项目期）内项目实际产出的产品或提供的服务数量。</w:t>
            </w:r>
            <w:r>
              <w:rPr>
                <w:rFonts w:hint="eastAsia" w:ascii="宋体" w:cs="宋体"/>
                <w:color w:val="000000"/>
                <w:kern w:val="0"/>
                <w:sz w:val="18"/>
                <w:szCs w:val="18"/>
              </w:rPr>
              <w:br w:type="textWrapping"/>
            </w:r>
            <w:r>
              <w:rPr>
                <w:rFonts w:hint="eastAsia" w:ascii="宋体" w:cs="宋体"/>
                <w:color w:val="000000"/>
                <w:kern w:val="0"/>
                <w:sz w:val="18"/>
                <w:szCs w:val="18"/>
              </w:rPr>
              <w:t>计划产出数：项目绩效目标确定的在一定时期（本年度或项目期）内计划产出的产品或提供的服务数量。</w:t>
            </w:r>
          </w:p>
        </w:tc>
        <w:tc>
          <w:tcPr>
            <w:tcW w:w="512"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15</w:t>
            </w:r>
          </w:p>
        </w:tc>
        <w:tc>
          <w:tcPr>
            <w:tcW w:w="537"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产出</w:t>
            </w:r>
          </w:p>
        </w:tc>
        <w:tc>
          <w:tcPr>
            <w:tcW w:w="30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产出质量</w:t>
            </w:r>
          </w:p>
        </w:tc>
        <w:tc>
          <w:tcPr>
            <w:tcW w:w="3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质量达标率</w:t>
            </w:r>
          </w:p>
        </w:tc>
        <w:tc>
          <w:tcPr>
            <w:tcW w:w="927"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项目完成的质量达标产出数与实际产出数的比率，用以反映和考核项目产出质量目标的实现程度。</w:t>
            </w:r>
          </w:p>
        </w:tc>
        <w:tc>
          <w:tcPr>
            <w:tcW w:w="2044"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质量达标率=（质量达标产出数/实际产出数）×100%。</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10</w:t>
            </w:r>
          </w:p>
        </w:tc>
        <w:tc>
          <w:tcPr>
            <w:tcW w:w="537"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textAlignment w:val="auto"/>
              <w:rPr>
                <w:sz w:val="18"/>
                <w:szCs w:val="18"/>
              </w:rPr>
            </w:pPr>
          </w:p>
        </w:tc>
        <w:tc>
          <w:tcPr>
            <w:tcW w:w="30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产出时效</w:t>
            </w:r>
          </w:p>
        </w:tc>
        <w:tc>
          <w:tcPr>
            <w:tcW w:w="3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完成及时性</w:t>
            </w:r>
          </w:p>
        </w:tc>
        <w:tc>
          <w:tcPr>
            <w:tcW w:w="927"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项目实际完成时间与计划完成时间的比较，用以反映和考核项目产出时效目标的实现程度。</w:t>
            </w:r>
          </w:p>
        </w:tc>
        <w:tc>
          <w:tcPr>
            <w:tcW w:w="2044"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实际完成时间：项目实施单位完成该项目实际所耗用的时间。</w:t>
            </w:r>
            <w:r>
              <w:rPr>
                <w:rFonts w:hint="eastAsia" w:ascii="宋体" w:cs="宋体"/>
                <w:color w:val="000000"/>
                <w:kern w:val="0"/>
                <w:sz w:val="18"/>
                <w:szCs w:val="18"/>
              </w:rPr>
              <w:br w:type="textWrapping"/>
            </w:r>
            <w:r>
              <w:rPr>
                <w:rFonts w:hint="eastAsia" w:ascii="宋体" w:cs="宋体"/>
                <w:color w:val="000000"/>
                <w:kern w:val="0"/>
                <w:sz w:val="18"/>
                <w:szCs w:val="18"/>
              </w:rPr>
              <w:t>计划完成时间：按照项目实施计划或相关规定完成该项目所需的时间。</w:t>
            </w:r>
          </w:p>
        </w:tc>
        <w:tc>
          <w:tcPr>
            <w:tcW w:w="512"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15</w:t>
            </w:r>
          </w:p>
        </w:tc>
        <w:tc>
          <w:tcPr>
            <w:tcW w:w="537"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textAlignment w:val="auto"/>
              <w:rPr>
                <w:sz w:val="18"/>
                <w:szCs w:val="18"/>
              </w:rPr>
            </w:pPr>
          </w:p>
        </w:tc>
        <w:tc>
          <w:tcPr>
            <w:tcW w:w="30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产出成本</w:t>
            </w:r>
          </w:p>
        </w:tc>
        <w:tc>
          <w:tcPr>
            <w:tcW w:w="3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成本节约率</w:t>
            </w:r>
          </w:p>
        </w:tc>
        <w:tc>
          <w:tcPr>
            <w:tcW w:w="927"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完成项目计划工作目标的实际节约成本与计划成本的比率，用以反映和考核项目的成本节约程度。</w:t>
            </w:r>
          </w:p>
        </w:tc>
        <w:tc>
          <w:tcPr>
            <w:tcW w:w="2044"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br w:type="textWrapping"/>
            </w:r>
            <w:r>
              <w:rPr>
                <w:rFonts w:hint="eastAsia" w:ascii="宋体" w:cs="宋体"/>
                <w:color w:val="000000"/>
                <w:kern w:val="0"/>
                <w:sz w:val="18"/>
                <w:szCs w:val="18"/>
              </w:rPr>
              <w:t>成本节约率=[（计划成本-实际成本）/计划成本]×100%。</w:t>
            </w:r>
            <w:r>
              <w:rPr>
                <w:rFonts w:hint="eastAsia" w:ascii="宋体" w:cs="宋体"/>
                <w:color w:val="000000"/>
                <w:kern w:val="0"/>
                <w:sz w:val="18"/>
                <w:szCs w:val="18"/>
              </w:rPr>
              <w:br w:type="textWrapping"/>
            </w:r>
            <w:r>
              <w:rPr>
                <w:rFonts w:hint="eastAsia" w:ascii="宋体" w:cs="宋体"/>
                <w:color w:val="000000"/>
                <w:kern w:val="0"/>
                <w:sz w:val="18"/>
                <w:szCs w:val="18"/>
              </w:rPr>
              <w:t>实际成本：项目实施单位如期、保质、保量完成既定工作目标实际所耗费的支出。</w:t>
            </w:r>
            <w:r>
              <w:rPr>
                <w:rFonts w:hint="eastAsia" w:ascii="宋体" w:cs="宋体"/>
                <w:color w:val="000000"/>
                <w:kern w:val="0"/>
                <w:sz w:val="18"/>
                <w:szCs w:val="18"/>
              </w:rPr>
              <w:br w:type="textWrapping"/>
            </w:r>
            <w:r>
              <w:rPr>
                <w:rFonts w:hint="eastAsia" w:ascii="宋体" w:cs="宋体"/>
                <w:color w:val="000000"/>
                <w:kern w:val="0"/>
                <w:sz w:val="18"/>
                <w:szCs w:val="18"/>
              </w:rPr>
              <w:t>计划成本：项目实施单位为完成工作目标计划安排的支出，一般以项目预算为参考。</w:t>
            </w:r>
          </w:p>
        </w:tc>
        <w:tc>
          <w:tcPr>
            <w:tcW w:w="512"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10</w:t>
            </w:r>
          </w:p>
        </w:tc>
        <w:tc>
          <w:tcPr>
            <w:tcW w:w="537"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效益　</w:t>
            </w:r>
          </w:p>
        </w:tc>
        <w:tc>
          <w:tcPr>
            <w:tcW w:w="302"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项目效益　</w:t>
            </w:r>
          </w:p>
        </w:tc>
        <w:tc>
          <w:tcPr>
            <w:tcW w:w="3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实施效益</w:t>
            </w:r>
          </w:p>
        </w:tc>
        <w:tc>
          <w:tcPr>
            <w:tcW w:w="92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18"/>
                <w:szCs w:val="18"/>
              </w:rPr>
            </w:pPr>
            <w:r>
              <w:rPr>
                <w:rFonts w:hint="eastAsia" w:ascii="宋体" w:cs="宋体"/>
                <w:color w:val="000000"/>
                <w:kern w:val="0"/>
                <w:sz w:val="18"/>
                <w:szCs w:val="18"/>
              </w:rPr>
              <w:t>项目实施所产生的效益。</w:t>
            </w:r>
          </w:p>
        </w:tc>
        <w:tc>
          <w:tcPr>
            <w:tcW w:w="20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项目实施所产生的社会效益、经济效益、生态效益、可持续影响等。可根据项目实际情况有选择地设置和细化。</w:t>
            </w:r>
          </w:p>
        </w:tc>
        <w:tc>
          <w:tcPr>
            <w:tcW w:w="51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30</w:t>
            </w:r>
          </w:p>
        </w:tc>
        <w:tc>
          <w:tcPr>
            <w:tcW w:w="53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26.5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textAlignment w:val="auto"/>
              <w:rPr>
                <w:sz w:val="18"/>
                <w:szCs w:val="18"/>
              </w:rPr>
            </w:pPr>
          </w:p>
        </w:tc>
        <w:tc>
          <w:tcPr>
            <w:tcW w:w="302"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textAlignment w:val="auto"/>
              <w:rPr>
                <w:sz w:val="18"/>
                <w:szCs w:val="18"/>
              </w:rPr>
            </w:pPr>
          </w:p>
        </w:tc>
        <w:tc>
          <w:tcPr>
            <w:tcW w:w="3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cs="宋体"/>
                <w:color w:val="000000"/>
                <w:kern w:val="0"/>
                <w:sz w:val="18"/>
                <w:szCs w:val="18"/>
              </w:rPr>
              <w:t>满意度</w:t>
            </w:r>
          </w:p>
        </w:tc>
        <w:tc>
          <w:tcPr>
            <w:tcW w:w="927"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社会公众或服务对象对项目实施效果的满意程度。</w:t>
            </w:r>
          </w:p>
        </w:tc>
        <w:tc>
          <w:tcPr>
            <w:tcW w:w="2044"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hint="eastAsia" w:ascii="宋体" w:cs="宋体"/>
                <w:color w:val="000000"/>
                <w:kern w:val="0"/>
                <w:sz w:val="18"/>
                <w:szCs w:val="18"/>
              </w:rPr>
              <w:t>社会公众或服务对象是指因该项目实施而受到影响的部门（单位）、群体或个人。一般采取社会调查的方式。</w:t>
            </w:r>
          </w:p>
        </w:tc>
        <w:tc>
          <w:tcPr>
            <w:tcW w:w="512"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10</w:t>
            </w:r>
          </w:p>
        </w:tc>
        <w:tc>
          <w:tcPr>
            <w:tcW w:w="537"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18"/>
                <w:szCs w:val="18"/>
              </w:rPr>
            </w:pPr>
            <w:r>
              <w:rPr>
                <w:rFonts w:ascii="宋体" w:cs="宋体"/>
                <w:color w:val="000000"/>
                <w:kern w:val="0"/>
                <w:sz w:val="18"/>
                <w:szCs w:val="18"/>
              </w:rPr>
              <w:t>9</w:t>
            </w:r>
          </w:p>
        </w:tc>
      </w:tr>
    </w:tbl>
    <w:p>
      <w:pPr>
        <w:spacing w:line="540" w:lineRule="exact"/>
        <w:rPr>
          <w:rStyle w:val="20"/>
          <w:rFonts w:ascii="仿宋" w:eastAsia="仿宋"/>
          <w:b w:val="0"/>
          <w:spacing w:val="-4"/>
          <w:sz w:val="32"/>
          <w:szCs w:val="32"/>
        </w:rPr>
      </w:pPr>
    </w:p>
    <w:sectPr>
      <w:pgSz w:w="16838" w:h="11906" w:orient="landscape"/>
      <w:pgMar w:top="1800" w:right="1440" w:bottom="1558"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43195105"/>
    </w:sdtPr>
    <w:sdtContent>
      <w:p>
        <w:pPr>
          <w:pStyle w:val="14"/>
          <w:jc w:val="center"/>
        </w:pPr>
        <w:r>
          <w:fldChar w:fldCharType="begin"/>
        </w:r>
        <w:r>
          <w:instrText xml:space="preserve">PAGE   \* MERGEFORMAT</w:instrText>
        </w:r>
        <w:r>
          <w:fldChar w:fldCharType="separate"/>
        </w:r>
        <w:r>
          <w:rPr>
            <w:lang w:val="zh-CN"/>
          </w:rPr>
          <w:t>1</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pPr>
        <w:tabs>
          <w:tab w:val="left" w:pos="0"/>
        </w:tabs>
        <w:ind w:left="0" w:firstLine="0"/>
      </w:pPr>
    </w:lvl>
  </w:abstractNum>
  <w:abstractNum w:abstractNumId="1">
    <w:nsid w:val="EE5C6BF8"/>
    <w:multiLevelType w:val="singleLevel"/>
    <w:tmpl w:val="EE5C6BF8"/>
    <w:lvl w:ilvl="0" w:tentative="0">
      <w:start w:val="2"/>
      <w:numFmt w:val="decimal"/>
      <w:suff w:val="nothing"/>
      <w:lvlText w:val="%1、"/>
      <w:lvlJc w:val="left"/>
      <w:pPr>
        <w:tabs>
          <w:tab w:val="left" w:pos="0"/>
        </w:tabs>
        <w:ind w:left="0" w:firstLine="0"/>
      </w:pPr>
    </w:lvl>
  </w:abstractNum>
  <w:abstractNum w:abstractNumId="2">
    <w:nsid w:val="F40CD3B3"/>
    <w:multiLevelType w:val="multilevel"/>
    <w:tmpl w:val="F40CD3B3"/>
    <w:lvl w:ilvl="0" w:tentative="0">
      <w:start w:val="1"/>
      <w:numFmt w:val="chineseCountingThousand"/>
      <w:lvlText w:val="（%1）"/>
      <w:legacy w:legacy="1" w:legacySpace="0" w:legacyIndent="969"/>
      <w:lvlJc w:val="left"/>
      <w:pPr>
        <w:ind w:left="1289" w:hanging="969"/>
      </w:pPr>
      <w:rPr>
        <w:rFonts w:hint="default" w:ascii="楷体_GB2312" w:hAnsi="楷体_GB2312" w:eastAsia="楷体_GB2312" w:cs="楷体_GB2312"/>
      </w:rPr>
    </w:lvl>
    <w:lvl w:ilvl="1" w:tentative="0">
      <w:start w:val="1"/>
      <w:numFmt w:val="lowerLetter"/>
      <w:lvlText w:val="%2)"/>
      <w:legacy w:legacy="1" w:legacySpace="0" w:legacyIndent="420"/>
      <w:lvlJc w:val="left"/>
      <w:pPr>
        <w:ind w:left="1160" w:hanging="420"/>
      </w:pPr>
    </w:lvl>
    <w:lvl w:ilvl="2" w:tentative="0">
      <w:start w:val="1"/>
      <w:numFmt w:val="lowerRoman"/>
      <w:lvlText w:val="%3."/>
      <w:legacy w:legacy="1" w:legacySpace="0" w:legacyIndent="420"/>
      <w:lvlJc w:val="right"/>
      <w:pPr>
        <w:ind w:left="1580" w:hanging="420"/>
      </w:pPr>
    </w:lvl>
    <w:lvl w:ilvl="3" w:tentative="0">
      <w:start w:val="1"/>
      <w:numFmt w:val="decimal"/>
      <w:lvlText w:val="%4."/>
      <w:legacy w:legacy="1" w:legacySpace="0" w:legacyIndent="420"/>
      <w:lvlJc w:val="left"/>
      <w:pPr>
        <w:ind w:left="2000" w:hanging="420"/>
      </w:pPr>
    </w:lvl>
    <w:lvl w:ilvl="4" w:tentative="0">
      <w:start w:val="1"/>
      <w:numFmt w:val="lowerLetter"/>
      <w:lvlText w:val="%5)"/>
      <w:legacy w:legacy="1" w:legacySpace="0" w:legacyIndent="420"/>
      <w:lvlJc w:val="left"/>
      <w:pPr>
        <w:ind w:left="2420" w:hanging="420"/>
      </w:pPr>
    </w:lvl>
    <w:lvl w:ilvl="5" w:tentative="0">
      <w:start w:val="1"/>
      <w:numFmt w:val="lowerRoman"/>
      <w:lvlText w:val="%6."/>
      <w:legacy w:legacy="1" w:legacySpace="0" w:legacyIndent="420"/>
      <w:lvlJc w:val="right"/>
      <w:pPr>
        <w:ind w:left="2840" w:hanging="420"/>
      </w:pPr>
    </w:lvl>
    <w:lvl w:ilvl="6" w:tentative="0">
      <w:start w:val="1"/>
      <w:numFmt w:val="decimal"/>
      <w:lvlText w:val="%7."/>
      <w:legacy w:legacy="1" w:legacySpace="0" w:legacyIndent="420"/>
      <w:lvlJc w:val="left"/>
      <w:pPr>
        <w:ind w:left="3260" w:hanging="420"/>
      </w:pPr>
    </w:lvl>
    <w:lvl w:ilvl="7" w:tentative="0">
      <w:start w:val="1"/>
      <w:numFmt w:val="lowerLetter"/>
      <w:lvlText w:val="%8)"/>
      <w:legacy w:legacy="1" w:legacySpace="0" w:legacyIndent="420"/>
      <w:lvlJc w:val="left"/>
      <w:pPr>
        <w:ind w:left="3680" w:hanging="420"/>
      </w:pPr>
    </w:lvl>
    <w:lvl w:ilvl="8" w:tentative="0">
      <w:start w:val="1"/>
      <w:numFmt w:val="lowerRoman"/>
      <w:lvlText w:val="%9."/>
      <w:legacy w:legacy="1" w:legacySpace="0" w:legacyIndent="420"/>
      <w:lvlJc w:val="right"/>
      <w:pPr>
        <w:ind w:left="4100" w:hanging="420"/>
      </w:pPr>
    </w:lvl>
  </w:abstractNum>
  <w:abstractNum w:abstractNumId="3">
    <w:nsid w:val="FF4BB6DE"/>
    <w:multiLevelType w:val="singleLevel"/>
    <w:tmpl w:val="FF4BB6DE"/>
    <w:lvl w:ilvl="0" w:tentative="0">
      <w:start w:val="1"/>
      <w:numFmt w:val="decimal"/>
      <w:suff w:val="nothing"/>
      <w:lvlText w:val="%1、"/>
      <w:lvlJc w:val="left"/>
      <w:pPr>
        <w:tabs>
          <w:tab w:val="left" w:pos="0"/>
        </w:tabs>
        <w:ind w:left="0" w:firstLine="0"/>
      </w:pPr>
    </w:lvl>
  </w:abstractNum>
  <w:abstractNum w:abstractNumId="4">
    <w:nsid w:val="FF9379A8"/>
    <w:multiLevelType w:val="singleLevel"/>
    <w:tmpl w:val="FF9379A8"/>
    <w:lvl w:ilvl="0" w:tentative="0">
      <w:start w:val="2"/>
      <w:numFmt w:val="chineseCounting"/>
      <w:suff w:val="nothing"/>
      <w:lvlText w:val="（%1）"/>
      <w:lvlJc w:val="left"/>
      <w:pPr>
        <w:tabs>
          <w:tab w:val="left" w:pos="0"/>
        </w:tabs>
        <w:ind w:left="0" w:firstLine="0"/>
      </w:pPr>
      <w:rPr>
        <w:rFonts w:hint="eastAsia"/>
      </w:rPr>
    </w:lvl>
  </w:abstractNum>
  <w:abstractNum w:abstractNumId="5">
    <w:nsid w:val="116B29BF"/>
    <w:multiLevelType w:val="singleLevel"/>
    <w:tmpl w:val="116B29BF"/>
    <w:lvl w:ilvl="0" w:tentative="0">
      <w:start w:val="3"/>
      <w:numFmt w:val="chineseCounting"/>
      <w:suff w:val="nothing"/>
      <w:lvlText w:val="%1、"/>
      <w:lvlJc w:val="left"/>
      <w:pPr>
        <w:tabs>
          <w:tab w:val="left" w:pos="0"/>
        </w:tabs>
        <w:ind w:left="0" w:firstLine="0"/>
      </w:pPr>
      <w:rPr>
        <w:rFonts w:hint="eastAsia"/>
      </w:rPr>
    </w:lvl>
  </w:abstractNum>
  <w:abstractNum w:abstractNumId="6">
    <w:nsid w:val="65733659"/>
    <w:multiLevelType w:val="multilevel"/>
    <w:tmpl w:val="65733659"/>
    <w:lvl w:ilvl="0" w:tentative="0">
      <w:start w:val="6"/>
      <w:numFmt w:val="japaneseCounting"/>
      <w:lvlText w:val="%1、"/>
      <w:lvlJc w:val="left"/>
      <w:pPr>
        <w:tabs>
          <w:tab w:val="left" w:pos="0"/>
        </w:tabs>
        <w:ind w:left="720" w:hanging="720"/>
      </w:pPr>
      <w:rPr>
        <w:rFonts w:hint="default" w:ascii="Cambria" w:hAnsi="Cambria" w:eastAsia="宋体"/>
        <w:b/>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1"/>
  </w:num>
  <w:num w:numId="2">
    <w:abstractNumId w:val="0"/>
  </w:num>
  <w:num w:numId="3">
    <w:abstractNumId w:val="5"/>
  </w:num>
  <w:num w:numId="4">
    <w:abstractNumId w:val="2"/>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02E13"/>
    <w:rsid w:val="005846CA"/>
    <w:rsid w:val="005D04E1"/>
    <w:rsid w:val="00813A6E"/>
    <w:rsid w:val="00D02E13"/>
    <w:rsid w:val="00DF0193"/>
    <w:rsid w:val="01E10A3A"/>
    <w:rsid w:val="0FC166E6"/>
    <w:rsid w:val="1CE4105F"/>
    <w:rsid w:val="2FB12BC6"/>
    <w:rsid w:val="41616ECE"/>
    <w:rsid w:val="45302343"/>
    <w:rsid w:val="54680323"/>
    <w:rsid w:val="6ACD1EA2"/>
    <w:rsid w:val="79643DBA"/>
    <w:rsid w:val="797B4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unhideWhenUsed="0" w:uiPriority="0" w:semiHidden="0" w:name="heading 7"/>
    <w:lsdException w:unhideWhenUsed="0" w:uiPriority="0" w:semiHidden="0" w:name="heading 8"/>
    <w:lsdException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0" w:semiHidden="0" w:name="Strong"/>
    <w:lsdException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39" w:semiHidden="0" w:name="Table Grid"/>
    <w:lsdException w:uiPriority="99" w:name="Table Theme"/>
    <w:lsdException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List Paragraph"/>
    <w:lsdException w:qFormat="1" w:unhideWhenUsed="0" w:uiPriority="0" w:semiHidden="0" w:name="Quote"/>
    <w:lsdException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widowControl/>
      <w:spacing w:before="240" w:after="60"/>
      <w:jc w:val="left"/>
      <w:outlineLvl w:val="0"/>
    </w:pPr>
    <w:rPr>
      <w:rFonts w:ascii="Cambria" w:hAnsi="Cambria"/>
      <w:b/>
      <w:bCs/>
      <w:kern w:val="32"/>
      <w:sz w:val="32"/>
      <w:szCs w:val="32"/>
    </w:rPr>
  </w:style>
  <w:style w:type="paragraph" w:styleId="4">
    <w:name w:val="heading 2"/>
    <w:basedOn w:val="1"/>
    <w:next w:val="1"/>
    <w:unhideWhenUsed/>
    <w:qFormat/>
    <w:uiPriority w:val="9"/>
    <w:pPr>
      <w:keepNext/>
      <w:widowControl/>
      <w:spacing w:before="240" w:after="60"/>
      <w:jc w:val="left"/>
      <w:outlineLvl w:val="1"/>
    </w:pPr>
    <w:rPr>
      <w:rFonts w:ascii="Cambria" w:hAnsi="Cambria"/>
      <w:b/>
      <w:bCs/>
      <w:i/>
      <w:iCs/>
      <w:kern w:val="0"/>
      <w:sz w:val="28"/>
      <w:szCs w:val="28"/>
    </w:rPr>
  </w:style>
  <w:style w:type="paragraph" w:styleId="5">
    <w:name w:val="heading 3"/>
    <w:basedOn w:val="1"/>
    <w:next w:val="1"/>
    <w:unhideWhenUsed/>
    <w:qFormat/>
    <w:uiPriority w:val="9"/>
    <w:pPr>
      <w:keepNext/>
      <w:widowControl/>
      <w:spacing w:before="240" w:after="60"/>
      <w:jc w:val="left"/>
      <w:outlineLvl w:val="2"/>
    </w:pPr>
    <w:rPr>
      <w:rFonts w:ascii="Cambria" w:hAnsi="Cambria"/>
      <w:b/>
      <w:bCs/>
      <w:kern w:val="0"/>
      <w:sz w:val="26"/>
      <w:szCs w:val="26"/>
    </w:rPr>
  </w:style>
  <w:style w:type="paragraph" w:styleId="6">
    <w:name w:val="heading 4"/>
    <w:basedOn w:val="1"/>
    <w:next w:val="1"/>
    <w:semiHidden/>
    <w:unhideWhenUsed/>
    <w:qFormat/>
    <w:uiPriority w:val="9"/>
    <w:pPr>
      <w:keepNext/>
      <w:widowControl/>
      <w:spacing w:before="240" w:after="60"/>
      <w:jc w:val="left"/>
      <w:outlineLvl w:val="3"/>
    </w:pPr>
    <w:rPr>
      <w:rFonts w:ascii="Calibri" w:hAnsi="Calibri"/>
      <w:b/>
      <w:bCs/>
      <w:kern w:val="0"/>
      <w:sz w:val="28"/>
      <w:szCs w:val="28"/>
    </w:rPr>
  </w:style>
  <w:style w:type="paragraph" w:styleId="7">
    <w:name w:val="heading 5"/>
    <w:basedOn w:val="1"/>
    <w:next w:val="1"/>
    <w:semiHidden/>
    <w:unhideWhenUsed/>
    <w:qFormat/>
    <w:uiPriority w:val="9"/>
    <w:pPr>
      <w:widowControl/>
      <w:spacing w:before="240" w:after="60"/>
      <w:jc w:val="left"/>
      <w:outlineLvl w:val="4"/>
    </w:pPr>
    <w:rPr>
      <w:rFonts w:ascii="Calibri" w:hAnsi="Calibri"/>
      <w:b/>
      <w:bCs/>
      <w:i/>
      <w:iCs/>
      <w:kern w:val="0"/>
      <w:sz w:val="26"/>
      <w:szCs w:val="26"/>
    </w:rPr>
  </w:style>
  <w:style w:type="paragraph" w:styleId="8">
    <w:name w:val="heading 6"/>
    <w:basedOn w:val="1"/>
    <w:next w:val="1"/>
    <w:semiHidden/>
    <w:unhideWhenUsed/>
    <w:qFormat/>
    <w:uiPriority w:val="9"/>
    <w:pPr>
      <w:widowControl/>
      <w:spacing w:before="240" w:after="60"/>
      <w:jc w:val="left"/>
      <w:outlineLvl w:val="5"/>
    </w:pPr>
    <w:rPr>
      <w:rFonts w:ascii="Calibri" w:hAnsi="Calibri"/>
      <w:b/>
      <w:bCs/>
      <w:kern w:val="0"/>
      <w:sz w:val="22"/>
      <w:szCs w:val="22"/>
    </w:rPr>
  </w:style>
  <w:style w:type="paragraph" w:styleId="9">
    <w:name w:val="heading 7"/>
    <w:basedOn w:val="1"/>
    <w:next w:val="1"/>
    <w:uiPriority w:val="0"/>
    <w:pPr>
      <w:widowControl/>
      <w:spacing w:before="240" w:after="60"/>
      <w:jc w:val="left"/>
      <w:outlineLvl w:val="6"/>
    </w:pPr>
    <w:rPr>
      <w:rFonts w:ascii="Calibri" w:hAnsi="Calibri"/>
      <w:kern w:val="0"/>
      <w:sz w:val="24"/>
    </w:rPr>
  </w:style>
  <w:style w:type="paragraph" w:styleId="10">
    <w:name w:val="heading 8"/>
    <w:basedOn w:val="1"/>
    <w:next w:val="1"/>
    <w:uiPriority w:val="0"/>
    <w:pPr>
      <w:widowControl/>
      <w:spacing w:before="240" w:after="60"/>
      <w:jc w:val="left"/>
      <w:outlineLvl w:val="7"/>
    </w:pPr>
    <w:rPr>
      <w:rFonts w:ascii="Calibri" w:hAnsi="Calibri"/>
      <w:i/>
      <w:iCs/>
      <w:kern w:val="0"/>
      <w:sz w:val="24"/>
    </w:rPr>
  </w:style>
  <w:style w:type="paragraph" w:styleId="11">
    <w:name w:val="heading 9"/>
    <w:basedOn w:val="1"/>
    <w:next w:val="1"/>
    <w:uiPriority w:val="0"/>
    <w:pPr>
      <w:widowControl/>
      <w:spacing w:before="240" w:after="60"/>
      <w:jc w:val="left"/>
      <w:outlineLvl w:val="8"/>
    </w:pPr>
    <w:rPr>
      <w:rFonts w:ascii="Cambria" w:hAnsi="Cambria"/>
      <w:kern w:val="0"/>
      <w:sz w:val="22"/>
      <w:szCs w:val="22"/>
    </w:rPr>
  </w:style>
  <w:style w:type="character" w:default="1" w:styleId="19">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Cambria" w:hAnsi="Cambria"/>
      <w:b/>
      <w:bCs/>
      <w:kern w:val="28"/>
      <w:sz w:val="32"/>
      <w:szCs w:val="32"/>
    </w:rPr>
  </w:style>
  <w:style w:type="paragraph" w:styleId="12">
    <w:name w:val="Body Text"/>
    <w:basedOn w:val="1"/>
    <w:qFormat/>
    <w:uiPriority w:val="0"/>
    <w:pPr>
      <w:spacing w:after="120"/>
    </w:pPr>
  </w:style>
  <w:style w:type="paragraph" w:styleId="13">
    <w:name w:val="Balloon Text"/>
    <w:basedOn w:val="1"/>
    <w:uiPriority w:val="0"/>
    <w:rPr>
      <w:sz w:val="18"/>
      <w:szCs w:val="18"/>
    </w:rPr>
  </w:style>
  <w:style w:type="paragraph" w:styleId="14">
    <w:name w:val="footer"/>
    <w:basedOn w:val="1"/>
    <w:uiPriority w:val="0"/>
    <w:pPr>
      <w:tabs>
        <w:tab w:val="center" w:pos="4153"/>
        <w:tab w:val="right" w:pos="8306"/>
      </w:tabs>
      <w:snapToGrid w:val="0"/>
      <w:jc w:val="left"/>
    </w:pPr>
    <w:rPr>
      <w:rFonts w:ascii="Calibri" w:hAnsi="Calibri"/>
      <w:sz w:val="18"/>
      <w:szCs w:val="18"/>
    </w:rPr>
  </w:style>
  <w:style w:type="paragraph" w:styleId="15">
    <w:name w:val="header"/>
    <w:basedOn w:val="1"/>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qFormat/>
    <w:uiPriority w:val="11"/>
    <w:pPr>
      <w:widowControl/>
      <w:spacing w:after="60"/>
      <w:jc w:val="center"/>
      <w:outlineLvl w:val="1"/>
    </w:pPr>
    <w:rPr>
      <w:rFonts w:ascii="Cambria" w:hAnsi="Cambria"/>
      <w:kern w:val="0"/>
      <w:sz w:val="24"/>
    </w:rPr>
  </w:style>
  <w:style w:type="paragraph" w:styleId="17">
    <w:name w:val="Body Text First Indent"/>
    <w:basedOn w:val="12"/>
    <w:uiPriority w:val="0"/>
    <w:pPr>
      <w:spacing w:after="0"/>
      <w:ind w:firstLine="200" w:firstLineChars="200"/>
    </w:pPr>
  </w:style>
  <w:style w:type="character" w:styleId="20">
    <w:name w:val="Strong"/>
    <w:basedOn w:val="19"/>
    <w:uiPriority w:val="0"/>
    <w:rPr>
      <w:b/>
      <w:bCs/>
    </w:rPr>
  </w:style>
  <w:style w:type="character" w:styleId="21">
    <w:name w:val="Emphasis"/>
    <w:basedOn w:val="19"/>
    <w:uiPriority w:val="0"/>
    <w:rPr>
      <w:rFonts w:ascii="Calibri" w:hAnsi="Calibri"/>
      <w:b/>
      <w:i/>
      <w:iCs/>
    </w:rPr>
  </w:style>
  <w:style w:type="paragraph" w:styleId="22">
    <w:name w:val="No Spacing"/>
    <w:basedOn w:val="1"/>
    <w:uiPriority w:val="0"/>
    <w:pPr>
      <w:widowControl/>
      <w:jc w:val="left"/>
    </w:pPr>
    <w:rPr>
      <w:rFonts w:ascii="Calibri" w:hAnsi="Calibri"/>
      <w:kern w:val="0"/>
      <w:sz w:val="24"/>
      <w:szCs w:val="32"/>
      <w:lang w:bidi="en-US"/>
    </w:rPr>
  </w:style>
  <w:style w:type="paragraph" w:styleId="23">
    <w:name w:val="List Paragraph"/>
    <w:basedOn w:val="1"/>
    <w:uiPriority w:val="0"/>
    <w:pPr>
      <w:widowControl/>
      <w:ind w:left="720"/>
      <w:contextualSpacing/>
      <w:jc w:val="left"/>
    </w:pPr>
    <w:rPr>
      <w:rFonts w:ascii="Calibri" w:hAnsi="Calibri"/>
      <w:kern w:val="0"/>
      <w:sz w:val="24"/>
      <w:lang w:bidi="en-US"/>
    </w:rPr>
  </w:style>
  <w:style w:type="paragraph" w:styleId="24">
    <w:name w:val="Quote"/>
    <w:basedOn w:val="1"/>
    <w:next w:val="1"/>
    <w:qFormat/>
    <w:uiPriority w:val="0"/>
    <w:pPr>
      <w:widowControl/>
      <w:jc w:val="left"/>
    </w:pPr>
    <w:rPr>
      <w:rFonts w:ascii="Calibri" w:hAnsi="Calibri"/>
      <w:i/>
      <w:kern w:val="0"/>
      <w:sz w:val="24"/>
    </w:rPr>
  </w:style>
  <w:style w:type="paragraph" w:styleId="25">
    <w:name w:val="Intense Quote"/>
    <w:basedOn w:val="1"/>
    <w:next w:val="1"/>
    <w:uiPriority w:val="0"/>
    <w:pPr>
      <w:widowControl/>
      <w:ind w:left="720" w:right="720"/>
      <w:jc w:val="left"/>
    </w:pPr>
    <w:rPr>
      <w:rFonts w:ascii="Calibri" w:hAnsi="Calibri"/>
      <w:b/>
      <w:i/>
      <w:kern w:val="0"/>
      <w:sz w:val="24"/>
      <w:szCs w:val="22"/>
    </w:rPr>
  </w:style>
  <w:style w:type="character" w:customStyle="1" w:styleId="26">
    <w:name w:val="不明显强调1"/>
    <w:qFormat/>
    <w:uiPriority w:val="0"/>
    <w:rPr>
      <w:i/>
      <w:color w:val="595959"/>
    </w:rPr>
  </w:style>
  <w:style w:type="character" w:customStyle="1" w:styleId="27">
    <w:name w:val="明显强调1"/>
    <w:basedOn w:val="19"/>
    <w:uiPriority w:val="0"/>
    <w:rPr>
      <w:b/>
      <w:i/>
      <w:sz w:val="24"/>
      <w:szCs w:val="24"/>
      <w:u w:val="single"/>
    </w:rPr>
  </w:style>
  <w:style w:type="character" w:customStyle="1" w:styleId="28">
    <w:name w:val="不明显参考1"/>
    <w:basedOn w:val="19"/>
    <w:uiPriority w:val="0"/>
    <w:rPr>
      <w:sz w:val="24"/>
      <w:szCs w:val="24"/>
      <w:u w:val="single"/>
    </w:rPr>
  </w:style>
  <w:style w:type="character" w:customStyle="1" w:styleId="29">
    <w:name w:val="明显参考1"/>
    <w:basedOn w:val="19"/>
    <w:qFormat/>
    <w:uiPriority w:val="0"/>
    <w:rPr>
      <w:b/>
      <w:sz w:val="24"/>
      <w:u w:val="single"/>
    </w:rPr>
  </w:style>
  <w:style w:type="character" w:customStyle="1" w:styleId="30">
    <w:name w:val="书籍标题1"/>
    <w:basedOn w:val="19"/>
    <w:qFormat/>
    <w:uiPriority w:val="0"/>
    <w:rPr>
      <w:rFonts w:ascii="Cambria" w:hAnsi="Cambria" w:eastAsia="宋体"/>
      <w:b/>
      <w:i/>
      <w:sz w:val="24"/>
      <w:szCs w:val="24"/>
    </w:rPr>
  </w:style>
  <w:style w:type="paragraph" w:customStyle="1" w:styleId="31">
    <w:name w:val="TOC 标题1"/>
    <w:basedOn w:val="3"/>
    <w:next w:val="1"/>
    <w:uiPriority w:val="0"/>
    <w:pPr>
      <w:outlineLvl w:val="9"/>
    </w:pPr>
    <w:rPr>
      <w:lang w:bidi="en-US"/>
    </w:rPr>
  </w:style>
  <w:style w:type="paragraph" w:customStyle="1" w:styleId="32">
    <w:name w:val="Heading2"/>
    <w:next w:val="1"/>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33">
    <w:name w:val="fontstyle01"/>
    <w:uiPriority w:val="0"/>
    <w:rPr>
      <w:rFonts w:asci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1271</Words>
  <Characters>7245</Characters>
  <Lines>60</Lines>
  <Paragraphs>16</Paragraphs>
  <TotalTime>1</TotalTime>
  <ScaleCrop>false</ScaleCrop>
  <LinksUpToDate>false</LinksUpToDate>
  <CharactersWithSpaces>8500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2025-09-08T09:48:56Z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3A74844F277C4964A8C1D6E1FF049EA0</vt:lpwstr>
  </property>
</Properties>
</file>