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jc w:val="center"/>
        <w:rPr>
          <w:rFonts w:hint="eastAsia" w:ascii="仿宋" w:hAnsi="仿宋" w:eastAsia="仿宋" w:cs="仿宋"/>
          <w:b/>
          <w:bCs/>
          <w:sz w:val="32"/>
          <w:szCs w:val="32"/>
        </w:rPr>
      </w:pPr>
    </w:p>
    <w:p>
      <w:pPr>
        <w:contextualSpacing/>
        <w:jc w:val="center"/>
        <w:rPr>
          <w:rFonts w:hint="eastAsia" w:ascii="仿宋" w:hAnsi="仿宋" w:eastAsia="仿宋" w:cs="仿宋"/>
          <w:b/>
          <w:bCs/>
          <w:sz w:val="32"/>
          <w:szCs w:val="32"/>
        </w:rPr>
      </w:pPr>
    </w:p>
    <w:p>
      <w:pPr>
        <w:contextualSpacing/>
        <w:jc w:val="center"/>
        <w:rPr>
          <w:rFonts w:hint="eastAsia" w:ascii="方正小标宋简体" w:hAnsi="方正小标宋简体" w:eastAsia="方正小标宋简体" w:cs="方正小标宋简体"/>
          <w:b/>
          <w:bCs/>
          <w:sz w:val="44"/>
          <w:szCs w:val="44"/>
        </w:rPr>
      </w:pPr>
    </w:p>
    <w:p>
      <w:pPr>
        <w:contextualSpacing/>
        <w:jc w:val="center"/>
        <w:rPr>
          <w:rFonts w:hint="eastAsia" w:ascii="方正小标宋简体" w:hAnsi="方正小标宋简体" w:eastAsia="方正小标宋简体" w:cs="方正小标宋简体"/>
          <w:b/>
          <w:bCs/>
          <w:sz w:val="48"/>
          <w:szCs w:val="48"/>
        </w:rPr>
      </w:pPr>
      <w:r>
        <w:rPr>
          <w:rFonts w:hint="eastAsia" w:ascii="方正小标宋简体" w:hAnsi="方正小标宋简体" w:eastAsia="方正小标宋简体" w:cs="方正小标宋简体"/>
          <w:b/>
          <w:bCs/>
          <w:sz w:val="48"/>
          <w:szCs w:val="48"/>
          <w:lang w:eastAsia="zh-CN"/>
        </w:rPr>
        <w:t>塔城</w:t>
      </w:r>
      <w:r>
        <w:rPr>
          <w:rFonts w:hint="eastAsia" w:ascii="方正小标宋简体" w:hAnsi="方正小标宋简体" w:eastAsia="方正小标宋简体" w:cs="方正小标宋简体"/>
          <w:b/>
          <w:bCs/>
          <w:sz w:val="48"/>
          <w:szCs w:val="48"/>
        </w:rPr>
        <w:t>地区</w:t>
      </w:r>
      <w:r>
        <w:rPr>
          <w:rFonts w:hint="eastAsia" w:ascii="方正小标宋简体" w:hAnsi="方正小标宋简体" w:eastAsia="方正小标宋简体" w:cs="方正小标宋简体"/>
          <w:b/>
          <w:bCs/>
          <w:sz w:val="48"/>
          <w:szCs w:val="48"/>
          <w:lang w:eastAsia="zh-CN"/>
        </w:rPr>
        <w:t>教育督导经费</w:t>
      </w:r>
      <w:r>
        <w:rPr>
          <w:rFonts w:hint="eastAsia" w:ascii="方正小标宋简体" w:hAnsi="方正小标宋简体" w:eastAsia="方正小标宋简体" w:cs="方正小标宋简体"/>
          <w:b/>
          <w:bCs/>
          <w:sz w:val="48"/>
          <w:szCs w:val="48"/>
        </w:rPr>
        <w:t>项目支出</w:t>
      </w:r>
    </w:p>
    <w:p>
      <w:pPr>
        <w:contextualSpacing/>
        <w:jc w:val="center"/>
        <w:rPr>
          <w:rFonts w:hint="eastAsia" w:ascii="方正小标宋简体" w:hAnsi="方正小标宋简体" w:eastAsia="方正小标宋简体" w:cs="方正小标宋简体"/>
          <w:b/>
          <w:bCs/>
          <w:sz w:val="48"/>
          <w:szCs w:val="48"/>
        </w:rPr>
      </w:pPr>
      <w:r>
        <w:rPr>
          <w:rFonts w:hint="eastAsia" w:ascii="方正小标宋简体" w:hAnsi="方正小标宋简体" w:eastAsia="方正小标宋简体" w:cs="方正小标宋简体"/>
          <w:b/>
          <w:bCs/>
          <w:sz w:val="48"/>
          <w:szCs w:val="48"/>
        </w:rPr>
        <w:t xml:space="preserve">绩效评价报告 </w:t>
      </w:r>
    </w:p>
    <w:p>
      <w:pPr>
        <w:ind w:firstLine="960" w:firstLineChars="200"/>
        <w:contextualSpacing/>
        <w:jc w:val="center"/>
        <w:rPr>
          <w:rFonts w:hint="eastAsia" w:ascii="仿宋" w:hAnsi="仿宋" w:eastAsia="仿宋" w:cs="仿宋"/>
          <w:sz w:val="48"/>
          <w:szCs w:val="48"/>
        </w:rPr>
      </w:pPr>
    </w:p>
    <w:p>
      <w:pPr>
        <w:ind w:firstLine="720" w:firstLineChars="200"/>
        <w:contextualSpacing/>
        <w:jc w:val="center"/>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b/>
          <w:bCs/>
          <w:sz w:val="36"/>
          <w:szCs w:val="36"/>
          <w:lang w:val="en-US" w:eastAsia="zh-CN"/>
        </w:rPr>
        <w:t>2020</w:t>
      </w:r>
      <w:r>
        <w:rPr>
          <w:rFonts w:hint="eastAsia" w:ascii="仿宋_GB2312" w:hAnsi="仿宋_GB2312" w:eastAsia="仿宋_GB2312" w:cs="仿宋_GB2312"/>
          <w:sz w:val="36"/>
          <w:szCs w:val="36"/>
          <w:lang w:val="en-US" w:eastAsia="zh-CN"/>
        </w:rPr>
        <w:t>年度</w:t>
      </w:r>
      <w:r>
        <w:rPr>
          <w:rFonts w:hint="eastAsia" w:ascii="仿宋_GB2312" w:hAnsi="仿宋_GB2312" w:eastAsia="仿宋_GB2312" w:cs="仿宋_GB2312"/>
          <w:sz w:val="36"/>
          <w:szCs w:val="36"/>
          <w:lang w:eastAsia="zh-CN"/>
        </w:rPr>
        <w:t>）</w:t>
      </w: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720" w:firstLineChars="200"/>
        <w:contextualSpacing/>
        <w:rPr>
          <w:rFonts w:hint="eastAsia" w:ascii="仿宋_GB2312" w:hAnsi="仿宋_GB2312" w:eastAsia="仿宋_GB2312" w:cs="仿宋_GB2312"/>
          <w:sz w:val="36"/>
          <w:szCs w:val="36"/>
        </w:rPr>
      </w:pPr>
    </w:p>
    <w:p>
      <w:pPr>
        <w:ind w:firstLine="1440" w:firstLineChars="400"/>
        <w:contextualSpacing/>
        <w:jc w:val="center"/>
        <w:rPr>
          <w:rFonts w:hint="eastAsia" w:ascii="仿宋_GB2312" w:hAnsi="仿宋_GB2312" w:eastAsia="仿宋_GB2312" w:cs="仿宋_GB2312"/>
          <w:b w:val="0"/>
          <w:bCs w:val="0"/>
          <w:sz w:val="36"/>
          <w:szCs w:val="36"/>
        </w:rPr>
      </w:pPr>
      <w:r>
        <w:rPr>
          <w:rFonts w:hint="eastAsia" w:ascii="仿宋_GB2312" w:hAnsi="仿宋_GB2312" w:eastAsia="仿宋_GB2312" w:cs="仿宋_GB2312"/>
          <w:b w:val="0"/>
          <w:bCs w:val="0"/>
          <w:sz w:val="36"/>
          <w:szCs w:val="36"/>
        </w:rPr>
        <w:t>项目名称：</w:t>
      </w:r>
      <w:r>
        <w:rPr>
          <w:rFonts w:hint="eastAsia" w:ascii="仿宋_GB2312" w:hAnsi="仿宋_GB2312" w:eastAsia="仿宋_GB2312" w:cs="仿宋_GB2312"/>
          <w:b w:val="0"/>
          <w:bCs w:val="0"/>
          <w:sz w:val="36"/>
          <w:szCs w:val="36"/>
          <w:lang w:eastAsia="zh-CN"/>
        </w:rPr>
        <w:t>塔城</w:t>
      </w:r>
      <w:r>
        <w:rPr>
          <w:rFonts w:hint="eastAsia" w:ascii="仿宋_GB2312" w:hAnsi="仿宋_GB2312" w:eastAsia="仿宋_GB2312" w:cs="仿宋_GB2312"/>
          <w:b w:val="0"/>
          <w:bCs w:val="0"/>
          <w:sz w:val="36"/>
          <w:szCs w:val="36"/>
        </w:rPr>
        <w:t>地区</w:t>
      </w:r>
      <w:r>
        <w:rPr>
          <w:rFonts w:hint="eastAsia" w:ascii="仿宋_GB2312" w:hAnsi="仿宋_GB2312" w:eastAsia="仿宋_GB2312" w:cs="仿宋_GB2312"/>
          <w:b w:val="0"/>
          <w:bCs w:val="0"/>
          <w:sz w:val="36"/>
          <w:szCs w:val="36"/>
          <w:lang w:eastAsia="zh-CN"/>
        </w:rPr>
        <w:t>教育督导经费</w:t>
      </w:r>
      <w:r>
        <w:rPr>
          <w:rFonts w:hint="eastAsia" w:ascii="仿宋_GB2312" w:hAnsi="仿宋_GB2312" w:eastAsia="仿宋_GB2312" w:cs="仿宋_GB2312"/>
          <w:b w:val="0"/>
          <w:bCs w:val="0"/>
          <w:sz w:val="36"/>
          <w:szCs w:val="36"/>
        </w:rPr>
        <w:t>项目</w:t>
      </w:r>
    </w:p>
    <w:p>
      <w:pPr>
        <w:ind w:firstLine="1440" w:firstLineChars="400"/>
        <w:contextualSpacing/>
        <w:jc w:val="center"/>
        <w:rPr>
          <w:rFonts w:hint="eastAsia" w:ascii="仿宋_GB2312" w:hAnsi="仿宋_GB2312" w:eastAsia="仿宋_GB2312" w:cs="仿宋_GB2312"/>
          <w:b w:val="0"/>
          <w:bCs w:val="0"/>
          <w:sz w:val="36"/>
          <w:szCs w:val="36"/>
          <w:lang w:eastAsia="zh-CN"/>
        </w:rPr>
      </w:pPr>
      <w:r>
        <w:rPr>
          <w:rFonts w:hint="eastAsia" w:ascii="仿宋_GB2312" w:hAnsi="仿宋_GB2312" w:eastAsia="仿宋_GB2312" w:cs="仿宋_GB2312"/>
          <w:b w:val="0"/>
          <w:bCs w:val="0"/>
          <w:sz w:val="36"/>
          <w:szCs w:val="36"/>
          <w:lang w:val="en-US" w:eastAsia="zh-CN"/>
        </w:rPr>
        <w:t xml:space="preserve">  </w:t>
      </w:r>
      <w:r>
        <w:rPr>
          <w:rFonts w:hint="eastAsia" w:ascii="仿宋_GB2312" w:hAnsi="仿宋_GB2312" w:eastAsia="仿宋_GB2312" w:cs="仿宋_GB2312"/>
          <w:b w:val="0"/>
          <w:bCs w:val="0"/>
          <w:sz w:val="36"/>
          <w:szCs w:val="36"/>
        </w:rPr>
        <w:t>项目实施单位：</w:t>
      </w:r>
      <w:r>
        <w:rPr>
          <w:rFonts w:hint="eastAsia" w:ascii="仿宋_GB2312" w:hAnsi="仿宋_GB2312" w:eastAsia="仿宋_GB2312" w:cs="仿宋_GB2312"/>
          <w:b w:val="0"/>
          <w:bCs w:val="0"/>
          <w:sz w:val="36"/>
          <w:szCs w:val="36"/>
          <w:lang w:eastAsia="zh-CN"/>
        </w:rPr>
        <w:t>行署教育督导委员会办公室</w:t>
      </w:r>
    </w:p>
    <w:p>
      <w:pPr>
        <w:pStyle w:val="24"/>
        <w:ind w:firstLine="1800" w:firstLineChars="500"/>
        <w:jc w:val="both"/>
        <w:rPr>
          <w:rFonts w:hint="eastAsia" w:ascii="仿宋_GB2312" w:hAnsi="仿宋_GB2312" w:eastAsia="仿宋_GB2312" w:cs="仿宋_GB2312"/>
          <w:sz w:val="36"/>
          <w:szCs w:val="36"/>
          <w:lang w:val="en-US" w:eastAsia="zh-CN"/>
        </w:rPr>
      </w:pPr>
      <w:r>
        <w:rPr>
          <w:rFonts w:hint="eastAsia" w:ascii="仿宋_GB2312" w:hAnsi="仿宋_GB2312" w:eastAsia="仿宋_GB2312" w:cs="仿宋_GB2312"/>
          <w:b w:val="0"/>
          <w:bCs w:val="0"/>
          <w:sz w:val="36"/>
          <w:szCs w:val="36"/>
          <w:lang w:eastAsia="zh-CN"/>
        </w:rPr>
        <w:t>主管单位：塔城地区教育局</w:t>
      </w:r>
    </w:p>
    <w:p>
      <w:pPr>
        <w:ind w:firstLine="1800" w:firstLineChars="500"/>
        <w:contextualSpacing/>
        <w:jc w:val="both"/>
        <w:rPr>
          <w:rFonts w:hint="eastAsia" w:ascii="仿宋_GB2312" w:hAnsi="仿宋_GB2312" w:eastAsia="仿宋_GB2312" w:cs="仿宋_GB2312"/>
          <w:b w:val="0"/>
          <w:bCs w:val="0"/>
          <w:sz w:val="36"/>
          <w:szCs w:val="36"/>
          <w:lang w:val="en-US" w:eastAsia="zh-CN"/>
        </w:rPr>
      </w:pPr>
      <w:r>
        <w:rPr>
          <w:rFonts w:hint="eastAsia" w:ascii="仿宋_GB2312" w:hAnsi="仿宋_GB2312" w:eastAsia="仿宋_GB2312" w:cs="仿宋_GB2312"/>
          <w:b w:val="0"/>
          <w:bCs w:val="0"/>
          <w:sz w:val="36"/>
          <w:szCs w:val="36"/>
        </w:rPr>
        <w:t>单位负责人：</w:t>
      </w:r>
      <w:r>
        <w:rPr>
          <w:rFonts w:hint="eastAsia" w:ascii="仿宋_GB2312" w:hAnsi="仿宋_GB2312" w:eastAsia="仿宋_GB2312" w:cs="仿宋_GB2312"/>
          <w:b w:val="0"/>
          <w:bCs w:val="0"/>
          <w:sz w:val="36"/>
          <w:szCs w:val="36"/>
          <w:lang w:eastAsia="zh-CN"/>
        </w:rPr>
        <w:t>努尔兰</w:t>
      </w:r>
      <w:r>
        <w:rPr>
          <w:rFonts w:hint="eastAsia" w:ascii="仿宋_GB2312" w:hAnsi="仿宋_GB2312" w:eastAsia="仿宋_GB2312" w:cs="仿宋_GB2312"/>
          <w:b w:val="0"/>
          <w:bCs w:val="0"/>
          <w:sz w:val="36"/>
          <w:szCs w:val="36"/>
          <w:lang w:val="en-US" w:eastAsia="zh-CN"/>
        </w:rPr>
        <w:t>·拜期克儿</w:t>
      </w:r>
    </w:p>
    <w:p>
      <w:pPr>
        <w:tabs>
          <w:tab w:val="left" w:pos="1134"/>
        </w:tabs>
        <w:ind w:firstLine="1800" w:firstLineChars="500"/>
        <w:contextualSpacing/>
        <w:jc w:val="both"/>
        <w:rPr>
          <w:rFonts w:hint="eastAsia" w:ascii="仿宋_GB2312" w:hAnsi="仿宋_GB2312" w:eastAsia="仿宋_GB2312" w:cs="仿宋_GB2312"/>
          <w:b w:val="0"/>
          <w:bCs w:val="0"/>
          <w:sz w:val="36"/>
          <w:szCs w:val="36"/>
          <w:lang w:eastAsia="zh-CN"/>
        </w:rPr>
      </w:pPr>
      <w:r>
        <w:rPr>
          <w:rFonts w:hint="eastAsia" w:ascii="仿宋_GB2312" w:hAnsi="仿宋_GB2312" w:eastAsia="仿宋_GB2312" w:cs="仿宋_GB2312"/>
          <w:b w:val="0"/>
          <w:bCs w:val="0"/>
          <w:sz w:val="36"/>
          <w:szCs w:val="36"/>
        </w:rPr>
        <w:t>项目负责人：</w:t>
      </w:r>
      <w:r>
        <w:rPr>
          <w:rFonts w:hint="eastAsia" w:ascii="仿宋_GB2312" w:hAnsi="仿宋_GB2312" w:eastAsia="仿宋_GB2312" w:cs="仿宋_GB2312"/>
          <w:b w:val="0"/>
          <w:bCs w:val="0"/>
          <w:sz w:val="36"/>
          <w:szCs w:val="36"/>
          <w:lang w:eastAsia="zh-CN"/>
        </w:rPr>
        <w:t>龙小春</w:t>
      </w:r>
    </w:p>
    <w:p>
      <w:pPr>
        <w:ind w:firstLine="1800" w:firstLineChars="500"/>
        <w:contextualSpacing/>
        <w:jc w:val="both"/>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二〇二</w:t>
      </w:r>
      <w:r>
        <w:rPr>
          <w:rFonts w:hint="eastAsia" w:ascii="仿宋_GB2312" w:hAnsi="仿宋_GB2312" w:eastAsia="仿宋_GB2312" w:cs="仿宋_GB2312"/>
          <w:sz w:val="36"/>
          <w:szCs w:val="36"/>
          <w:lang w:eastAsia="zh-CN"/>
        </w:rPr>
        <w:t>一</w:t>
      </w:r>
      <w:r>
        <w:rPr>
          <w:rFonts w:hint="eastAsia" w:ascii="仿宋_GB2312" w:hAnsi="仿宋_GB2312" w:eastAsia="仿宋_GB2312" w:cs="仿宋_GB2312"/>
          <w:sz w:val="36"/>
          <w:szCs w:val="36"/>
        </w:rPr>
        <w:t>年四月</w:t>
      </w:r>
    </w:p>
    <w:p>
      <w:pPr>
        <w:ind w:firstLine="720" w:firstLineChars="200"/>
        <w:contextualSpacing/>
        <w:rPr>
          <w:rFonts w:hint="eastAsia" w:ascii="仿宋_GB2312" w:hAnsi="仿宋_GB2312" w:eastAsia="仿宋_GB2312" w:cs="仿宋_GB2312"/>
          <w:sz w:val="36"/>
          <w:szCs w:val="36"/>
        </w:rPr>
      </w:pPr>
    </w:p>
    <w:p>
      <w:pPr>
        <w:pageBreakBefore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一、基本情况</w:t>
      </w:r>
    </w:p>
    <w:p>
      <w:pPr>
        <w:pageBreakBefore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pPr>
        <w:pStyle w:val="5"/>
        <w:pageBreakBefore w:val="0"/>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bookmarkStart w:id="0" w:name="_Toc30152830"/>
      <w:r>
        <w:rPr>
          <w:rFonts w:hint="eastAsia" w:ascii="仿宋_GB2312" w:hAnsi="仿宋_GB2312" w:eastAsia="仿宋_GB2312" w:cs="仿宋_GB2312"/>
          <w:sz w:val="32"/>
          <w:szCs w:val="32"/>
        </w:rPr>
        <w:t>1</w:t>
      </w:r>
      <w:bookmarkEnd w:id="0"/>
      <w:r>
        <w:rPr>
          <w:rFonts w:hint="eastAsia" w:ascii="仿宋_GB2312" w:hAnsi="仿宋_GB2312" w:eastAsia="仿宋_GB2312" w:cs="仿宋_GB2312"/>
          <w:sz w:val="32"/>
          <w:szCs w:val="32"/>
        </w:rPr>
        <w:t>、项目背景</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根据《教育督导条例》规定，县级以上人民政府应当将教育督导经费列入财政预算，切实保障教育督导工作经费的落实</w:t>
      </w:r>
      <w:r>
        <w:rPr>
          <w:rFonts w:hint="eastAsia" w:ascii="仿宋_GB2312" w:hAnsi="仿宋_GB2312" w:eastAsia="仿宋_GB2312" w:cs="仿宋_GB2312"/>
          <w:b w:val="0"/>
          <w:bCs w:val="0"/>
          <w:sz w:val="32"/>
          <w:szCs w:val="32"/>
          <w:lang w:eastAsia="zh-CN"/>
        </w:rPr>
        <w:t>。</w:t>
      </w:r>
    </w:p>
    <w:p>
      <w:pPr>
        <w:pageBreakBefore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随着国家、自治区教育督导工作范围和职能拓展，教育督导工作任务不断加大，社会关注度不断提高，为科学高效完成各项督导工作，确保党的教育方针、政策的贯彻落实</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办</w:t>
      </w:r>
      <w:r>
        <w:rPr>
          <w:rFonts w:hint="eastAsia" w:ascii="仿宋_GB2312" w:hAnsi="仿宋_GB2312" w:eastAsia="仿宋_GB2312" w:cs="仿宋_GB2312"/>
          <w:b w:val="0"/>
          <w:bCs w:val="0"/>
          <w:sz w:val="32"/>
          <w:szCs w:val="32"/>
          <w:lang w:eastAsia="zh-CN"/>
        </w:rPr>
        <w:t>好</w:t>
      </w:r>
      <w:r>
        <w:rPr>
          <w:rFonts w:hint="eastAsia" w:ascii="仿宋_GB2312" w:hAnsi="仿宋_GB2312" w:eastAsia="仿宋_GB2312" w:cs="仿宋_GB2312"/>
          <w:b w:val="0"/>
          <w:bCs w:val="0"/>
          <w:sz w:val="32"/>
          <w:szCs w:val="32"/>
        </w:rPr>
        <w:t>人民满意教育</w:t>
      </w:r>
    </w:p>
    <w:p>
      <w:pPr>
        <w:pStyle w:val="5"/>
        <w:pageBreakBefore w:val="0"/>
        <w:numPr>
          <w:ilvl w:val="0"/>
          <w:numId w:val="1"/>
        </w:numPr>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主要内容及实施情况</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rPr>
        <w:t>项目主要内容：</w:t>
      </w:r>
      <w:bookmarkStart w:id="1" w:name="_Toc30152831"/>
      <w:r>
        <w:rPr>
          <w:rFonts w:hint="eastAsia" w:ascii="仿宋_GB2312" w:hAnsi="仿宋_GB2312" w:eastAsia="仿宋_GB2312" w:cs="仿宋_GB2312"/>
          <w:b w:val="0"/>
          <w:bCs w:val="0"/>
          <w:sz w:val="32"/>
          <w:szCs w:val="32"/>
          <w:lang w:val="en-US" w:eastAsia="zh-CN"/>
        </w:rPr>
        <w:t>2020年行署教育督导室在职责范围内，积极开展了“督政、督学”工作。主要内容一是对额敏县义务教育学校标准化建设过程性督导检查。二是对托里县义务教育学校标准化建设过程性督导检查。三是进行驻地式义务教育标准化建设指导培训。四是进行义务教育学校标准化建设验收。五是扎实推进义务教育均衡发展规划目标落实。六是积极配合做好自治区义务教育均衡过程性督导检查。七是配合做好自治区对额敏县义务教育均衡发展过程性督导检查。八是配合做好自治区对托里县义务教育均衡发展过程性督导。九是全面落实义务教育均衡发展复查机制。  十是再次对沙湾县进行义务教育均衡发展复查验收。十一是全力配合做好自治区做好义务教育均衡复查工作。十二是开展中小学责任督学挂牌督导。十三是开展疑似失学儿童核查和劝返工作督导检查。十四是</w:t>
      </w:r>
      <w:r>
        <w:rPr>
          <w:rFonts w:hint="eastAsia" w:ascii="仿宋_GB2312" w:hAnsi="仿宋_GB2312" w:eastAsia="仿宋_GB2312" w:cs="仿宋_GB2312"/>
          <w:b w:val="0"/>
          <w:bCs w:val="0"/>
          <w:kern w:val="0"/>
          <w:sz w:val="32"/>
          <w:szCs w:val="32"/>
          <w:lang w:val="en-US" w:eastAsia="zh-CN" w:bidi="ar"/>
        </w:rPr>
        <w:t>开展幼儿园规范办学督导评估。十五是</w:t>
      </w:r>
      <w:r>
        <w:rPr>
          <w:rFonts w:hint="eastAsia" w:ascii="仿宋_GB2312" w:hAnsi="仿宋_GB2312" w:eastAsia="仿宋_GB2312" w:cs="仿宋_GB2312"/>
          <w:b w:val="0"/>
          <w:bCs w:val="0"/>
          <w:color w:val="auto"/>
          <w:kern w:val="0"/>
          <w:sz w:val="32"/>
          <w:szCs w:val="32"/>
          <w:lang w:val="en-US" w:eastAsia="zh-CN" w:bidi="ar"/>
        </w:rPr>
        <w:t>开展规范校外培训机构专项巡查。十六是</w:t>
      </w:r>
      <w:r>
        <w:rPr>
          <w:rFonts w:hint="eastAsia" w:ascii="仿宋_GB2312" w:hAnsi="仿宋_GB2312" w:eastAsia="仿宋_GB2312" w:cs="仿宋_GB2312"/>
          <w:b w:val="0"/>
          <w:bCs w:val="0"/>
          <w:sz w:val="32"/>
          <w:szCs w:val="32"/>
          <w:lang w:eastAsia="zh-CN"/>
        </w:rPr>
        <w:t>开展学生营养餐计划落实情况督导检查。十七是</w:t>
      </w:r>
      <w:r>
        <w:rPr>
          <w:rFonts w:hint="eastAsia" w:ascii="仿宋_GB2312" w:hAnsi="仿宋_GB2312" w:eastAsia="仿宋_GB2312" w:cs="仿宋_GB2312"/>
          <w:b w:val="0"/>
          <w:bCs w:val="0"/>
          <w:kern w:val="0"/>
          <w:sz w:val="32"/>
          <w:szCs w:val="32"/>
          <w:lang w:val="en-US" w:eastAsia="zh-CN" w:bidi="ar"/>
        </w:rPr>
        <w:t>开展校园安全督导检查。联合教育局校安办在春秋季开学对</w:t>
      </w:r>
      <w:r>
        <w:rPr>
          <w:rFonts w:hint="eastAsia" w:ascii="仿宋_GB2312" w:hAnsi="仿宋_GB2312" w:eastAsia="仿宋_GB2312" w:cs="仿宋_GB2312"/>
          <w:b w:val="0"/>
          <w:bCs w:val="0"/>
          <w:sz w:val="32"/>
          <w:szCs w:val="32"/>
          <w:lang w:eastAsia="zh-CN"/>
        </w:rPr>
        <w:t>校园安全工作进行专项检查。十八是</w:t>
      </w:r>
      <w:r>
        <w:rPr>
          <w:rFonts w:hint="eastAsia" w:ascii="仿宋_GB2312" w:hAnsi="仿宋_GB2312" w:eastAsia="仿宋_GB2312" w:cs="仿宋_GB2312"/>
          <w:b w:val="0"/>
          <w:bCs w:val="0"/>
          <w:sz w:val="32"/>
          <w:szCs w:val="32"/>
          <w:lang w:val="en-US" w:eastAsia="zh-CN"/>
        </w:rPr>
        <w:t>特殊节点开展校园安全督查。十九是开展随机督导。二十是做好迎接自治区督导检查。二十一是加强督导队伍建设培训。同时在督导县市教育发展状况的同时也对各县市部分学校进行教育督导例行检查。</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29.97</w:t>
      </w:r>
      <w:r>
        <w:rPr>
          <w:rFonts w:hint="eastAsia" w:ascii="仿宋_GB2312" w:hAnsi="仿宋_GB2312" w:eastAsia="仿宋_GB2312" w:cs="仿宋_GB2312"/>
          <w:sz w:val="32"/>
          <w:szCs w:val="32"/>
        </w:rPr>
        <w:t>万元， 支出率为</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w:t>
      </w:r>
    </w:p>
    <w:p>
      <w:pPr>
        <w:pStyle w:val="5"/>
        <w:pageBreakBefore w:val="0"/>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3、资金投入及使用情况</w:t>
      </w:r>
      <w:bookmarkEnd w:id="1"/>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（1）资金</w:t>
      </w:r>
      <w:r>
        <w:rPr>
          <w:rFonts w:hint="eastAsia" w:ascii="仿宋_GB2312" w:hAnsi="仿宋_GB2312" w:eastAsia="仿宋_GB2312" w:cs="仿宋_GB2312"/>
          <w:sz w:val="32"/>
          <w:szCs w:val="32"/>
          <w:lang w:eastAsia="zh-CN"/>
        </w:rPr>
        <w:t>安排</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val="en-US" w:eastAsia="zh-CN"/>
        </w:rPr>
        <w:t>教育局机关内部控制制度</w:t>
      </w:r>
      <w:r>
        <w:rPr>
          <w:rFonts w:hint="eastAsia" w:ascii="仿宋_GB2312" w:hAnsi="仿宋_GB2312" w:eastAsia="仿宋_GB2312" w:cs="仿宋_GB2312"/>
          <w:sz w:val="32"/>
          <w:szCs w:val="32"/>
        </w:rPr>
        <w:t>》及单位财务制度等相关规定，资金支出符合</w:t>
      </w:r>
      <w:r>
        <w:rPr>
          <w:rFonts w:hint="eastAsia" w:ascii="仿宋_GB2312" w:hAnsi="仿宋_GB2312" w:eastAsia="仿宋_GB2312" w:cs="仿宋_GB2312"/>
          <w:sz w:val="32"/>
          <w:szCs w:val="32"/>
          <w:lang w:val="en-US" w:eastAsia="zh-CN"/>
        </w:rPr>
        <w:t>教育督导</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教育督导</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预算资金来源及</w:t>
      </w:r>
      <w:r>
        <w:rPr>
          <w:rFonts w:hint="eastAsia" w:ascii="仿宋_GB2312" w:hAnsi="仿宋_GB2312" w:eastAsia="仿宋_GB2312" w:cs="仿宋_GB2312"/>
          <w:sz w:val="32"/>
          <w:szCs w:val="32"/>
        </w:rPr>
        <w:t>资金使用情况</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塔地财预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509</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29.97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用于支付项目实施进程中的各项费用。</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情况一是用于改善督导办公条件，购置电脑2台，费用0.97万元。二是保障督导工作正常开展的出差食宿费用29万元。2020年根据受其他情影响控要求，部分教育督导和问卷调查转为线上开展，造成资金结余10.03万元。</w:t>
      </w:r>
    </w:p>
    <w:p>
      <w:pPr>
        <w:pageBreakBefore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（二）项目绩效目标。包括总体目标和阶段性目标</w:t>
      </w:r>
    </w:p>
    <w:p>
      <w:pPr>
        <w:pStyle w:val="5"/>
        <w:pageBreakBefore w:val="0"/>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1、总目标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保障督政、督学、质量检测等教育督导工作有效开展，促进县（市）人民政府切实履行教育职责，实现城乡义务教育均衡发展，学校依法规范办学，全面提高教育教学质量。</w:t>
      </w:r>
    </w:p>
    <w:p>
      <w:pPr>
        <w:pStyle w:val="5"/>
        <w:pageBreakBefore w:val="0"/>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教育督导工作经费年度工作方案</w:t>
      </w:r>
      <w:r>
        <w:rPr>
          <w:rFonts w:hint="eastAsia" w:ascii="仿宋_GB2312" w:hAnsi="仿宋_GB2312" w:eastAsia="仿宋_GB2312" w:cs="仿宋_GB2312"/>
          <w:sz w:val="32"/>
          <w:szCs w:val="32"/>
        </w:rPr>
        <w:t>》，通过制定项目实施方案，经项目负责人审核通过后，有序开展后续</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val="en-US" w:eastAsia="zh-CN"/>
        </w:rPr>
        <w:t>教育督导实施</w:t>
      </w:r>
      <w:r>
        <w:rPr>
          <w:rFonts w:hint="eastAsia" w:ascii="仿宋_GB2312" w:hAnsi="仿宋_GB2312" w:eastAsia="仿宋_GB2312" w:cs="仿宋_GB2312"/>
          <w:sz w:val="32"/>
          <w:szCs w:val="32"/>
        </w:rPr>
        <w:t>方案》要求逐一进行项目部署安排，提高项目质量及效率性。</w:t>
      </w:r>
      <w:r>
        <w:rPr>
          <w:rFonts w:hint="eastAsia" w:ascii="仿宋_GB2312" w:hAnsi="仿宋_GB2312" w:eastAsia="仿宋_GB2312" w:cs="仿宋_GB2312"/>
          <w:sz w:val="32"/>
          <w:szCs w:val="32"/>
          <w:lang w:eastAsia="zh-CN"/>
        </w:rPr>
        <w:t>督促塔城市</w:t>
      </w:r>
      <w:r>
        <w:rPr>
          <w:rFonts w:hint="eastAsia" w:ascii="仿宋_GB2312" w:hAnsi="仿宋_GB2312" w:eastAsia="仿宋_GB2312" w:cs="仿宋_GB2312"/>
          <w:b w:val="0"/>
          <w:bCs w:val="0"/>
          <w:sz w:val="32"/>
          <w:szCs w:val="32"/>
          <w:lang w:eastAsia="zh-CN"/>
        </w:rPr>
        <w:t>提前一年实现义务教育均衡发展目标，额敏县实现义务教育学校标准化建设目标，额敏县、托里县加快义务教育均衡发展工作进度。各中小学、幼儿园办学行为不断规范，教育教学质量稳步提升。</w:t>
      </w:r>
    </w:p>
    <w:p>
      <w:pPr>
        <w:pageBreakBefore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二、绩效评价工作开展情况</w:t>
      </w:r>
    </w:p>
    <w:p>
      <w:pPr>
        <w:pageBreakBefore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绩效评价旨在通过评价改善预算部门的财政支出管理，优化资源配置及提高公共服务水平。运用科学、规范的绩效评价方法，按照财政部《关于印发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项目支出绩效评价管理办法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的通知》，《关于印发</w:t>
      </w:r>
      <w:r>
        <w:rPr>
          <w:rFonts w:hint="eastAsia" w:ascii="仿宋_GB2312" w:hAnsi="仿宋_GB2312" w:eastAsia="仿宋_GB2312" w:cs="仿宋_GB2312"/>
          <w:sz w:val="32"/>
          <w:szCs w:val="32"/>
          <w:lang w:eastAsia="zh-CN"/>
        </w:rPr>
        <w:t>〈塔城</w:t>
      </w:r>
      <w:r>
        <w:rPr>
          <w:rFonts w:hint="eastAsia" w:ascii="仿宋_GB2312" w:hAnsi="仿宋_GB2312" w:eastAsia="仿宋_GB2312" w:cs="仿宋_GB2312"/>
          <w:sz w:val="32"/>
          <w:szCs w:val="32"/>
        </w:rPr>
        <w:t>地区全面实施财政支出绩效管理的工作方案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通知》（塔财预〔2020〕15号）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评价对象为教育督导专项经费，评价核心为专项资金的支出完成情况和效果。</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w:t>
      </w:r>
    </w:p>
    <w:p>
      <w:pPr>
        <w:pageBreakBefore w:val="0"/>
        <w:kinsoku/>
        <w:wordWrap/>
        <w:overflowPunct/>
        <w:topLinePunct w:val="0"/>
        <w:autoSpaceDE/>
        <w:autoSpaceDN/>
        <w:bidi w:val="0"/>
        <w:adjustRightInd/>
        <w:snapToGrid/>
        <w:spacing w:line="560" w:lineRule="exact"/>
        <w:ind w:left="0" w:firstLine="643" w:firstLineChars="200"/>
        <w:textAlignment w:val="auto"/>
        <w:rPr>
          <w:rFonts w:ascii="仿宋_GB2312"/>
        </w:rPr>
      </w:pPr>
      <w:bookmarkStart w:id="2" w:name="_Toc402181873"/>
      <w:bookmarkStart w:id="3" w:name="_Toc407184396"/>
      <w:bookmarkStart w:id="4" w:name="_Toc30152846"/>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Style w:val="5"/>
        <w:pageBreakBefore w:val="0"/>
        <w:kinsoku/>
        <w:wordWrap/>
        <w:overflowPunct/>
        <w:topLinePunct w:val="0"/>
        <w:autoSpaceDE/>
        <w:autoSpaceDN/>
        <w:bidi w:val="0"/>
        <w:adjustRightInd/>
        <w:snapToGrid/>
        <w:spacing w:before="0" w:after="0" w:line="56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本次绩效评价主要遵循以下原则：</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bookmarkEnd w:id="2"/>
    <w:bookmarkEnd w:id="3"/>
    <w:bookmarkEnd w:id="4"/>
    <w:p>
      <w:pPr>
        <w:pStyle w:val="5"/>
        <w:pageBreakBefore w:val="0"/>
        <w:kinsoku/>
        <w:wordWrap/>
        <w:overflowPunct/>
        <w:topLinePunct w:val="0"/>
        <w:autoSpaceDE/>
        <w:autoSpaceDN/>
        <w:bidi w:val="0"/>
        <w:adjustRightInd/>
        <w:snapToGrid/>
        <w:spacing w:before="0" w:after="0"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2、绩效评价指标体系</w:t>
      </w:r>
    </w:p>
    <w:p>
      <w:pPr>
        <w:pageBreakBefore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textAlignment w:val="auto"/>
        <w:rPr>
          <w:rFonts w:hint="eastAsia" w:ascii="仿宋_GB2312" w:hAnsi="仿宋_GB2312" w:eastAsia="仿宋_GB2312" w:cs="仿宋_GB2312"/>
          <w:b w:val="0"/>
          <w:bCs w:val="0"/>
          <w:color w:val="000000"/>
          <w:spacing w:val="17"/>
          <w:kern w:val="2"/>
          <w:sz w:val="32"/>
          <w:szCs w:val="32"/>
        </w:rPr>
      </w:pPr>
      <w:r>
        <w:rPr>
          <w:rFonts w:hint="eastAsia" w:ascii="仿宋_GB2312" w:hAnsi="仿宋_GB2312" w:eastAsia="仿宋_GB2312" w:cs="仿宋_GB2312"/>
          <w:b w:val="0"/>
          <w:bCs w:val="0"/>
          <w:color w:val="000000"/>
          <w:spacing w:val="17"/>
          <w:kern w:val="2"/>
          <w:sz w:val="32"/>
          <w:szCs w:val="32"/>
        </w:rPr>
        <w:t>绩效评价总分值100分，根据综合评分结果，评价计分90分</w:t>
      </w:r>
      <w:r>
        <w:rPr>
          <w:rFonts w:hint="eastAsia" w:ascii="仿宋_GB2312" w:hAnsi="仿宋_GB2312" w:eastAsia="仿宋_GB2312" w:cs="仿宋_GB2312"/>
          <w:b w:val="0"/>
          <w:bCs w:val="0"/>
          <w:color w:val="000000"/>
          <w:spacing w:val="17"/>
          <w:kern w:val="2"/>
          <w:sz w:val="32"/>
          <w:szCs w:val="32"/>
          <w:lang w:eastAsia="zh-CN"/>
        </w:rPr>
        <w:t>－</w:t>
      </w:r>
      <w:r>
        <w:rPr>
          <w:rFonts w:hint="eastAsia" w:ascii="仿宋_GB2312" w:hAnsi="仿宋_GB2312" w:eastAsia="仿宋_GB2312" w:cs="仿宋_GB2312"/>
          <w:b w:val="0"/>
          <w:bCs w:val="0"/>
          <w:color w:val="000000"/>
          <w:spacing w:val="17"/>
          <w:kern w:val="2"/>
          <w:sz w:val="32"/>
          <w:szCs w:val="32"/>
        </w:rPr>
        <w:t>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hint="eastAsia" w:ascii="仿宋_GB2312" w:hAnsi="仿宋_GB2312" w:eastAsia="仿宋_GB2312" w:cs="仿宋_GB2312"/>
          <w:b w:val="0"/>
          <w:bCs w:val="0"/>
          <w:color w:val="000000"/>
          <w:spacing w:val="17"/>
          <w:sz w:val="32"/>
          <w:szCs w:val="32"/>
        </w:rPr>
      </w:pPr>
      <w:r>
        <w:rPr>
          <w:rFonts w:hint="eastAsia" w:ascii="仿宋_GB2312" w:hAnsi="仿宋_GB2312" w:eastAsia="仿宋_GB2312" w:cs="仿宋_GB2312"/>
          <w:b w:val="0"/>
          <w:bCs w:val="0"/>
          <w:color w:val="000000"/>
          <w:spacing w:val="17"/>
          <w:sz w:val="32"/>
          <w:szCs w:val="32"/>
        </w:rPr>
        <w:t>具体评价指标体系详情见</w:t>
      </w:r>
      <w:r>
        <w:rPr>
          <w:rFonts w:hint="eastAsia" w:ascii="仿宋_GB2312" w:hAnsi="仿宋_GB2312" w:eastAsia="仿宋_GB2312" w:cs="仿宋_GB2312"/>
          <w:b w:val="0"/>
          <w:bCs w:val="0"/>
          <w:color w:val="000000"/>
          <w:spacing w:val="17"/>
          <w:sz w:val="32"/>
          <w:szCs w:val="32"/>
          <w:lang w:val="en-US" w:eastAsia="zh-CN"/>
        </w:rPr>
        <w:t>附件</w:t>
      </w:r>
      <w:r>
        <w:rPr>
          <w:rFonts w:hint="eastAsia" w:ascii="仿宋_GB2312" w:hAnsi="仿宋_GB2312" w:eastAsia="仿宋_GB2312" w:cs="仿宋_GB2312"/>
          <w:b w:val="0"/>
          <w:bCs w:val="0"/>
          <w:color w:val="000000"/>
          <w:spacing w:val="17"/>
          <w:sz w:val="32"/>
          <w:szCs w:val="32"/>
        </w:rPr>
        <w:t>1</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3、绩效评价方法</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4、评价标准</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napToGrid/>
        <w:spacing w:before="0" w:after="0" w:line="560" w:lineRule="exact"/>
        <w:ind w:left="0" w:firstLine="711" w:firstLineChars="200"/>
        <w:jc w:val="both"/>
        <w:textAlignment w:val="auto"/>
        <w:rPr>
          <w:rFonts w:hint="eastAsia" w:ascii="楷体" w:hAnsi="楷体" w:eastAsia="楷体" w:cs="楷体"/>
          <w:color w:val="000000"/>
          <w:spacing w:val="17"/>
          <w:sz w:val="32"/>
          <w:szCs w:val="32"/>
          <w:lang w:val="en-US" w:eastAsia="zh-CN"/>
        </w:rPr>
      </w:pPr>
      <w:r>
        <w:rPr>
          <w:rFonts w:hint="eastAsia" w:ascii="楷体" w:hAnsi="楷体" w:eastAsia="楷体" w:cs="楷体"/>
          <w:color w:val="000000"/>
          <w:spacing w:val="17"/>
          <w:sz w:val="32"/>
          <w:szCs w:val="32"/>
          <w:lang w:val="en-US" w:eastAsia="zh-CN"/>
        </w:rPr>
        <w:t>绩效评价工作过程</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left="0" w:firstLine="708"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left="0"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ageBreakBefore w:val="0"/>
        <w:numPr>
          <w:ilvl w:val="0"/>
          <w:numId w:val="0"/>
        </w:numPr>
        <w:kinsoku/>
        <w:wordWrap/>
        <w:overflowPunct/>
        <w:topLinePunct w:val="0"/>
        <w:autoSpaceDE/>
        <w:autoSpaceDN/>
        <w:bidi w:val="0"/>
        <w:adjustRightInd/>
        <w:snapToGrid/>
        <w:spacing w:line="560" w:lineRule="exact"/>
        <w:ind w:left="0" w:firstLine="708" w:firstLineChars="200"/>
        <w:textAlignment w:val="auto"/>
        <w:rPr>
          <w:rFonts w:hint="eastAsia" w:ascii="仿宋" w:hAnsi="仿宋" w:eastAsia="仿宋" w:cs="仿宋"/>
          <w:sz w:val="32"/>
          <w:szCs w:val="32"/>
        </w:rPr>
      </w:pPr>
      <w:r>
        <w:rPr>
          <w:rFonts w:hint="eastAsia" w:ascii="仿宋_GB2312" w:hAnsi="仿宋_GB2312" w:eastAsia="仿宋_GB2312" w:cs="仿宋_GB2312"/>
          <w:color w:val="000000"/>
          <w:spacing w:val="17"/>
          <w:sz w:val="32"/>
          <w:szCs w:val="32"/>
          <w:lang w:val="en-US" w:eastAsia="zh-CN"/>
        </w:rPr>
        <w:t>对教育督导经费项目进行客观评价，最终评分结果：总得分为98.5分，属于“优”。其中，项目决策类指标权重为5分，得分为5分，得分率为100%。项目过程类指标权重为5分，得分为4.75分，得分率为 95%。项目产出类指标权重为50分，得分为48.75分，得分率为97%。项目效益类指标权重为40分，得分为40分，得分率为100%。</w:t>
      </w:r>
    </w:p>
    <w:p>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rPr>
          <w:rFonts w:hint="eastAsia"/>
        </w:rPr>
      </w:pPr>
    </w:p>
    <w:tbl>
      <w:tblPr>
        <w:tblStyle w:val="2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0.75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75%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13.75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92%</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pPr>
        <w:pStyle w:val="24"/>
        <w:pageBreakBefore w:val="0"/>
        <w:kinsoku/>
        <w:wordWrap/>
        <w:overflowPunct/>
        <w:topLinePunct w:val="0"/>
        <w:autoSpaceDE/>
        <w:autoSpaceDN/>
        <w:bidi w:val="0"/>
        <w:adjustRightInd/>
        <w:snapToGrid/>
        <w:spacing w:after="0" w:line="560" w:lineRule="exact"/>
        <w:ind w:left="0" w:leftChars="0" w:firstLine="0" w:firstLineChars="0"/>
        <w:textAlignment w:val="auto"/>
        <w:rPr>
          <w:rFonts w:hint="eastAsia"/>
        </w:rPr>
      </w:pPr>
    </w:p>
    <w:p>
      <w:pPr>
        <w:pageBreakBefore w:val="0"/>
        <w:kinsoku/>
        <w:wordWrap/>
        <w:overflowPunct/>
        <w:topLinePunct w:val="0"/>
        <w:autoSpaceDE/>
        <w:autoSpaceDN/>
        <w:bidi w:val="0"/>
        <w:adjustRightInd/>
        <w:snapToGrid/>
        <w:spacing w:line="560" w:lineRule="exact"/>
        <w:ind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四、绩效评价指标分析</w:t>
      </w: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楷体" w:hAnsi="楷体" w:eastAsia="楷体" w:cs="楷体"/>
          <w:sz w:val="32"/>
          <w:szCs w:val="32"/>
        </w:rPr>
      </w:pPr>
      <w:r>
        <w:rPr>
          <w:rFonts w:hint="eastAsia" w:ascii="楷体" w:hAnsi="楷体" w:eastAsia="楷体" w:cs="楷体"/>
          <w:sz w:val="32"/>
          <w:szCs w:val="3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%。项目决策指标得分情况如表所示。</w:t>
      </w:r>
    </w:p>
    <w:tbl>
      <w:tblPr>
        <w:tblStyle w:val="25"/>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三级指标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2"/>
                <w:szCs w:val="22"/>
              </w:rPr>
            </w:pPr>
            <w:r>
              <w:rPr>
                <w:rFonts w:hint="eastAsia" w:ascii="仿宋" w:hAnsi="仿宋" w:eastAsia="仿宋" w:cs="仿宋"/>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r>
    </w:tbl>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对于</w:t>
      </w:r>
      <w:r>
        <w:rPr>
          <w:rFonts w:hint="eastAsia" w:ascii="仿宋_GB2312" w:hAnsi="仿宋_GB2312" w:eastAsia="仿宋_GB2312" w:cs="仿宋_GB2312"/>
          <w:b w:val="0"/>
          <w:bCs w:val="0"/>
          <w:lang w:eastAsia="zh-CN"/>
        </w:rPr>
        <w:t>教育督导经费项目</w:t>
      </w:r>
      <w:r>
        <w:rPr>
          <w:rFonts w:hint="eastAsia" w:ascii="仿宋_GB2312" w:hAnsi="仿宋_GB2312" w:eastAsia="仿宋_GB2312" w:cs="仿宋_GB2312"/>
          <w:b w:val="0"/>
          <w:bCs w:val="0"/>
        </w:rPr>
        <w:t>批复等有关要求，保障</w:t>
      </w:r>
      <w:r>
        <w:rPr>
          <w:rFonts w:hint="eastAsia" w:ascii="仿宋_GB2312" w:hAnsi="仿宋_GB2312" w:eastAsia="仿宋_GB2312" w:cs="仿宋_GB2312"/>
          <w:b w:val="0"/>
          <w:bCs w:val="0"/>
          <w:lang w:eastAsia="zh-CN"/>
        </w:rPr>
        <w:t>教育督导</w:t>
      </w:r>
      <w:r>
        <w:rPr>
          <w:rFonts w:hint="eastAsia" w:ascii="仿宋_GB2312" w:hAnsi="仿宋_GB2312" w:eastAsia="仿宋_GB2312" w:cs="仿宋_GB2312"/>
          <w:b w:val="0"/>
          <w:bCs w:val="0"/>
        </w:rPr>
        <w:t>质量，实现项目批复要求的可持续影响效益指标。项目的立项符合</w:t>
      </w:r>
      <w:r>
        <w:rPr>
          <w:rFonts w:hint="eastAsia" w:ascii="仿宋_GB2312" w:hAnsi="仿宋_GB2312" w:eastAsia="仿宋_GB2312" w:cs="仿宋_GB2312"/>
          <w:b w:val="0"/>
          <w:bCs w:val="0"/>
          <w:lang w:eastAsia="zh-CN"/>
        </w:rPr>
        <w:t>实际</w:t>
      </w:r>
      <w:r>
        <w:rPr>
          <w:rFonts w:hint="eastAsia" w:ascii="仿宋_GB2312" w:hAnsi="仿宋_GB2312" w:eastAsia="仿宋_GB2312" w:cs="仿宋_GB2312"/>
          <w:b w:val="0"/>
          <w:bCs w:val="0"/>
        </w:rPr>
        <w:t>，项目单位的绩效指标设置表述清晰、设置合理、指标设置完整。根据评分标准，实际得分率为</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对于“绩效目标”，</w:t>
      </w:r>
      <w:r>
        <w:rPr>
          <w:rFonts w:hint="eastAsia" w:ascii="仿宋_GB2312" w:hAnsi="仿宋_GB2312" w:eastAsia="仿宋_GB2312" w:cs="仿宋_GB2312"/>
          <w:b w:val="0"/>
          <w:bCs w:val="0"/>
          <w:lang w:eastAsia="zh-CN"/>
        </w:rPr>
        <w:t>教育督导经费</w:t>
      </w:r>
      <w:r>
        <w:rPr>
          <w:rFonts w:hint="eastAsia" w:ascii="仿宋_GB2312" w:hAnsi="仿宋_GB2312" w:eastAsia="仿宋_GB2312" w:cs="仿宋_GB2312"/>
          <w:b w:val="0"/>
          <w:bCs w:val="0"/>
        </w:rPr>
        <w:t>项目，设置了较为详细的项目支出绩效目标，项目绩效目标的设置，满足合理性和明确性的要求，但是分年度目标中分年度目标设置不够详细。根据评分标准，该指标实际得分率</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对于“资金投入”，</w:t>
      </w:r>
      <w:r>
        <w:rPr>
          <w:rFonts w:hint="eastAsia" w:ascii="仿宋_GB2312" w:hAnsi="仿宋_GB2312" w:eastAsia="仿宋_GB2312" w:cs="仿宋_GB2312"/>
          <w:b w:val="0"/>
          <w:bCs w:val="0"/>
          <w:lang w:eastAsia="zh-CN"/>
        </w:rPr>
        <w:t>教育督导经费</w:t>
      </w:r>
      <w:r>
        <w:rPr>
          <w:rFonts w:hint="eastAsia" w:ascii="仿宋_GB2312" w:hAnsi="仿宋_GB2312" w:eastAsia="仿宋_GB2312" w:cs="仿宋_GB2312"/>
          <w:b w:val="0"/>
          <w:bCs w:val="0"/>
        </w:rPr>
        <w:t>项目，资金全部投入到位，总投</w:t>
      </w:r>
      <w:r>
        <w:rPr>
          <w:rFonts w:hint="eastAsia" w:ascii="仿宋_GB2312" w:hAnsi="仿宋_GB2312" w:eastAsia="仿宋_GB2312" w:cs="仿宋_GB2312"/>
          <w:b w:val="0"/>
          <w:bCs w:val="0"/>
          <w:lang w:eastAsia="zh-CN"/>
        </w:rPr>
        <w:t>入</w:t>
      </w:r>
      <w:r>
        <w:rPr>
          <w:rFonts w:hint="eastAsia" w:ascii="仿宋_GB2312" w:hAnsi="仿宋_GB2312" w:eastAsia="仿宋_GB2312" w:cs="仿宋_GB2312"/>
          <w:b w:val="0"/>
          <w:bCs w:val="0"/>
          <w:lang w:val="en-US" w:eastAsia="zh-CN"/>
        </w:rPr>
        <w:t>40</w:t>
      </w:r>
      <w:r>
        <w:rPr>
          <w:rFonts w:hint="eastAsia" w:ascii="仿宋_GB2312" w:hAnsi="仿宋_GB2312" w:eastAsia="仿宋_GB2312" w:cs="仿宋_GB2312"/>
          <w:b w:val="0"/>
          <w:bCs w:val="0"/>
        </w:rPr>
        <w:t>万元。</w:t>
      </w:r>
      <w:r>
        <w:rPr>
          <w:rFonts w:hint="eastAsia" w:ascii="仿宋_GB2312" w:hAnsi="仿宋_GB2312" w:eastAsia="仿宋_GB2312" w:cs="仿宋_GB2312"/>
          <w:b w:val="0"/>
          <w:bCs w:val="0"/>
          <w:lang w:eastAsia="zh-CN"/>
        </w:rPr>
        <w:t>实际使用</w:t>
      </w:r>
      <w:r>
        <w:rPr>
          <w:rFonts w:hint="eastAsia" w:ascii="仿宋_GB2312" w:hAnsi="仿宋_GB2312" w:eastAsia="仿宋_GB2312" w:cs="仿宋_GB2312"/>
          <w:b w:val="0"/>
          <w:bCs w:val="0"/>
          <w:lang w:val="en-US" w:eastAsia="zh-CN"/>
        </w:rPr>
        <w:t>29.97万元，受其他情影响，部分督导转为远程视频或线上形式开展，项目绩效目标基本完成，</w:t>
      </w:r>
      <w:r>
        <w:rPr>
          <w:rFonts w:hint="eastAsia" w:ascii="仿宋_GB2312" w:hAnsi="仿宋_GB2312" w:eastAsia="仿宋_GB2312" w:cs="仿宋_GB2312"/>
          <w:b w:val="0"/>
          <w:bCs w:val="0"/>
        </w:rPr>
        <w:t>根据评分标准，该指标实际得分率</w:t>
      </w:r>
      <w:r>
        <w:rPr>
          <w:rFonts w:hint="eastAsia" w:ascii="仿宋_GB2312" w:hAnsi="仿宋_GB2312" w:eastAsia="仿宋_GB2312" w:cs="仿宋_GB2312"/>
          <w:b w:val="0"/>
          <w:bCs w:val="0"/>
          <w:lang w:val="en-US" w:eastAsia="zh-CN"/>
        </w:rPr>
        <w:t>100</w:t>
      </w:r>
      <w:r>
        <w:rPr>
          <w:rFonts w:hint="eastAsia" w:ascii="仿宋_GB2312" w:hAnsi="仿宋_GB2312" w:eastAsia="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contextualSpacing/>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项目管理指标从资金到位率、预算执行率、资金使用合规性、管理制度健全性、制度执行有效性5个方面对项目的管理情况进行考察。项目管理类指标分值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4.75</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%。项目管理指标得分情况如表所示。</w:t>
      </w:r>
    </w:p>
    <w:tbl>
      <w:tblPr>
        <w:tblStyle w:val="25"/>
        <w:tblW w:w="8522" w:type="dxa"/>
        <w:tblInd w:w="0" w:type="dxa"/>
        <w:tblLayout w:type="fixed"/>
        <w:tblCellMar>
          <w:top w:w="0" w:type="dxa"/>
          <w:left w:w="108" w:type="dxa"/>
          <w:bottom w:w="0" w:type="dxa"/>
          <w:right w:w="108" w:type="dxa"/>
        </w:tblCellMar>
      </w:tblPr>
      <w:tblGrid>
        <w:gridCol w:w="2232"/>
        <w:gridCol w:w="2407"/>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项目管理指标得分情况</w:t>
            </w:r>
          </w:p>
        </w:tc>
      </w:tr>
      <w:tr>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三级指标</w:t>
            </w:r>
          </w:p>
        </w:tc>
        <w:tc>
          <w:tcPr>
            <w:tcW w:w="240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4"/>
              </w:rPr>
            </w:pPr>
            <w:r>
              <w:rPr>
                <w:rFonts w:hint="eastAsia" w:ascii="仿宋" w:hAnsi="仿宋" w:eastAsia="仿宋" w:cs="仿宋"/>
                <w:b/>
                <w:bCs/>
                <w:color w:val="000000"/>
                <w:kern w:val="0"/>
                <w:sz w:val="24"/>
              </w:rPr>
              <w:t>实际得分</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预算执行率</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75</w:t>
            </w:r>
            <w:r>
              <w:rPr>
                <w:rFonts w:hint="eastAsia" w:ascii="宋体" w:hAnsi="宋体" w:eastAsia="宋体" w:cs="宋体"/>
                <w:color w:val="000000"/>
                <w:kern w:val="0"/>
                <w:sz w:val="18"/>
                <w:szCs w:val="18"/>
              </w:rPr>
              <w:t>%</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0.75</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资金使用合规性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管理制度健全性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制度执行有效性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95</w:t>
            </w:r>
            <w:r>
              <w:rPr>
                <w:rFonts w:hint="eastAsia" w:ascii="宋体" w:hAnsi="宋体" w:eastAsia="宋体" w:cs="宋体"/>
                <w:color w:val="000000"/>
                <w:kern w:val="0"/>
                <w:sz w:val="18"/>
                <w:szCs w:val="18"/>
              </w:rPr>
              <w:t>%</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4.75</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w:t>
      </w: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年取得财政拨款资金</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万元，项目资金预算经过集体讨论，并经批复。项目预算资金为</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万元，实际使用</w:t>
      </w:r>
      <w:r>
        <w:rPr>
          <w:rFonts w:hint="eastAsia" w:ascii="仿宋_GB2312" w:hAnsi="仿宋_GB2312" w:eastAsia="仿宋_GB2312" w:cs="仿宋_GB2312"/>
          <w:sz w:val="32"/>
          <w:szCs w:val="32"/>
          <w:lang w:val="en-US" w:eastAsia="zh-CN"/>
        </w:rPr>
        <w:t>29.97</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000000" w:themeColor="text1"/>
          <w:sz w:val="32"/>
          <w:szCs w:val="32"/>
        </w:rPr>
        <w:t>根据评分标准，该指标实际得分率</w:t>
      </w:r>
      <w:r>
        <w:rPr>
          <w:rFonts w:hint="eastAsia" w:ascii="仿宋_GB2312" w:hAnsi="仿宋_GB2312" w:eastAsia="仿宋_GB2312" w:cs="仿宋_GB2312"/>
          <w:color w:val="000000" w:themeColor="text1"/>
          <w:sz w:val="32"/>
          <w:szCs w:val="32"/>
          <w:lang w:val="en-US" w:eastAsia="zh-CN"/>
        </w:rPr>
        <w:t>75</w:t>
      </w:r>
      <w:r>
        <w:rPr>
          <w:rFonts w:hint="eastAsia" w:ascii="仿宋_GB2312" w:hAnsi="仿宋_GB2312" w:eastAsia="仿宋_GB2312" w:cs="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对于“资金到位率”，项目资金到位及时，到位率为100%。根据评分标准，该指标不扣分。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w:t>
      </w:r>
      <w:r>
        <w:rPr>
          <w:rFonts w:hint="eastAsia" w:ascii="仿宋_GB2312" w:hAnsi="仿宋_GB2312" w:eastAsia="仿宋_GB2312" w:cs="仿宋_GB2312"/>
          <w:sz w:val="32"/>
          <w:szCs w:val="32"/>
          <w:lang w:eastAsia="zh-CN"/>
        </w:rPr>
        <w:t>教育督导教育资金</w:t>
      </w:r>
      <w:r>
        <w:rPr>
          <w:rFonts w:hint="eastAsia" w:ascii="仿宋_GB2312" w:hAnsi="仿宋_GB2312" w:eastAsia="仿宋_GB2312" w:cs="仿宋_GB2312"/>
          <w:sz w:val="32"/>
          <w:szCs w:val="32"/>
        </w:rPr>
        <w:t>按照专项资金列支的范围使用资金，支出范围合规；</w:t>
      </w:r>
      <w:r>
        <w:rPr>
          <w:rFonts w:hint="eastAsia" w:ascii="仿宋_GB2312" w:hAnsi="仿宋_GB2312" w:eastAsia="仿宋_GB2312" w:cs="仿宋_GB2312"/>
          <w:sz w:val="32"/>
          <w:szCs w:val="32"/>
          <w:lang w:eastAsia="zh-CN"/>
        </w:rPr>
        <w:t>采购程序严格按照项目资金相关规定执行，</w:t>
      </w:r>
      <w:r>
        <w:rPr>
          <w:rFonts w:hint="eastAsia" w:ascii="仿宋_GB2312" w:hAnsi="仿宋_GB2312" w:eastAsia="仿宋_GB2312" w:cs="仿宋_GB2312"/>
          <w:sz w:val="32"/>
          <w:szCs w:val="32"/>
        </w:rPr>
        <w:t>资金支出能按财务制度执行，并能按国库集中支付制度规定执行，不存在资金违纪违规使用情况。按评分标准，指标实际得分率100%。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w:t>
      </w:r>
      <w:r>
        <w:rPr>
          <w:rFonts w:hint="eastAsia" w:ascii="仿宋_GB2312" w:hAnsi="仿宋_GB2312" w:eastAsia="仿宋_GB2312" w:cs="仿宋_GB2312"/>
          <w:color w:val="000000" w:themeColor="text1"/>
          <w:sz w:val="32"/>
          <w:szCs w:val="32"/>
          <w:lang w:eastAsia="zh-CN"/>
        </w:rPr>
        <w:t>教育局</w:t>
      </w:r>
      <w:r>
        <w:rPr>
          <w:rFonts w:hint="eastAsia" w:ascii="仿宋_GB2312" w:hAnsi="仿宋_GB2312" w:eastAsia="仿宋_GB2312" w:cs="仿宋_GB2312"/>
          <w:sz w:val="32"/>
          <w:szCs w:val="32"/>
        </w:rPr>
        <w:t>机构健全，分工明确，不存在不相容岗位兼任情况。根据评分标准，该指标不扣分。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w:t>
      </w:r>
      <w:r>
        <w:rPr>
          <w:rFonts w:hint="eastAsia" w:ascii="仿宋_GB2312" w:hAnsi="仿宋_GB2312" w:eastAsia="仿宋_GB2312" w:cs="仿宋_GB2312"/>
          <w:sz w:val="32"/>
          <w:szCs w:val="32"/>
          <w:lang w:eastAsia="zh-CN"/>
        </w:rPr>
        <w:t>教育局教育督导经费资金</w:t>
      </w:r>
      <w:r>
        <w:rPr>
          <w:rFonts w:hint="eastAsia" w:ascii="仿宋_GB2312" w:hAnsi="仿宋_GB2312" w:eastAsia="仿宋_GB2312" w:cs="仿宋_GB2312"/>
          <w:color w:val="000000" w:themeColor="text1"/>
          <w:sz w:val="32"/>
          <w:szCs w:val="32"/>
        </w:rPr>
        <w:t>项目</w:t>
      </w:r>
      <w:r>
        <w:rPr>
          <w:rFonts w:hint="eastAsia" w:ascii="仿宋_GB2312" w:hAnsi="仿宋_GB2312" w:eastAsia="仿宋_GB2312" w:cs="仿宋_GB2312"/>
          <w:color w:val="000000" w:themeColor="text1"/>
          <w:sz w:val="32"/>
          <w:szCs w:val="32"/>
          <w:lang w:eastAsia="zh-CN"/>
        </w:rPr>
        <w:t>严格按照</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差旅费报销</w:t>
      </w:r>
      <w:r>
        <w:rPr>
          <w:rFonts w:hint="eastAsia" w:ascii="仿宋_GB2312" w:hAnsi="仿宋_GB2312" w:eastAsia="仿宋_GB2312" w:cs="仿宋_GB2312"/>
          <w:sz w:val="32"/>
          <w:szCs w:val="32"/>
        </w:rPr>
        <w:t>等管理办法遵照实施。根据评分标准，该指标</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扣分。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contextualSpacing/>
        <w:textAlignment w:val="auto"/>
        <w:rPr>
          <w:rFonts w:hint="eastAsia"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三</w:t>
      </w:r>
      <w:r>
        <w:rPr>
          <w:rFonts w:hint="eastAsia" w:ascii="楷体" w:hAnsi="楷体" w:eastAsia="楷体" w:cs="楷体"/>
          <w:b/>
          <w:bCs/>
          <w:sz w:val="32"/>
          <w:szCs w:val="32"/>
        </w:rPr>
        <w:t>）项目</w:t>
      </w:r>
      <w:r>
        <w:rPr>
          <w:rFonts w:hint="eastAsia" w:ascii="楷体" w:hAnsi="楷体" w:eastAsia="楷体" w:cs="楷体"/>
          <w:b/>
          <w:bCs/>
          <w:sz w:val="32"/>
          <w:szCs w:val="32"/>
          <w:lang w:eastAsia="zh-CN"/>
        </w:rPr>
        <w:t>产出</w:t>
      </w:r>
      <w:r>
        <w:rPr>
          <w:rFonts w:hint="eastAsia" w:ascii="楷体" w:hAnsi="楷体" w:eastAsia="楷体" w:cs="楷体"/>
          <w:b/>
          <w:bCs/>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产出</w:t>
      </w:r>
      <w:r>
        <w:rPr>
          <w:rFonts w:hint="eastAsia" w:ascii="仿宋_GB2312" w:hAnsi="仿宋_GB2312" w:eastAsia="仿宋_GB2312" w:cs="仿宋_GB2312"/>
          <w:sz w:val="32"/>
          <w:szCs w:val="32"/>
        </w:rPr>
        <w:t>指标从</w:t>
      </w:r>
      <w:r>
        <w:rPr>
          <w:rFonts w:hint="eastAsia" w:ascii="仿宋_GB2312" w:hAnsi="仿宋_GB2312" w:eastAsia="仿宋_GB2312" w:cs="仿宋_GB2312"/>
          <w:sz w:val="32"/>
          <w:szCs w:val="32"/>
          <w:lang w:eastAsia="zh-CN"/>
        </w:rPr>
        <w:t>数量指标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质量指标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时效指标、成本指标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个方面对项目的决策进行考察，项目</w:t>
      </w:r>
      <w:r>
        <w:rPr>
          <w:rFonts w:hint="eastAsia" w:ascii="仿宋_GB2312" w:hAnsi="仿宋_GB2312" w:eastAsia="仿宋_GB2312" w:cs="仿宋_GB2312"/>
          <w:sz w:val="32"/>
          <w:szCs w:val="32"/>
          <w:lang w:eastAsia="zh-CN"/>
        </w:rPr>
        <w:t>产出</w:t>
      </w:r>
      <w:r>
        <w:rPr>
          <w:rFonts w:hint="eastAsia" w:ascii="仿宋_GB2312" w:hAnsi="仿宋_GB2312" w:eastAsia="仿宋_GB2312" w:cs="仿宋_GB2312"/>
          <w:sz w:val="32"/>
          <w:szCs w:val="32"/>
        </w:rPr>
        <w:t>指标分值</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45.32</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%。项目决策指标得分情况如表所示。</w:t>
      </w:r>
    </w:p>
    <w:tbl>
      <w:tblPr>
        <w:tblStyle w:val="25"/>
        <w:tblW w:w="4999" w:type="pct"/>
        <w:tblInd w:w="0" w:type="dxa"/>
        <w:tblLayout w:type="autofit"/>
        <w:tblCellMar>
          <w:top w:w="0" w:type="dxa"/>
          <w:left w:w="108" w:type="dxa"/>
          <w:bottom w:w="0" w:type="dxa"/>
          <w:right w:w="108" w:type="dxa"/>
        </w:tblCellMar>
      </w:tblPr>
      <w:tblGrid>
        <w:gridCol w:w="2513"/>
        <w:gridCol w:w="2269"/>
        <w:gridCol w:w="1986"/>
        <w:gridCol w:w="1752"/>
      </w:tblGrid>
      <w:tr>
        <w:tblPrEx>
          <w:tblCellMar>
            <w:top w:w="0" w:type="dxa"/>
            <w:left w:w="108" w:type="dxa"/>
            <w:bottom w:w="0" w:type="dxa"/>
            <w:right w:w="108" w:type="dxa"/>
          </w:tblCellMar>
        </w:tblPrEx>
        <w:trPr>
          <w:trHeight w:val="480" w:hRule="atLeast"/>
        </w:trPr>
        <w:tc>
          <w:tcPr>
            <w:tcW w:w="4999" w:type="pct"/>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项目</w:t>
            </w:r>
            <w:r>
              <w:rPr>
                <w:rFonts w:hint="eastAsia" w:ascii="仿宋" w:hAnsi="仿宋" w:eastAsia="仿宋" w:cs="仿宋"/>
                <w:color w:val="000000"/>
                <w:kern w:val="0"/>
                <w:sz w:val="32"/>
                <w:szCs w:val="32"/>
                <w:lang w:eastAsia="zh-CN"/>
              </w:rPr>
              <w:t>产出</w:t>
            </w:r>
            <w:r>
              <w:rPr>
                <w:rFonts w:hint="eastAsia" w:ascii="仿宋" w:hAnsi="仿宋" w:eastAsia="仿宋" w:cs="仿宋"/>
                <w:color w:val="000000"/>
                <w:kern w:val="0"/>
                <w:sz w:val="32"/>
                <w:szCs w:val="32"/>
              </w:rPr>
              <w:t>指标得分情况</w:t>
            </w:r>
          </w:p>
        </w:tc>
      </w:tr>
      <w:tr>
        <w:tblPrEx>
          <w:tblCellMar>
            <w:top w:w="0" w:type="dxa"/>
            <w:left w:w="108" w:type="dxa"/>
            <w:bottom w:w="0" w:type="dxa"/>
            <w:right w:w="108" w:type="dxa"/>
          </w:tblCellMar>
        </w:tblPrEx>
        <w:trPr>
          <w:trHeight w:val="510" w:hRule="exact"/>
        </w:trPr>
        <w:tc>
          <w:tcPr>
            <w:tcW w:w="1475" w:type="pct"/>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三级指标</w:t>
            </w:r>
          </w:p>
        </w:tc>
        <w:tc>
          <w:tcPr>
            <w:tcW w:w="1331"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权重</w:t>
            </w:r>
          </w:p>
        </w:tc>
        <w:tc>
          <w:tcPr>
            <w:tcW w:w="1165"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得分率</w:t>
            </w:r>
          </w:p>
        </w:tc>
        <w:tc>
          <w:tcPr>
            <w:tcW w:w="1027"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1475" w:type="pct"/>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数量指标</w:t>
            </w:r>
          </w:p>
        </w:tc>
        <w:tc>
          <w:tcPr>
            <w:tcW w:w="1331"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165"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91</w:t>
            </w:r>
            <w:r>
              <w:rPr>
                <w:rFonts w:hint="eastAsia" w:ascii="宋体" w:hAnsi="宋体" w:eastAsia="宋体" w:cs="宋体"/>
                <w:color w:val="000000"/>
                <w:kern w:val="0"/>
                <w:sz w:val="18"/>
                <w:szCs w:val="18"/>
              </w:rPr>
              <w:t>%</w:t>
            </w:r>
          </w:p>
        </w:tc>
        <w:tc>
          <w:tcPr>
            <w:tcW w:w="1027"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13.75</w:t>
            </w:r>
          </w:p>
        </w:tc>
      </w:tr>
      <w:tr>
        <w:tblPrEx>
          <w:tblCellMar>
            <w:top w:w="0" w:type="dxa"/>
            <w:left w:w="108" w:type="dxa"/>
            <w:bottom w:w="0" w:type="dxa"/>
            <w:right w:w="108" w:type="dxa"/>
          </w:tblCellMar>
        </w:tblPrEx>
        <w:trPr>
          <w:trHeight w:val="510" w:hRule="exact"/>
        </w:trPr>
        <w:tc>
          <w:tcPr>
            <w:tcW w:w="1475" w:type="pct"/>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质量指标</w:t>
            </w:r>
          </w:p>
        </w:tc>
        <w:tc>
          <w:tcPr>
            <w:tcW w:w="1331"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165"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027"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1475" w:type="pct"/>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时效</w:t>
            </w:r>
            <w:r>
              <w:rPr>
                <w:rFonts w:hint="eastAsia" w:ascii="宋体" w:hAnsi="宋体" w:eastAsia="宋体" w:cs="宋体"/>
                <w:color w:val="000000"/>
                <w:kern w:val="0"/>
                <w:sz w:val="18"/>
                <w:szCs w:val="18"/>
              </w:rPr>
              <w:t>目标</w:t>
            </w:r>
          </w:p>
        </w:tc>
        <w:tc>
          <w:tcPr>
            <w:tcW w:w="1331"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165"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1027"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CellMar>
            <w:top w:w="0" w:type="dxa"/>
            <w:left w:w="108" w:type="dxa"/>
            <w:bottom w:w="0" w:type="dxa"/>
            <w:right w:w="108" w:type="dxa"/>
          </w:tblCellMar>
        </w:tblPrEx>
        <w:trPr>
          <w:trHeight w:val="510" w:hRule="exact"/>
        </w:trPr>
        <w:tc>
          <w:tcPr>
            <w:tcW w:w="1475" w:type="pct"/>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成本指标</w:t>
            </w:r>
          </w:p>
        </w:tc>
        <w:tc>
          <w:tcPr>
            <w:tcW w:w="1331"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165"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027" w:type="pct"/>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1475" w:type="pct"/>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331" w:type="pct"/>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50</w:t>
            </w:r>
          </w:p>
        </w:tc>
        <w:tc>
          <w:tcPr>
            <w:tcW w:w="1165" w:type="pct"/>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97</w:t>
            </w:r>
            <w:r>
              <w:rPr>
                <w:rFonts w:hint="eastAsia" w:ascii="宋体" w:hAnsi="宋体" w:eastAsia="宋体" w:cs="宋体"/>
                <w:color w:val="000000"/>
                <w:kern w:val="0"/>
                <w:sz w:val="18"/>
                <w:szCs w:val="18"/>
              </w:rPr>
              <w:t>%</w:t>
            </w:r>
          </w:p>
        </w:tc>
        <w:tc>
          <w:tcPr>
            <w:tcW w:w="1027" w:type="pct"/>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48.75</w:t>
            </w:r>
          </w:p>
        </w:tc>
      </w:tr>
    </w:tbl>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w:t>
      </w:r>
      <w:r>
        <w:rPr>
          <w:rFonts w:hint="eastAsia" w:ascii="仿宋_GB2312" w:hAnsi="仿宋_GB2312" w:eastAsia="仿宋_GB2312" w:cs="仿宋_GB2312"/>
          <w:b w:val="0"/>
          <w:bCs w:val="0"/>
          <w:sz w:val="32"/>
          <w:szCs w:val="32"/>
          <w:lang w:eastAsia="zh-CN"/>
        </w:rPr>
        <w:t>数量指标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塔城地区教育督导经费项目，在年初根据“督政、督学、质量评价”工作职责，合理制定工作要点，确定购置设备数量，确定督导次数，受</w:t>
      </w:r>
      <w:r>
        <w:rPr>
          <w:rFonts w:hint="eastAsia" w:ascii="仿宋_GB2312" w:hAnsi="仿宋_GB2312" w:eastAsia="仿宋_GB2312" w:cs="仿宋_GB2312"/>
          <w:b w:val="0"/>
          <w:bCs w:val="0"/>
          <w:sz w:val="32"/>
          <w:szCs w:val="32"/>
          <w:lang w:val="en-US" w:eastAsia="zh-CN"/>
        </w:rPr>
        <w:t>传染病防控</w:t>
      </w:r>
      <w:r>
        <w:rPr>
          <w:rFonts w:hint="eastAsia" w:ascii="仿宋_GB2312" w:hAnsi="仿宋_GB2312" w:eastAsia="仿宋_GB2312" w:cs="仿宋_GB2312"/>
          <w:b w:val="0"/>
          <w:bCs w:val="0"/>
          <w:sz w:val="32"/>
          <w:szCs w:val="32"/>
          <w:lang w:eastAsia="zh-CN"/>
        </w:rPr>
        <w:t>防控要求影响，部分督导转为线上督导，实地督导次数有所降低，项目资金有所结余，</w:t>
      </w:r>
      <w:r>
        <w:rPr>
          <w:rFonts w:hint="eastAsia" w:ascii="仿宋_GB2312" w:hAnsi="仿宋_GB2312" w:eastAsia="仿宋_GB2312" w:cs="仿宋_GB2312"/>
          <w:b w:val="0"/>
          <w:bCs w:val="0"/>
          <w:sz w:val="32"/>
          <w:szCs w:val="32"/>
        </w:rPr>
        <w:t>根据评分标准，实际得分率为</w:t>
      </w:r>
      <w:r>
        <w:rPr>
          <w:rFonts w:hint="eastAsia" w:ascii="仿宋_GB2312" w:hAnsi="仿宋_GB2312" w:eastAsia="仿宋_GB2312" w:cs="仿宋_GB2312"/>
          <w:b w:val="0"/>
          <w:bCs w:val="0"/>
          <w:sz w:val="32"/>
          <w:szCs w:val="32"/>
          <w:lang w:val="en-US" w:eastAsia="zh-CN"/>
        </w:rPr>
        <w:t>93.72</w:t>
      </w:r>
      <w:r>
        <w:rPr>
          <w:rFonts w:hint="eastAsia" w:ascii="仿宋_GB2312" w:hAnsi="仿宋_GB2312" w:eastAsia="仿宋_GB2312" w:cs="仿宋_GB2312"/>
          <w:b w:val="0"/>
          <w:bCs w:val="0"/>
          <w:sz w:val="32"/>
          <w:szCs w:val="32"/>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w:t>
      </w:r>
      <w:r>
        <w:rPr>
          <w:rFonts w:hint="eastAsia" w:ascii="仿宋_GB2312" w:hAnsi="仿宋_GB2312" w:eastAsia="仿宋_GB2312" w:cs="仿宋_GB2312"/>
          <w:b w:val="0"/>
          <w:bCs w:val="0"/>
          <w:sz w:val="32"/>
          <w:szCs w:val="32"/>
          <w:lang w:eastAsia="zh-CN"/>
        </w:rPr>
        <w:t>质量</w:t>
      </w:r>
      <w:r>
        <w:rPr>
          <w:rFonts w:hint="eastAsia" w:ascii="仿宋_GB2312" w:hAnsi="仿宋_GB2312" w:eastAsia="仿宋_GB2312" w:cs="仿宋_GB2312"/>
          <w:b w:val="0"/>
          <w:bCs w:val="0"/>
          <w:sz w:val="32"/>
          <w:szCs w:val="32"/>
        </w:rPr>
        <w:t>目标”</w:t>
      </w:r>
      <w:r>
        <w:rPr>
          <w:rFonts w:hint="eastAsia" w:ascii="仿宋_GB2312" w:hAnsi="仿宋_GB2312" w:eastAsia="仿宋_GB2312" w:cs="仿宋_GB2312"/>
          <w:b w:val="0"/>
          <w:bCs w:val="0"/>
          <w:sz w:val="32"/>
          <w:szCs w:val="32"/>
          <w:lang w:eastAsia="zh-CN"/>
        </w:rPr>
        <w:t>，根据年初工作要点，合理的有步骤的推进了教育督导进度，保质保量的完成了督导评价工作。按财政有关采购办公设备要求，采购了所需的电脑等办公设备。</w:t>
      </w:r>
      <w:r>
        <w:rPr>
          <w:rFonts w:hint="eastAsia" w:ascii="仿宋_GB2312" w:hAnsi="仿宋_GB2312" w:eastAsia="仿宋_GB2312" w:cs="仿宋_GB2312"/>
          <w:b w:val="0"/>
          <w:bCs w:val="0"/>
          <w:sz w:val="32"/>
          <w:szCs w:val="32"/>
        </w:rPr>
        <w:t>根据评分标准，该指标实际得分率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对于“</w:t>
      </w:r>
      <w:r>
        <w:rPr>
          <w:rFonts w:hint="eastAsia" w:ascii="仿宋_GB2312" w:hAnsi="仿宋_GB2312" w:eastAsia="仿宋_GB2312" w:cs="仿宋_GB2312"/>
          <w:b w:val="0"/>
          <w:bCs w:val="0"/>
          <w:sz w:val="32"/>
          <w:szCs w:val="32"/>
          <w:lang w:eastAsia="zh-CN"/>
        </w:rPr>
        <w:t>时效指标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2020年度由于受防疫要求部分督导转为线上督导，教育督导开展多种形式，基本完成全年督导任务，该指标实际得分率100%。</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eastAsia="zh-CN"/>
        </w:rPr>
        <w:t>对于“成本指标”，购置的电脑办公设备单个价格控制在</w:t>
      </w:r>
      <w:r>
        <w:rPr>
          <w:rFonts w:hint="eastAsia" w:ascii="仿宋_GB2312" w:hAnsi="仿宋_GB2312" w:eastAsia="仿宋_GB2312" w:cs="仿宋_GB2312"/>
          <w:b w:val="0"/>
          <w:bCs w:val="0"/>
          <w:sz w:val="32"/>
          <w:szCs w:val="32"/>
          <w:lang w:val="en-US" w:eastAsia="zh-CN"/>
        </w:rPr>
        <w:t>5000元以内，每次组织督导的支出控制在20000元以内，</w:t>
      </w:r>
      <w:r>
        <w:rPr>
          <w:rFonts w:hint="eastAsia" w:ascii="仿宋_GB2312" w:hAnsi="仿宋_GB2312" w:eastAsia="仿宋_GB2312" w:cs="仿宋_GB2312"/>
          <w:b w:val="0"/>
          <w:bCs w:val="0"/>
          <w:sz w:val="32"/>
          <w:szCs w:val="32"/>
        </w:rPr>
        <w:t>根据评分标准，该指标实际得分率100%。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contextualSpacing/>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val="en-US" w:eastAsia="zh-CN"/>
        </w:rPr>
        <w:t xml:space="preserve"> （四）</w:t>
      </w:r>
      <w:r>
        <w:rPr>
          <w:rFonts w:hint="eastAsia" w:ascii="楷体" w:hAnsi="楷体" w:eastAsia="楷体" w:cs="楷体"/>
          <w:b/>
          <w:bCs/>
          <w:sz w:val="32"/>
          <w:szCs w:val="32"/>
          <w:lang w:eastAsia="zh-CN"/>
        </w:rPr>
        <w:t>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项目效益情况从社会</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可持续影响指标</w:t>
      </w:r>
      <w:r>
        <w:rPr>
          <w:rFonts w:hint="eastAsia" w:ascii="仿宋_GB2312" w:hAnsi="仿宋_GB2312" w:eastAsia="仿宋_GB2312" w:cs="仿宋_GB2312"/>
          <w:sz w:val="32"/>
          <w:szCs w:val="32"/>
        </w:rPr>
        <w:t>、服务对象满意度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个方面对项目的绩效情况进行评价。项目绩效类指标分值</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%。项目绩效指标得分情况如表所示：</w:t>
      </w:r>
    </w:p>
    <w:tbl>
      <w:tblPr>
        <w:tblStyle w:val="25"/>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社会效益指标</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可持续影响指标</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服务对象满意度指标</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r>
              <w:rPr>
                <w:rFonts w:hint="eastAsia" w:ascii="宋体" w:hAnsi="宋体" w:eastAsia="宋体" w:cs="宋体"/>
                <w:color w:val="000000"/>
                <w:kern w:val="0"/>
                <w:sz w:val="18"/>
                <w:szCs w:val="18"/>
              </w:rPr>
              <w:t>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40</w:t>
            </w:r>
          </w:p>
        </w:tc>
      </w:tr>
    </w:tbl>
    <w:p>
      <w:pPr>
        <w:pStyle w:val="5"/>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对于“</w:t>
      </w:r>
      <w:r>
        <w:rPr>
          <w:rFonts w:hint="eastAsia" w:ascii="仿宋_GB2312" w:hAnsi="仿宋_GB2312" w:eastAsia="仿宋_GB2312" w:cs="仿宋_GB2312"/>
          <w:b w:val="0"/>
          <w:bCs w:val="0"/>
          <w:sz w:val="32"/>
          <w:szCs w:val="32"/>
          <w:lang w:eastAsia="zh-CN"/>
        </w:rPr>
        <w:t>社会效益指标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能够通过教育督导的有效手段促进教育公平，城乡基本均衡。但在城乡教育公平上还存在一定差距。今后的措施是原因：加大对地方政府的督导力度，加大对乡村办学条件和师资队伍的投入</w:t>
      </w:r>
      <w:r>
        <w:rPr>
          <w:rFonts w:hint="eastAsia" w:ascii="仿宋_GB2312" w:hAnsi="仿宋_GB2312" w:eastAsia="仿宋_GB2312" w:cs="仿宋_GB2312"/>
          <w:b w:val="0"/>
          <w:bCs w:val="0"/>
          <w:sz w:val="32"/>
          <w:szCs w:val="32"/>
          <w:lang w:eastAsia="zh-CN"/>
        </w:rPr>
        <w:tab/>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根据评分标准，实际得分率为</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对于“</w:t>
      </w:r>
      <w:r>
        <w:rPr>
          <w:rFonts w:hint="eastAsia" w:ascii="仿宋_GB2312" w:hAnsi="仿宋_GB2312" w:eastAsia="仿宋_GB2312" w:cs="仿宋_GB2312"/>
          <w:b w:val="0"/>
          <w:bCs w:val="0"/>
          <w:color w:val="000000"/>
          <w:kern w:val="0"/>
          <w:sz w:val="32"/>
          <w:szCs w:val="32"/>
          <w:lang w:eastAsia="zh-CN"/>
        </w:rPr>
        <w:t>可持续影响指标”方面，在素质教育和综合能力教育还存在欠缺。今后措施：进一步落实国家对人才教育的德智体美劳全面发展的需要。</w:t>
      </w:r>
      <w:r>
        <w:rPr>
          <w:rFonts w:hint="eastAsia" w:ascii="仿宋_GB2312" w:hAnsi="仿宋_GB2312" w:eastAsia="仿宋_GB2312" w:cs="仿宋_GB2312"/>
          <w:b w:val="0"/>
          <w:bCs w:val="0"/>
          <w:sz w:val="32"/>
          <w:szCs w:val="32"/>
        </w:rPr>
        <w:t>根据评分标准，实际得分率为</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p>
    <w:p>
      <w:pPr>
        <w:pStyle w:val="5"/>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对于“服务对象满意度指标”，通过对督政对象各县（市）人民政府及督学各县市教育行政部门，学校的满意度调查显示，满意达到</w:t>
      </w:r>
      <w:r>
        <w:rPr>
          <w:rFonts w:hint="eastAsia" w:ascii="仿宋_GB2312" w:hAnsi="仿宋_GB2312" w:eastAsia="仿宋_GB2312" w:cs="仿宋_GB2312"/>
          <w:b w:val="0"/>
          <w:bCs w:val="0"/>
          <w:sz w:val="32"/>
          <w:szCs w:val="32"/>
          <w:lang w:val="en-US" w:eastAsia="zh-CN"/>
        </w:rPr>
        <w:t>90%。</w:t>
      </w:r>
      <w:r>
        <w:rPr>
          <w:rFonts w:hint="eastAsia" w:ascii="仿宋_GB2312" w:hAnsi="仿宋_GB2312" w:eastAsia="仿宋_GB2312" w:cs="仿宋_GB2312"/>
          <w:b w:val="0"/>
          <w:bCs w:val="0"/>
          <w:sz w:val="32"/>
          <w:szCs w:val="32"/>
        </w:rPr>
        <w:t>根据评分标准，实际得分率为</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Fonts w:hint="eastAsia"/>
        </w:rPr>
      </w:pPr>
      <w:r>
        <w:rPr>
          <w:rFonts w:hint="eastAsia" w:ascii="楷体" w:hAnsi="楷体" w:eastAsia="楷体"/>
          <w:b/>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主要经验是依据教育督导条例对各县市的教育均衡发展进行督导检查，合理制定年度计划，并且根据实际条件微调项目计划，比如</w:t>
      </w:r>
      <w:r>
        <w:rPr>
          <w:rFonts w:hint="eastAsia" w:ascii="仿宋_GB2312" w:hAnsi="仿宋_GB2312" w:eastAsia="仿宋_GB2312" w:cs="仿宋_GB2312"/>
          <w:sz w:val="32"/>
          <w:szCs w:val="32"/>
          <w:lang w:val="en-US" w:eastAsia="zh-CN"/>
        </w:rPr>
        <w:t>2020年由于</w:t>
      </w:r>
      <w:r>
        <w:rPr>
          <w:rFonts w:hint="eastAsia" w:ascii="仿宋_GB2312" w:hAnsi="Times New Roman" w:eastAsia="仿宋_GB2312" w:cs="Times New Roman"/>
          <w:kern w:val="2"/>
          <w:sz w:val="32"/>
          <w:szCs w:val="32"/>
          <w:lang w:val="en-US" w:eastAsia="zh-CN" w:bidi="ar-SA"/>
        </w:rPr>
        <w:t>传染病防控</w:t>
      </w:r>
      <w:r>
        <w:rPr>
          <w:rFonts w:hint="eastAsia" w:ascii="仿宋_GB2312" w:hAnsi="仿宋_GB2312" w:eastAsia="仿宋_GB2312" w:cs="仿宋_GB2312"/>
          <w:sz w:val="32"/>
          <w:szCs w:val="32"/>
          <w:lang w:val="en-US" w:eastAsia="zh-CN"/>
        </w:rPr>
        <w:t>防控要求，部分时期我单位将教育督导改为线上督导，在节约人力和财力的情况下，圆满地完成了2020年的教育督导任务。</w:t>
      </w:r>
    </w:p>
    <w:p>
      <w:pPr>
        <w:keepNext w:val="0"/>
        <w:keepLines w:val="0"/>
        <w:pageBreakBefore w:val="0"/>
        <w:widowControl w:val="0"/>
        <w:kinsoku/>
        <w:wordWrap/>
        <w:overflowPunct/>
        <w:topLinePunct w:val="0"/>
        <w:autoSpaceDE/>
        <w:autoSpaceDN/>
        <w:bidi w:val="0"/>
        <w:adjustRightInd/>
        <w:snapToGrid/>
        <w:spacing w:line="560" w:lineRule="exact"/>
        <w:ind w:left="0" w:firstLine="627" w:firstLineChars="200"/>
        <w:textAlignment w:val="auto"/>
        <w:rPr>
          <w:rFonts w:hint="eastAsia" w:ascii="楷体" w:hAnsi="楷体" w:eastAsia="楷体"/>
          <w:b/>
          <w:spacing w:val="-4"/>
          <w:sz w:val="32"/>
          <w:szCs w:val="32"/>
        </w:rPr>
      </w:pPr>
      <w:r>
        <w:rPr>
          <w:rFonts w:hint="eastAsia" w:ascii="楷体" w:hAnsi="楷体" w:eastAsia="楷体"/>
          <w:b/>
          <w:spacing w:val="-4"/>
          <w:sz w:val="32"/>
          <w:szCs w:val="32"/>
          <w:lang w:eastAsia="zh-CN"/>
        </w:rPr>
        <w:t>（二）</w:t>
      </w:r>
      <w:r>
        <w:rPr>
          <w:rFonts w:hint="eastAsia" w:ascii="楷体" w:hAnsi="楷体" w:eastAsia="楷体"/>
          <w:b/>
          <w:spacing w:val="-4"/>
          <w:sz w:val="32"/>
          <w:szCs w:val="32"/>
        </w:rPr>
        <w:t>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 </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六、有关建议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建议加强项目预算审核，要严格按照项目资金年度额度编制预算；项目预算及支出管理的科学性有待进一步提高，做好项目实施过程中资金支出与预算的比较，定期向项目实施人员了解项目执行情况，</w:t>
      </w:r>
      <w:r>
        <w:rPr>
          <w:rFonts w:hint="eastAsia" w:ascii="仿宋_GB2312" w:hAnsi="仿宋_GB2312" w:eastAsia="仿宋_GB2312" w:cs="仿宋_GB2312"/>
          <w:sz w:val="32"/>
          <w:szCs w:val="32"/>
          <w:lang w:eastAsia="zh-CN"/>
        </w:rPr>
        <w:t>更好地提高</w:t>
      </w:r>
      <w:r>
        <w:rPr>
          <w:rFonts w:hint="eastAsia" w:ascii="仿宋_GB2312" w:hAnsi="仿宋_GB2312" w:eastAsia="仿宋_GB2312" w:cs="仿宋_GB2312"/>
          <w:sz w:val="32"/>
          <w:szCs w:val="32"/>
        </w:rPr>
        <w:t>资金使用效率。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w:t>
      </w:r>
      <w:r>
        <w:rPr>
          <w:rFonts w:hint="eastAsia" w:ascii="仿宋" w:hAnsi="仿宋" w:eastAsia="仿宋" w:cs="仿宋"/>
          <w:sz w:val="32"/>
          <w:szCs w:val="32"/>
        </w:rPr>
        <w:t>效</w:t>
      </w:r>
      <w:r>
        <w:rPr>
          <w:rFonts w:hint="eastAsia" w:ascii="仿宋_GB2312" w:hAnsi="仿宋_GB2312" w:eastAsia="仿宋_GB2312" w:cs="仿宋_GB2312"/>
          <w:sz w:val="32"/>
          <w:szCs w:val="32"/>
        </w:rPr>
        <w:t>地防止了截留、挤占和挪用。</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contextualSpacing/>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sz w:val="32"/>
          <w:szCs w:val="32"/>
        </w:rPr>
      </w:pPr>
    </w:p>
    <w:p>
      <w:pPr>
        <w:pStyle w:val="24"/>
        <w:pageBreakBefore w:val="0"/>
        <w:kinsoku/>
        <w:wordWrap/>
        <w:overflowPunct/>
        <w:topLinePunct w:val="0"/>
        <w:autoSpaceDE/>
        <w:autoSpaceDN/>
        <w:bidi w:val="0"/>
        <w:adjustRightInd/>
        <w:snapToGrid/>
        <w:spacing w:after="0" w:line="560" w:lineRule="exact"/>
        <w:textAlignment w:val="auto"/>
        <w:rPr>
          <w:rFonts w:hint="eastAsia"/>
        </w:rPr>
      </w:pPr>
    </w:p>
    <w:p>
      <w:pPr>
        <w:pageBreakBefore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sectPr>
          <w:headerReference r:id="rId3" w:type="default"/>
          <w:footerReference r:id="rId4" w:type="default"/>
          <w:pgSz w:w="11906" w:h="16838"/>
          <w:pgMar w:top="193" w:right="1800" w:bottom="306" w:left="1800" w:header="851" w:footer="992" w:gutter="0"/>
          <w:pgBorders>
            <w:top w:val="none" w:sz="0" w:space="0"/>
            <w:left w:val="none" w:sz="0" w:space="0"/>
            <w:bottom w:val="none" w:sz="0" w:space="0"/>
            <w:right w:val="none" w:sz="0" w:space="0"/>
          </w:pgBorders>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25"/>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02"/>
        <w:gridCol w:w="735"/>
        <w:gridCol w:w="835"/>
        <w:gridCol w:w="2473"/>
        <w:gridCol w:w="7375"/>
        <w:gridCol w:w="880"/>
        <w:gridCol w:w="118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28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一级指标</w:t>
            </w: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二级指标</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三级指标</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指标解释</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指标说明</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权重</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8" w:hRule="atLeast"/>
          <w:jc w:val="center"/>
        </w:trPr>
        <w:tc>
          <w:tcPr>
            <w:tcW w:w="28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57"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5"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59"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4" w:hRule="atLeast"/>
          <w:jc w:val="center"/>
        </w:trPr>
        <w:tc>
          <w:tcPr>
            <w:tcW w:w="28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2"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6" w:hRule="atLeast"/>
          <w:jc w:val="center"/>
        </w:trPr>
        <w:tc>
          <w:tcPr>
            <w:tcW w:w="28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81" w:type="pct"/>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257"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5"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1" w:hRule="atLeast"/>
          <w:jc w:val="center"/>
        </w:trPr>
        <w:tc>
          <w:tcPr>
            <w:tcW w:w="28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7"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4" w:hRule="atLeast"/>
          <w:jc w:val="center"/>
        </w:trPr>
        <w:tc>
          <w:tcPr>
            <w:tcW w:w="28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92" w:hRule="atLeast"/>
          <w:jc w:val="center"/>
        </w:trPr>
        <w:tc>
          <w:tcPr>
            <w:tcW w:w="281"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3" w:hRule="atLeast"/>
          <w:jc w:val="center"/>
        </w:trPr>
        <w:tc>
          <w:tcPr>
            <w:tcW w:w="28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6" w:hRule="atLeast"/>
          <w:jc w:val="center"/>
        </w:trPr>
        <w:tc>
          <w:tcPr>
            <w:tcW w:w="281" w:type="pct"/>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86" w:hRule="atLeast"/>
          <w:jc w:val="center"/>
        </w:trPr>
        <w:tc>
          <w:tcPr>
            <w:tcW w:w="28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8" w:hRule="atLeast"/>
          <w:jc w:val="center"/>
        </w:trPr>
        <w:tc>
          <w:tcPr>
            <w:tcW w:w="281"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257" w:type="pct"/>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865"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580"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308"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413"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7" w:hRule="atLeast"/>
          <w:jc w:val="center"/>
        </w:trPr>
        <w:tc>
          <w:tcPr>
            <w:tcW w:w="281"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57" w:type="pct"/>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92" w:type="pc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865"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580"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308"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413" w:type="pct"/>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47"/>
        <w:widowControl w:val="0"/>
        <w:numPr>
          <w:ilvl w:val="0"/>
          <w:numId w:val="0"/>
        </w:numPr>
        <w:spacing w:line="560" w:lineRule="exact"/>
        <w:jc w:val="both"/>
        <w:rPr>
          <w:rFonts w:hint="eastAsia" w:ascii="宋体" w:hAnsi="宋体" w:eastAsia="宋体" w:cs="宋体"/>
          <w:sz w:val="18"/>
          <w:szCs w:val="18"/>
          <w:lang w:eastAsia="zh-CN"/>
        </w:rPr>
      </w:pPr>
    </w:p>
    <w:p>
      <w:pPr>
        <w:pStyle w:val="47"/>
        <w:widowControl w:val="0"/>
        <w:numPr>
          <w:ilvl w:val="0"/>
          <w:numId w:val="0"/>
        </w:numPr>
        <w:spacing w:line="560" w:lineRule="exact"/>
        <w:jc w:val="both"/>
        <w:rPr>
          <w:rFonts w:hint="eastAsia" w:ascii="宋体" w:hAnsi="宋体" w:eastAsia="宋体" w:cs="宋体"/>
          <w:sz w:val="18"/>
          <w:szCs w:val="18"/>
          <w:lang w:eastAsia="zh-CN"/>
        </w:rPr>
      </w:pPr>
    </w:p>
    <w:p>
      <w:pPr>
        <w:pStyle w:val="47"/>
        <w:spacing w:line="560" w:lineRule="exact"/>
        <w:ind w:firstLine="0" w:firstLineChars="0"/>
        <w:rPr>
          <w:rFonts w:hint="eastAsia" w:ascii="宋体" w:hAnsi="宋体" w:eastAsia="宋体" w:cs="宋体"/>
          <w:sz w:val="18"/>
          <w:szCs w:val="18"/>
          <w:lang w:eastAsia="zh-CN"/>
        </w:rPr>
      </w:pPr>
    </w:p>
    <w:p>
      <w:pPr>
        <w:pStyle w:val="47"/>
        <w:spacing w:line="560" w:lineRule="exact"/>
        <w:ind w:firstLine="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47"/>
        <w:spacing w:line="560" w:lineRule="exact"/>
        <w:ind w:firstLine="0" w:firstLineChars="0"/>
        <w:rPr>
          <w:rFonts w:hint="eastAsia" w:ascii="仿宋" w:hAnsi="仿宋" w:eastAsia="仿宋" w:cs="仿宋"/>
          <w:sz w:val="32"/>
          <w:szCs w:val="32"/>
          <w:lang w:eastAsia="zh-CN"/>
        </w:rPr>
      </w:pPr>
    </w:p>
    <w:p>
      <w:pPr>
        <w:pStyle w:val="47"/>
        <w:spacing w:line="560" w:lineRule="exact"/>
        <w:ind w:firstLine="0" w:firstLineChars="0"/>
        <w:rPr>
          <w:rFonts w:hint="eastAsia" w:ascii="仿宋" w:hAnsi="仿宋" w:eastAsia="仿宋" w:cs="仿宋"/>
          <w:sz w:val="32"/>
          <w:szCs w:val="32"/>
          <w:lang w:eastAsia="zh-CN"/>
        </w:rPr>
        <w:sectPr>
          <w:pgSz w:w="16838" w:h="11906" w:orient="landscape"/>
          <w:pgMar w:top="1800" w:right="1327"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47"/>
        <w:spacing w:line="560" w:lineRule="exact"/>
        <w:ind w:firstLine="0" w:firstLineChars="0"/>
        <w:rPr>
          <w:rFonts w:hint="eastAsia" w:ascii="仿宋" w:hAnsi="仿宋" w:eastAsia="仿宋" w:cs="仿宋"/>
          <w:sz w:val="28"/>
          <w:szCs w:val="28"/>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p>
    <w:tbl>
      <w:tblPr>
        <w:tblStyle w:val="25"/>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行署教育督导工作经费</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伊犁哈萨克自治州塔城地区教育局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29.97</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74.93%</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29.97</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0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保障督政、督学、质量检测等教督导工作有效开展，促进县（市）人民政府切实履行教育职责， 学校规范办学、全力提高教育教学质量。</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保障督政、督学、质量检测等教督导工作有效开展，促进县（市）人民政府切实履行教育职责， 学校规范办学、全力提高教育教学质量。</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年内实施督导检查次数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2020年受</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影响，减少督导次数</w:t>
            </w: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购买办公设备（台）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≥2台</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2台</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督导检查学校次数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0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督导任务完成率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2020年受</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影响，减少督导次数</w:t>
            </w: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督导完成时间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2020年12月底前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每次组织督导出差支出</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单台设备购置成本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促进教育公平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促进教育水平持续提高</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有所提高</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有所提高</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被督导单位的满意度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widowControl/>
        <w:spacing w:line="240" w:lineRule="auto"/>
        <w:jc w:val="left"/>
        <w:rPr>
          <w:rFonts w:hint="eastAsia" w:ascii="仿宋" w:hAnsi="仿宋" w:eastAsia="仿宋" w:cs="仿宋"/>
          <w:sz w:val="32"/>
          <w:szCs w:val="32"/>
        </w:rPr>
      </w:pPr>
    </w:p>
    <w:sectPr>
      <w:pgSz w:w="11906" w:h="16838"/>
      <w:pgMar w:top="1327"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fldChar w:fldCharType="begin"/>
    </w:r>
    <w:r>
      <w:instrText xml:space="preserve"> PAGE   \* MERGEFORMAT </w:instrText>
    </w:r>
    <w:r>
      <w:fldChar w:fldCharType="separate"/>
    </w:r>
    <w:r>
      <w:rPr>
        <w:lang w:val="zh-CN"/>
      </w:rPr>
      <w:t>2</w:t>
    </w:r>
    <w:r>
      <w:rPr>
        <w:lang w:val="zh-CN"/>
      </w:rPr>
      <w:fldChar w:fldCharType="end"/>
    </w:r>
  </w:p>
  <w:p>
    <w:pPr>
      <w:pStyle w:val="16"/>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AF80E"/>
    <w:multiLevelType w:val="singleLevel"/>
    <w:tmpl w:val="A10AF80E"/>
    <w:lvl w:ilvl="0" w:tentative="0">
      <w:start w:val="5"/>
      <w:numFmt w:val="chineseCounting"/>
      <w:suff w:val="nothing"/>
      <w:lvlText w:val="%1、"/>
      <w:lvlJc w:val="left"/>
      <w:pPr>
        <w:ind w:left="800" w:leftChars="0" w:firstLine="0" w:firstLineChars="0"/>
      </w:pPr>
      <w:rPr>
        <w:rFonts w:hint="eastAsia"/>
      </w:rPr>
    </w:lvl>
  </w:abstractNum>
  <w:abstractNum w:abstractNumId="1">
    <w:nsid w:val="B0C6126A"/>
    <w:multiLevelType w:val="singleLevel"/>
    <w:tmpl w:val="B0C6126A"/>
    <w:lvl w:ilvl="0" w:tentative="0">
      <w:start w:val="2"/>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4B7D"/>
    <w:rsid w:val="00003A4E"/>
    <w:rsid w:val="00004947"/>
    <w:rsid w:val="00006998"/>
    <w:rsid w:val="000172E4"/>
    <w:rsid w:val="000178C7"/>
    <w:rsid w:val="0002363F"/>
    <w:rsid w:val="00026EAF"/>
    <w:rsid w:val="000339A8"/>
    <w:rsid w:val="0003684D"/>
    <w:rsid w:val="000440B3"/>
    <w:rsid w:val="00052F83"/>
    <w:rsid w:val="0006087B"/>
    <w:rsid w:val="000614C8"/>
    <w:rsid w:val="000626DA"/>
    <w:rsid w:val="00065AEE"/>
    <w:rsid w:val="00065E72"/>
    <w:rsid w:val="000667CE"/>
    <w:rsid w:val="00071214"/>
    <w:rsid w:val="00074CE2"/>
    <w:rsid w:val="000774F9"/>
    <w:rsid w:val="00091ECA"/>
    <w:rsid w:val="00094315"/>
    <w:rsid w:val="00094D2B"/>
    <w:rsid w:val="000A41A8"/>
    <w:rsid w:val="000C49D6"/>
    <w:rsid w:val="000D25EF"/>
    <w:rsid w:val="000D43C6"/>
    <w:rsid w:val="000D6FA4"/>
    <w:rsid w:val="000E373F"/>
    <w:rsid w:val="000E3AD8"/>
    <w:rsid w:val="000E3C13"/>
    <w:rsid w:val="00106F38"/>
    <w:rsid w:val="00107079"/>
    <w:rsid w:val="00112A3E"/>
    <w:rsid w:val="0011442A"/>
    <w:rsid w:val="001243F9"/>
    <w:rsid w:val="00133881"/>
    <w:rsid w:val="00134F46"/>
    <w:rsid w:val="00136799"/>
    <w:rsid w:val="00142BBA"/>
    <w:rsid w:val="00155097"/>
    <w:rsid w:val="001663FA"/>
    <w:rsid w:val="00180791"/>
    <w:rsid w:val="001816F6"/>
    <w:rsid w:val="00191767"/>
    <w:rsid w:val="001954C0"/>
    <w:rsid w:val="001954FF"/>
    <w:rsid w:val="00197DD1"/>
    <w:rsid w:val="001A1214"/>
    <w:rsid w:val="001A1F6C"/>
    <w:rsid w:val="001A382B"/>
    <w:rsid w:val="001B1FFA"/>
    <w:rsid w:val="001B3E82"/>
    <w:rsid w:val="001B605E"/>
    <w:rsid w:val="001B69FE"/>
    <w:rsid w:val="001C53B2"/>
    <w:rsid w:val="001D0CC8"/>
    <w:rsid w:val="001D0DB8"/>
    <w:rsid w:val="001D2178"/>
    <w:rsid w:val="001D5B39"/>
    <w:rsid w:val="001E40DC"/>
    <w:rsid w:val="0020002E"/>
    <w:rsid w:val="00204526"/>
    <w:rsid w:val="00206A17"/>
    <w:rsid w:val="00222432"/>
    <w:rsid w:val="0022430A"/>
    <w:rsid w:val="00232878"/>
    <w:rsid w:val="002441DD"/>
    <w:rsid w:val="00247B93"/>
    <w:rsid w:val="00247C9C"/>
    <w:rsid w:val="00251DDE"/>
    <w:rsid w:val="0025223B"/>
    <w:rsid w:val="00253F2C"/>
    <w:rsid w:val="002547E0"/>
    <w:rsid w:val="00254DC6"/>
    <w:rsid w:val="00257940"/>
    <w:rsid w:val="002629AE"/>
    <w:rsid w:val="00264431"/>
    <w:rsid w:val="00271EE9"/>
    <w:rsid w:val="0027401A"/>
    <w:rsid w:val="00285A9E"/>
    <w:rsid w:val="00287696"/>
    <w:rsid w:val="002A3109"/>
    <w:rsid w:val="002A5524"/>
    <w:rsid w:val="002B3254"/>
    <w:rsid w:val="002D096F"/>
    <w:rsid w:val="002D380F"/>
    <w:rsid w:val="002F33B8"/>
    <w:rsid w:val="002F450E"/>
    <w:rsid w:val="0030104B"/>
    <w:rsid w:val="00301DB8"/>
    <w:rsid w:val="0031226E"/>
    <w:rsid w:val="00320069"/>
    <w:rsid w:val="003205F1"/>
    <w:rsid w:val="00327010"/>
    <w:rsid w:val="0035216A"/>
    <w:rsid w:val="003545D0"/>
    <w:rsid w:val="0036622E"/>
    <w:rsid w:val="00370B9A"/>
    <w:rsid w:val="003736E5"/>
    <w:rsid w:val="00376720"/>
    <w:rsid w:val="003837A2"/>
    <w:rsid w:val="00387CD8"/>
    <w:rsid w:val="003B3204"/>
    <w:rsid w:val="003C2936"/>
    <w:rsid w:val="003D270B"/>
    <w:rsid w:val="003D3EF5"/>
    <w:rsid w:val="003E678F"/>
    <w:rsid w:val="003F74B1"/>
    <w:rsid w:val="00406A68"/>
    <w:rsid w:val="00414B7D"/>
    <w:rsid w:val="00427588"/>
    <w:rsid w:val="0043476F"/>
    <w:rsid w:val="0044487F"/>
    <w:rsid w:val="00454F7C"/>
    <w:rsid w:val="00456D64"/>
    <w:rsid w:val="00465E0C"/>
    <w:rsid w:val="004715F5"/>
    <w:rsid w:val="0047766F"/>
    <w:rsid w:val="00480C63"/>
    <w:rsid w:val="00482700"/>
    <w:rsid w:val="00493188"/>
    <w:rsid w:val="00493D33"/>
    <w:rsid w:val="004976BC"/>
    <w:rsid w:val="004A4934"/>
    <w:rsid w:val="004C4573"/>
    <w:rsid w:val="004C67D4"/>
    <w:rsid w:val="004E7937"/>
    <w:rsid w:val="004F1CD7"/>
    <w:rsid w:val="00515004"/>
    <w:rsid w:val="005150FE"/>
    <w:rsid w:val="00523BFA"/>
    <w:rsid w:val="005329A7"/>
    <w:rsid w:val="00533A1D"/>
    <w:rsid w:val="0053754E"/>
    <w:rsid w:val="005506C9"/>
    <w:rsid w:val="0055544A"/>
    <w:rsid w:val="00577BB9"/>
    <w:rsid w:val="00581B7D"/>
    <w:rsid w:val="00583A12"/>
    <w:rsid w:val="00593BBD"/>
    <w:rsid w:val="0059751C"/>
    <w:rsid w:val="00597E23"/>
    <w:rsid w:val="005A1B90"/>
    <w:rsid w:val="005A59CA"/>
    <w:rsid w:val="005A5BE0"/>
    <w:rsid w:val="005A6BD5"/>
    <w:rsid w:val="005B0346"/>
    <w:rsid w:val="005B286F"/>
    <w:rsid w:val="005B4B3A"/>
    <w:rsid w:val="00600A59"/>
    <w:rsid w:val="006012C0"/>
    <w:rsid w:val="00602B9B"/>
    <w:rsid w:val="006076A8"/>
    <w:rsid w:val="00615F60"/>
    <w:rsid w:val="006234C4"/>
    <w:rsid w:val="00623DB9"/>
    <w:rsid w:val="00624367"/>
    <w:rsid w:val="00624B62"/>
    <w:rsid w:val="00625B3A"/>
    <w:rsid w:val="00634A35"/>
    <w:rsid w:val="006357D6"/>
    <w:rsid w:val="00636606"/>
    <w:rsid w:val="00641E3E"/>
    <w:rsid w:val="006507BC"/>
    <w:rsid w:val="00652138"/>
    <w:rsid w:val="00656DF2"/>
    <w:rsid w:val="0065783A"/>
    <w:rsid w:val="00665C5D"/>
    <w:rsid w:val="00666771"/>
    <w:rsid w:val="0067257B"/>
    <w:rsid w:val="00692B36"/>
    <w:rsid w:val="00692F1A"/>
    <w:rsid w:val="006A0C6F"/>
    <w:rsid w:val="006A291E"/>
    <w:rsid w:val="006A2FEC"/>
    <w:rsid w:val="006C7259"/>
    <w:rsid w:val="006D7E78"/>
    <w:rsid w:val="006E0D19"/>
    <w:rsid w:val="006F0E98"/>
    <w:rsid w:val="006F23A2"/>
    <w:rsid w:val="006F31CB"/>
    <w:rsid w:val="00706741"/>
    <w:rsid w:val="007067DC"/>
    <w:rsid w:val="007115C8"/>
    <w:rsid w:val="00716851"/>
    <w:rsid w:val="00724D20"/>
    <w:rsid w:val="00732EAB"/>
    <w:rsid w:val="007347D1"/>
    <w:rsid w:val="00744519"/>
    <w:rsid w:val="00755FCC"/>
    <w:rsid w:val="00756401"/>
    <w:rsid w:val="00760247"/>
    <w:rsid w:val="007620C6"/>
    <w:rsid w:val="00792914"/>
    <w:rsid w:val="00797F57"/>
    <w:rsid w:val="007B06E2"/>
    <w:rsid w:val="007C4B7F"/>
    <w:rsid w:val="007D370A"/>
    <w:rsid w:val="007E22AF"/>
    <w:rsid w:val="007E73C8"/>
    <w:rsid w:val="007F135E"/>
    <w:rsid w:val="007F506C"/>
    <w:rsid w:val="00803336"/>
    <w:rsid w:val="008046A5"/>
    <w:rsid w:val="00806B15"/>
    <w:rsid w:val="00812F0F"/>
    <w:rsid w:val="00825E86"/>
    <w:rsid w:val="0085075C"/>
    <w:rsid w:val="00861AB8"/>
    <w:rsid w:val="00861C63"/>
    <w:rsid w:val="00862861"/>
    <w:rsid w:val="008848E3"/>
    <w:rsid w:val="0088585A"/>
    <w:rsid w:val="0088603C"/>
    <w:rsid w:val="0088681F"/>
    <w:rsid w:val="00887099"/>
    <w:rsid w:val="008874A1"/>
    <w:rsid w:val="00890A53"/>
    <w:rsid w:val="008940B0"/>
    <w:rsid w:val="00894478"/>
    <w:rsid w:val="00897F4A"/>
    <w:rsid w:val="008A00B8"/>
    <w:rsid w:val="008A24DE"/>
    <w:rsid w:val="008B0D3D"/>
    <w:rsid w:val="008B1B47"/>
    <w:rsid w:val="008C3A26"/>
    <w:rsid w:val="008D6F5D"/>
    <w:rsid w:val="008E1B34"/>
    <w:rsid w:val="008F0410"/>
    <w:rsid w:val="008F6B03"/>
    <w:rsid w:val="00911D89"/>
    <w:rsid w:val="00912EDD"/>
    <w:rsid w:val="00914D86"/>
    <w:rsid w:val="00974220"/>
    <w:rsid w:val="00986432"/>
    <w:rsid w:val="00990FCE"/>
    <w:rsid w:val="00992585"/>
    <w:rsid w:val="00996C34"/>
    <w:rsid w:val="009A4B92"/>
    <w:rsid w:val="009A5677"/>
    <w:rsid w:val="009B2869"/>
    <w:rsid w:val="009B5AE8"/>
    <w:rsid w:val="009C357F"/>
    <w:rsid w:val="009C67DB"/>
    <w:rsid w:val="009D16A3"/>
    <w:rsid w:val="009D396C"/>
    <w:rsid w:val="009E4629"/>
    <w:rsid w:val="009E4E46"/>
    <w:rsid w:val="009F1B2F"/>
    <w:rsid w:val="009F1FB9"/>
    <w:rsid w:val="009F5B0F"/>
    <w:rsid w:val="009F76EF"/>
    <w:rsid w:val="00A0251C"/>
    <w:rsid w:val="00A02C06"/>
    <w:rsid w:val="00A10229"/>
    <w:rsid w:val="00A308A2"/>
    <w:rsid w:val="00A338DF"/>
    <w:rsid w:val="00A357EC"/>
    <w:rsid w:val="00A41120"/>
    <w:rsid w:val="00A426D9"/>
    <w:rsid w:val="00A6554D"/>
    <w:rsid w:val="00A65AA9"/>
    <w:rsid w:val="00A726DE"/>
    <w:rsid w:val="00A7335C"/>
    <w:rsid w:val="00A76219"/>
    <w:rsid w:val="00A76DD0"/>
    <w:rsid w:val="00A82F2F"/>
    <w:rsid w:val="00A93261"/>
    <w:rsid w:val="00AA0E68"/>
    <w:rsid w:val="00AA2E97"/>
    <w:rsid w:val="00AA54AE"/>
    <w:rsid w:val="00AC0F1C"/>
    <w:rsid w:val="00AC7453"/>
    <w:rsid w:val="00AD6A36"/>
    <w:rsid w:val="00AE6AF5"/>
    <w:rsid w:val="00AE7455"/>
    <w:rsid w:val="00AF0FE2"/>
    <w:rsid w:val="00B01873"/>
    <w:rsid w:val="00B055D5"/>
    <w:rsid w:val="00B057FB"/>
    <w:rsid w:val="00B05C3B"/>
    <w:rsid w:val="00B13683"/>
    <w:rsid w:val="00B26134"/>
    <w:rsid w:val="00B271BC"/>
    <w:rsid w:val="00B27557"/>
    <w:rsid w:val="00B30BAE"/>
    <w:rsid w:val="00B323F7"/>
    <w:rsid w:val="00B37D58"/>
    <w:rsid w:val="00B40A5B"/>
    <w:rsid w:val="00B514B5"/>
    <w:rsid w:val="00B54402"/>
    <w:rsid w:val="00B5553A"/>
    <w:rsid w:val="00B700CC"/>
    <w:rsid w:val="00B722B6"/>
    <w:rsid w:val="00B75394"/>
    <w:rsid w:val="00B959FD"/>
    <w:rsid w:val="00BA18A3"/>
    <w:rsid w:val="00BC32E5"/>
    <w:rsid w:val="00BC723C"/>
    <w:rsid w:val="00BC72A2"/>
    <w:rsid w:val="00BE0ED9"/>
    <w:rsid w:val="00BE1C1F"/>
    <w:rsid w:val="00BF21D4"/>
    <w:rsid w:val="00BF61D9"/>
    <w:rsid w:val="00C01D91"/>
    <w:rsid w:val="00C02C5B"/>
    <w:rsid w:val="00C05168"/>
    <w:rsid w:val="00C101E0"/>
    <w:rsid w:val="00C12168"/>
    <w:rsid w:val="00C17DE5"/>
    <w:rsid w:val="00C26468"/>
    <w:rsid w:val="00C41A25"/>
    <w:rsid w:val="00C43444"/>
    <w:rsid w:val="00C501D1"/>
    <w:rsid w:val="00C55830"/>
    <w:rsid w:val="00C558BC"/>
    <w:rsid w:val="00C55BC4"/>
    <w:rsid w:val="00C56E48"/>
    <w:rsid w:val="00C628CC"/>
    <w:rsid w:val="00C71923"/>
    <w:rsid w:val="00C73E9D"/>
    <w:rsid w:val="00C8166B"/>
    <w:rsid w:val="00C82001"/>
    <w:rsid w:val="00C86A88"/>
    <w:rsid w:val="00CA48EA"/>
    <w:rsid w:val="00CB0330"/>
    <w:rsid w:val="00CB4F91"/>
    <w:rsid w:val="00CB7D72"/>
    <w:rsid w:val="00CD529F"/>
    <w:rsid w:val="00CD6E80"/>
    <w:rsid w:val="00CE6897"/>
    <w:rsid w:val="00CE6C7B"/>
    <w:rsid w:val="00CE7209"/>
    <w:rsid w:val="00CF18B4"/>
    <w:rsid w:val="00CF1F29"/>
    <w:rsid w:val="00D00698"/>
    <w:rsid w:val="00D036C4"/>
    <w:rsid w:val="00D12559"/>
    <w:rsid w:val="00D12F25"/>
    <w:rsid w:val="00D2398C"/>
    <w:rsid w:val="00D23C99"/>
    <w:rsid w:val="00D26D27"/>
    <w:rsid w:val="00D36FCE"/>
    <w:rsid w:val="00D4559A"/>
    <w:rsid w:val="00D47E9C"/>
    <w:rsid w:val="00D50DE7"/>
    <w:rsid w:val="00D5142C"/>
    <w:rsid w:val="00D676F1"/>
    <w:rsid w:val="00D71525"/>
    <w:rsid w:val="00D72696"/>
    <w:rsid w:val="00D745B1"/>
    <w:rsid w:val="00D80190"/>
    <w:rsid w:val="00D8213A"/>
    <w:rsid w:val="00D82180"/>
    <w:rsid w:val="00D92744"/>
    <w:rsid w:val="00D97172"/>
    <w:rsid w:val="00DA2994"/>
    <w:rsid w:val="00DA2DF3"/>
    <w:rsid w:val="00DA3CDF"/>
    <w:rsid w:val="00DC3762"/>
    <w:rsid w:val="00DC6692"/>
    <w:rsid w:val="00DC6C36"/>
    <w:rsid w:val="00DD52CE"/>
    <w:rsid w:val="00DD5996"/>
    <w:rsid w:val="00DF547B"/>
    <w:rsid w:val="00DF7E2E"/>
    <w:rsid w:val="00E01D81"/>
    <w:rsid w:val="00E02EF1"/>
    <w:rsid w:val="00E037D0"/>
    <w:rsid w:val="00E07B36"/>
    <w:rsid w:val="00E20D25"/>
    <w:rsid w:val="00E30AD7"/>
    <w:rsid w:val="00E34D21"/>
    <w:rsid w:val="00E52AFF"/>
    <w:rsid w:val="00E605DB"/>
    <w:rsid w:val="00E80A49"/>
    <w:rsid w:val="00E87004"/>
    <w:rsid w:val="00E87B44"/>
    <w:rsid w:val="00EA2F0A"/>
    <w:rsid w:val="00EA5575"/>
    <w:rsid w:val="00EB0C7B"/>
    <w:rsid w:val="00EB6511"/>
    <w:rsid w:val="00EB6583"/>
    <w:rsid w:val="00EC2CA4"/>
    <w:rsid w:val="00EE0E46"/>
    <w:rsid w:val="00EE1522"/>
    <w:rsid w:val="00EE1853"/>
    <w:rsid w:val="00EF7159"/>
    <w:rsid w:val="00F03284"/>
    <w:rsid w:val="00F12440"/>
    <w:rsid w:val="00F1535B"/>
    <w:rsid w:val="00F217E5"/>
    <w:rsid w:val="00F25EFA"/>
    <w:rsid w:val="00F2641D"/>
    <w:rsid w:val="00F319F5"/>
    <w:rsid w:val="00F36B2B"/>
    <w:rsid w:val="00F40F91"/>
    <w:rsid w:val="00F5460F"/>
    <w:rsid w:val="00F5491B"/>
    <w:rsid w:val="00F649A4"/>
    <w:rsid w:val="00F6675A"/>
    <w:rsid w:val="00F75809"/>
    <w:rsid w:val="00F806BF"/>
    <w:rsid w:val="00F845E1"/>
    <w:rsid w:val="00F874E5"/>
    <w:rsid w:val="00F87AFA"/>
    <w:rsid w:val="00FA05A9"/>
    <w:rsid w:val="00FA1407"/>
    <w:rsid w:val="00FA60C1"/>
    <w:rsid w:val="00FA7F62"/>
    <w:rsid w:val="00FB5F2A"/>
    <w:rsid w:val="00FC22AB"/>
    <w:rsid w:val="00FC24FB"/>
    <w:rsid w:val="00FC2CB6"/>
    <w:rsid w:val="00FC48B9"/>
    <w:rsid w:val="00FE160B"/>
    <w:rsid w:val="00FF3DBD"/>
    <w:rsid w:val="01501DD8"/>
    <w:rsid w:val="015D66C3"/>
    <w:rsid w:val="01AC36BD"/>
    <w:rsid w:val="03E33492"/>
    <w:rsid w:val="05C34C05"/>
    <w:rsid w:val="06365CF3"/>
    <w:rsid w:val="06B842B2"/>
    <w:rsid w:val="07CA1AF5"/>
    <w:rsid w:val="081A7BA1"/>
    <w:rsid w:val="09BF5CC8"/>
    <w:rsid w:val="09D6647F"/>
    <w:rsid w:val="09F50B00"/>
    <w:rsid w:val="0B4D34A0"/>
    <w:rsid w:val="0BAB2E65"/>
    <w:rsid w:val="0BF41E4D"/>
    <w:rsid w:val="0C29582D"/>
    <w:rsid w:val="0C4013CA"/>
    <w:rsid w:val="0C4733C6"/>
    <w:rsid w:val="0D0D6439"/>
    <w:rsid w:val="0D190A2F"/>
    <w:rsid w:val="0D4F37B6"/>
    <w:rsid w:val="0EC476AC"/>
    <w:rsid w:val="0F482DDA"/>
    <w:rsid w:val="0F794596"/>
    <w:rsid w:val="0F8275EF"/>
    <w:rsid w:val="103D6F2D"/>
    <w:rsid w:val="1070505E"/>
    <w:rsid w:val="110204C6"/>
    <w:rsid w:val="12F93BC0"/>
    <w:rsid w:val="1365776D"/>
    <w:rsid w:val="144806E8"/>
    <w:rsid w:val="15D85BB3"/>
    <w:rsid w:val="165C0D76"/>
    <w:rsid w:val="17324CA8"/>
    <w:rsid w:val="17346E34"/>
    <w:rsid w:val="18634047"/>
    <w:rsid w:val="19056BD2"/>
    <w:rsid w:val="195C7381"/>
    <w:rsid w:val="197022C5"/>
    <w:rsid w:val="19F32106"/>
    <w:rsid w:val="1A974AEF"/>
    <w:rsid w:val="1AB5002B"/>
    <w:rsid w:val="1ADA5A01"/>
    <w:rsid w:val="1C2A0323"/>
    <w:rsid w:val="1C5324D8"/>
    <w:rsid w:val="1C965695"/>
    <w:rsid w:val="1DC77B13"/>
    <w:rsid w:val="1E1268FA"/>
    <w:rsid w:val="1E306B47"/>
    <w:rsid w:val="1E791843"/>
    <w:rsid w:val="1EF34B7A"/>
    <w:rsid w:val="1FC96BD2"/>
    <w:rsid w:val="22C2333D"/>
    <w:rsid w:val="23CF6F16"/>
    <w:rsid w:val="24D170BB"/>
    <w:rsid w:val="25626D86"/>
    <w:rsid w:val="26F02CCB"/>
    <w:rsid w:val="27470F6F"/>
    <w:rsid w:val="28456297"/>
    <w:rsid w:val="28AE1065"/>
    <w:rsid w:val="28EA1B0A"/>
    <w:rsid w:val="2AE77555"/>
    <w:rsid w:val="2C3D316B"/>
    <w:rsid w:val="2C916E3E"/>
    <w:rsid w:val="2CEC131A"/>
    <w:rsid w:val="2D545936"/>
    <w:rsid w:val="2D853F62"/>
    <w:rsid w:val="2E444FD3"/>
    <w:rsid w:val="2E7336E6"/>
    <w:rsid w:val="2F1F4539"/>
    <w:rsid w:val="2F8162E0"/>
    <w:rsid w:val="2FB25ABC"/>
    <w:rsid w:val="2FD821F5"/>
    <w:rsid w:val="30816AE2"/>
    <w:rsid w:val="322A2921"/>
    <w:rsid w:val="3244622C"/>
    <w:rsid w:val="341C36B5"/>
    <w:rsid w:val="347656FB"/>
    <w:rsid w:val="36830901"/>
    <w:rsid w:val="369B4F5A"/>
    <w:rsid w:val="385116DC"/>
    <w:rsid w:val="38895D2E"/>
    <w:rsid w:val="3926100A"/>
    <w:rsid w:val="392D0E49"/>
    <w:rsid w:val="3A5E2A90"/>
    <w:rsid w:val="3A89484F"/>
    <w:rsid w:val="3AB67AFB"/>
    <w:rsid w:val="3B65444F"/>
    <w:rsid w:val="3CDB6A60"/>
    <w:rsid w:val="3D125A40"/>
    <w:rsid w:val="3E6C6EDC"/>
    <w:rsid w:val="3E8A6E88"/>
    <w:rsid w:val="3ED74859"/>
    <w:rsid w:val="40BB69ED"/>
    <w:rsid w:val="41625B99"/>
    <w:rsid w:val="41DB135F"/>
    <w:rsid w:val="427C6310"/>
    <w:rsid w:val="44312211"/>
    <w:rsid w:val="44764BAB"/>
    <w:rsid w:val="448F5724"/>
    <w:rsid w:val="48D10DF8"/>
    <w:rsid w:val="49AB3F6A"/>
    <w:rsid w:val="4AD36340"/>
    <w:rsid w:val="4AD62244"/>
    <w:rsid w:val="4B8C3A1A"/>
    <w:rsid w:val="4C0C36A9"/>
    <w:rsid w:val="4D1864CE"/>
    <w:rsid w:val="4F1973F7"/>
    <w:rsid w:val="4F702354"/>
    <w:rsid w:val="4F7F7A4E"/>
    <w:rsid w:val="50080736"/>
    <w:rsid w:val="50F61D75"/>
    <w:rsid w:val="517E5A4B"/>
    <w:rsid w:val="52BA5257"/>
    <w:rsid w:val="532E1811"/>
    <w:rsid w:val="532F73D8"/>
    <w:rsid w:val="53631052"/>
    <w:rsid w:val="54544DC9"/>
    <w:rsid w:val="547273E7"/>
    <w:rsid w:val="55430977"/>
    <w:rsid w:val="5557542B"/>
    <w:rsid w:val="567A7D5D"/>
    <w:rsid w:val="568E2368"/>
    <w:rsid w:val="56B366DA"/>
    <w:rsid w:val="56C3467F"/>
    <w:rsid w:val="584D7921"/>
    <w:rsid w:val="58552A58"/>
    <w:rsid w:val="58BE643E"/>
    <w:rsid w:val="58E40F75"/>
    <w:rsid w:val="58FA3103"/>
    <w:rsid w:val="593832E6"/>
    <w:rsid w:val="5A732F26"/>
    <w:rsid w:val="5AED0E74"/>
    <w:rsid w:val="5C1511BB"/>
    <w:rsid w:val="5C696AF9"/>
    <w:rsid w:val="5D4C22D3"/>
    <w:rsid w:val="5F996A87"/>
    <w:rsid w:val="609B294D"/>
    <w:rsid w:val="611545F5"/>
    <w:rsid w:val="62344BC2"/>
    <w:rsid w:val="625E5DD0"/>
    <w:rsid w:val="62D9798C"/>
    <w:rsid w:val="632971A9"/>
    <w:rsid w:val="63AB14AD"/>
    <w:rsid w:val="63E0264A"/>
    <w:rsid w:val="64C1017B"/>
    <w:rsid w:val="64D31B37"/>
    <w:rsid w:val="653B6F0D"/>
    <w:rsid w:val="66253588"/>
    <w:rsid w:val="6689750F"/>
    <w:rsid w:val="674F6D76"/>
    <w:rsid w:val="678560AC"/>
    <w:rsid w:val="69804170"/>
    <w:rsid w:val="6990025C"/>
    <w:rsid w:val="6B742436"/>
    <w:rsid w:val="6BD209DC"/>
    <w:rsid w:val="6D1B2D55"/>
    <w:rsid w:val="6D221470"/>
    <w:rsid w:val="6DAB5D1A"/>
    <w:rsid w:val="6FF00A24"/>
    <w:rsid w:val="70086FD7"/>
    <w:rsid w:val="702570E4"/>
    <w:rsid w:val="705D73A8"/>
    <w:rsid w:val="708C521A"/>
    <w:rsid w:val="73B834EE"/>
    <w:rsid w:val="77215447"/>
    <w:rsid w:val="7AC76C68"/>
    <w:rsid w:val="7AD451C1"/>
    <w:rsid w:val="7CAD0CED"/>
    <w:rsid w:val="7E356DF7"/>
    <w:rsid w:val="7E363337"/>
    <w:rsid w:val="7E3E3F41"/>
    <w:rsid w:val="7F422C8D"/>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9"/>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30"/>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31"/>
    <w:qFormat/>
    <w:uiPriority w:val="99"/>
    <w:pPr>
      <w:keepNext/>
      <w:keepLines/>
      <w:spacing w:before="260" w:after="260" w:line="416" w:lineRule="auto"/>
      <w:outlineLvl w:val="2"/>
    </w:pPr>
    <w:rPr>
      <w:b/>
      <w:bCs/>
      <w:sz w:val="32"/>
      <w:szCs w:val="32"/>
    </w:rPr>
  </w:style>
  <w:style w:type="paragraph" w:styleId="6">
    <w:name w:val="heading 4"/>
    <w:basedOn w:val="1"/>
    <w:next w:val="1"/>
    <w:link w:val="32"/>
    <w:qFormat/>
    <w:uiPriority w:val="99"/>
    <w:pPr>
      <w:keepNext/>
      <w:keepLines/>
      <w:spacing w:before="280" w:after="290" w:line="376" w:lineRule="auto"/>
      <w:outlineLvl w:val="3"/>
    </w:pPr>
    <w:rPr>
      <w:rFonts w:ascii="Cambria" w:hAnsi="Cambria"/>
      <w:b/>
      <w:bCs/>
      <w:sz w:val="28"/>
      <w:szCs w:val="28"/>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toc 7"/>
    <w:basedOn w:val="1"/>
    <w:next w:val="1"/>
    <w:qFormat/>
    <w:uiPriority w:val="99"/>
    <w:pPr>
      <w:ind w:left="1260"/>
      <w:jc w:val="left"/>
    </w:pPr>
    <w:rPr>
      <w:sz w:val="18"/>
      <w:szCs w:val="18"/>
    </w:rPr>
  </w:style>
  <w:style w:type="paragraph" w:styleId="8">
    <w:name w:val="annotation text"/>
    <w:basedOn w:val="1"/>
    <w:link w:val="33"/>
    <w:semiHidden/>
    <w:qFormat/>
    <w:uiPriority w:val="99"/>
    <w:pPr>
      <w:jc w:val="left"/>
    </w:pPr>
  </w:style>
  <w:style w:type="paragraph" w:styleId="9">
    <w:name w:val="Body Text"/>
    <w:basedOn w:val="1"/>
    <w:link w:val="34"/>
    <w:qFormat/>
    <w:uiPriority w:val="99"/>
    <w:pPr>
      <w:spacing w:after="120"/>
    </w:pPr>
    <w:rPr>
      <w:rFonts w:ascii="Times New Roman" w:hAnsi="Times New Roman"/>
      <w:szCs w:val="20"/>
    </w:rPr>
  </w:style>
  <w:style w:type="paragraph" w:styleId="10">
    <w:name w:val="toc 5"/>
    <w:basedOn w:val="1"/>
    <w:next w:val="1"/>
    <w:qFormat/>
    <w:uiPriority w:val="99"/>
    <w:pPr>
      <w:ind w:left="840"/>
      <w:jc w:val="left"/>
    </w:pPr>
    <w:rPr>
      <w:sz w:val="18"/>
      <w:szCs w:val="18"/>
    </w:rPr>
  </w:style>
  <w:style w:type="paragraph" w:styleId="11">
    <w:name w:val="toc 3"/>
    <w:basedOn w:val="1"/>
    <w:next w:val="1"/>
    <w:qFormat/>
    <w:uiPriority w:val="99"/>
    <w:pPr>
      <w:ind w:left="420"/>
      <w:jc w:val="left"/>
    </w:pPr>
    <w:rPr>
      <w:i/>
      <w:iCs/>
      <w:sz w:val="20"/>
      <w:szCs w:val="20"/>
    </w:rPr>
  </w:style>
  <w:style w:type="paragraph" w:styleId="12">
    <w:name w:val="Plain Text"/>
    <w:basedOn w:val="1"/>
    <w:link w:val="48"/>
    <w:qFormat/>
    <w:uiPriority w:val="99"/>
    <w:rPr>
      <w:rFonts w:ascii="宋体" w:hAnsi="Courier New" w:eastAsia="仿宋_GB2312"/>
      <w:sz w:val="32"/>
      <w:szCs w:val="21"/>
    </w:rPr>
  </w:style>
  <w:style w:type="paragraph" w:styleId="13">
    <w:name w:val="toc 8"/>
    <w:basedOn w:val="1"/>
    <w:next w:val="1"/>
    <w:qFormat/>
    <w:uiPriority w:val="99"/>
    <w:pPr>
      <w:ind w:left="1470"/>
      <w:jc w:val="left"/>
    </w:pPr>
    <w:rPr>
      <w:sz w:val="18"/>
      <w:szCs w:val="18"/>
    </w:rPr>
  </w:style>
  <w:style w:type="paragraph" w:styleId="14">
    <w:name w:val="Date"/>
    <w:basedOn w:val="1"/>
    <w:next w:val="1"/>
    <w:link w:val="35"/>
    <w:semiHidden/>
    <w:qFormat/>
    <w:uiPriority w:val="99"/>
    <w:pPr>
      <w:ind w:left="100" w:leftChars="2500"/>
    </w:pPr>
  </w:style>
  <w:style w:type="paragraph" w:styleId="15">
    <w:name w:val="Balloon Text"/>
    <w:basedOn w:val="1"/>
    <w:link w:val="36"/>
    <w:semiHidden/>
    <w:qFormat/>
    <w:uiPriority w:val="99"/>
    <w:rPr>
      <w:sz w:val="18"/>
      <w:szCs w:val="18"/>
    </w:rPr>
  </w:style>
  <w:style w:type="paragraph" w:styleId="16">
    <w:name w:val="footer"/>
    <w:basedOn w:val="1"/>
    <w:link w:val="37"/>
    <w:qFormat/>
    <w:uiPriority w:val="99"/>
    <w:pPr>
      <w:tabs>
        <w:tab w:val="center" w:pos="4153"/>
        <w:tab w:val="right" w:pos="8306"/>
      </w:tabs>
      <w:snapToGrid w:val="0"/>
      <w:jc w:val="left"/>
    </w:pPr>
    <w:rPr>
      <w:sz w:val="18"/>
      <w:szCs w:val="18"/>
    </w:rPr>
  </w:style>
  <w:style w:type="paragraph" w:styleId="17">
    <w:name w:val="header"/>
    <w:basedOn w:val="1"/>
    <w:link w:val="38"/>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99"/>
    <w:pPr>
      <w:spacing w:before="120" w:after="120"/>
      <w:jc w:val="left"/>
    </w:pPr>
    <w:rPr>
      <w:b/>
      <w:bCs/>
      <w:caps/>
      <w:sz w:val="20"/>
      <w:szCs w:val="20"/>
    </w:rPr>
  </w:style>
  <w:style w:type="paragraph" w:styleId="19">
    <w:name w:val="toc 4"/>
    <w:basedOn w:val="1"/>
    <w:next w:val="1"/>
    <w:qFormat/>
    <w:uiPriority w:val="99"/>
    <w:pPr>
      <w:ind w:left="630"/>
      <w:jc w:val="left"/>
    </w:pPr>
    <w:rPr>
      <w:sz w:val="18"/>
      <w:szCs w:val="18"/>
    </w:rPr>
  </w:style>
  <w:style w:type="paragraph" w:styleId="20">
    <w:name w:val="toc 6"/>
    <w:basedOn w:val="1"/>
    <w:next w:val="1"/>
    <w:qFormat/>
    <w:uiPriority w:val="99"/>
    <w:pPr>
      <w:ind w:left="1050"/>
      <w:jc w:val="left"/>
    </w:pPr>
    <w:rPr>
      <w:sz w:val="18"/>
      <w:szCs w:val="18"/>
    </w:rPr>
  </w:style>
  <w:style w:type="paragraph" w:styleId="21">
    <w:name w:val="toc 2"/>
    <w:basedOn w:val="1"/>
    <w:next w:val="1"/>
    <w:qFormat/>
    <w:uiPriority w:val="99"/>
    <w:pPr>
      <w:tabs>
        <w:tab w:val="right" w:leader="dot" w:pos="8296"/>
      </w:tabs>
      <w:spacing w:line="400" w:lineRule="exact"/>
      <w:ind w:left="210"/>
      <w:jc w:val="left"/>
    </w:pPr>
    <w:rPr>
      <w:smallCaps/>
      <w:sz w:val="20"/>
      <w:szCs w:val="20"/>
    </w:rPr>
  </w:style>
  <w:style w:type="paragraph" w:styleId="22">
    <w:name w:val="toc 9"/>
    <w:basedOn w:val="1"/>
    <w:next w:val="1"/>
    <w:qFormat/>
    <w:uiPriority w:val="99"/>
    <w:pPr>
      <w:ind w:left="1680"/>
      <w:jc w:val="left"/>
    </w:pPr>
    <w:rPr>
      <w:sz w:val="18"/>
      <w:szCs w:val="18"/>
    </w:rPr>
  </w:style>
  <w:style w:type="paragraph" w:styleId="23">
    <w:name w:val="annotation subject"/>
    <w:basedOn w:val="8"/>
    <w:next w:val="8"/>
    <w:link w:val="39"/>
    <w:semiHidden/>
    <w:qFormat/>
    <w:uiPriority w:val="99"/>
    <w:rPr>
      <w:b/>
      <w:bCs/>
    </w:rPr>
  </w:style>
  <w:style w:type="paragraph" w:styleId="24">
    <w:name w:val="Body Text First Indent"/>
    <w:basedOn w:val="9"/>
    <w:qFormat/>
    <w:locked/>
    <w:uiPriority w:val="99"/>
    <w:pPr>
      <w:spacing w:after="0"/>
      <w:ind w:firstLine="200" w:firstLineChars="200"/>
    </w:pPr>
  </w:style>
  <w:style w:type="character" w:styleId="27">
    <w:name w:val="Hyperlink"/>
    <w:basedOn w:val="26"/>
    <w:qFormat/>
    <w:uiPriority w:val="99"/>
    <w:rPr>
      <w:rFonts w:cs="Times New Roman"/>
      <w:color w:val="0000FF"/>
      <w:u w:val="single"/>
    </w:rPr>
  </w:style>
  <w:style w:type="character" w:styleId="28">
    <w:name w:val="annotation reference"/>
    <w:basedOn w:val="26"/>
    <w:semiHidden/>
    <w:qFormat/>
    <w:uiPriority w:val="99"/>
    <w:rPr>
      <w:rFonts w:cs="Times New Roman"/>
      <w:sz w:val="21"/>
      <w:szCs w:val="21"/>
    </w:rPr>
  </w:style>
  <w:style w:type="character" w:customStyle="1" w:styleId="29">
    <w:name w:val="标题 1 Char"/>
    <w:basedOn w:val="26"/>
    <w:link w:val="3"/>
    <w:qFormat/>
    <w:locked/>
    <w:uiPriority w:val="99"/>
    <w:rPr>
      <w:rFonts w:cs="Times New Roman"/>
      <w:b/>
      <w:bCs/>
      <w:kern w:val="44"/>
      <w:sz w:val="44"/>
      <w:szCs w:val="44"/>
    </w:rPr>
  </w:style>
  <w:style w:type="character" w:customStyle="1" w:styleId="30">
    <w:name w:val="标题 2 Char"/>
    <w:basedOn w:val="26"/>
    <w:link w:val="4"/>
    <w:qFormat/>
    <w:locked/>
    <w:uiPriority w:val="99"/>
    <w:rPr>
      <w:rFonts w:ascii="Cambria" w:hAnsi="Cambria" w:eastAsia="宋体" w:cs="Times New Roman"/>
      <w:b/>
      <w:bCs/>
      <w:sz w:val="32"/>
      <w:szCs w:val="32"/>
    </w:rPr>
  </w:style>
  <w:style w:type="character" w:customStyle="1" w:styleId="31">
    <w:name w:val="标题 3 Char"/>
    <w:basedOn w:val="26"/>
    <w:link w:val="5"/>
    <w:qFormat/>
    <w:locked/>
    <w:uiPriority w:val="99"/>
    <w:rPr>
      <w:rFonts w:cs="Times New Roman"/>
      <w:b/>
      <w:bCs/>
      <w:sz w:val="32"/>
      <w:szCs w:val="32"/>
    </w:rPr>
  </w:style>
  <w:style w:type="character" w:customStyle="1" w:styleId="32">
    <w:name w:val="标题 4 Char"/>
    <w:basedOn w:val="26"/>
    <w:link w:val="6"/>
    <w:qFormat/>
    <w:locked/>
    <w:uiPriority w:val="99"/>
    <w:rPr>
      <w:rFonts w:ascii="Cambria" w:hAnsi="Cambria" w:eastAsia="宋体" w:cs="Times New Roman"/>
      <w:b/>
      <w:bCs/>
      <w:sz w:val="28"/>
      <w:szCs w:val="28"/>
    </w:rPr>
  </w:style>
  <w:style w:type="character" w:customStyle="1" w:styleId="33">
    <w:name w:val="批注文字 Char"/>
    <w:basedOn w:val="26"/>
    <w:link w:val="8"/>
    <w:semiHidden/>
    <w:qFormat/>
    <w:locked/>
    <w:uiPriority w:val="99"/>
    <w:rPr>
      <w:rFonts w:cs="Times New Roman"/>
      <w:sz w:val="24"/>
      <w:szCs w:val="24"/>
    </w:rPr>
  </w:style>
  <w:style w:type="character" w:customStyle="1" w:styleId="34">
    <w:name w:val="正文文本 Char"/>
    <w:basedOn w:val="26"/>
    <w:link w:val="9"/>
    <w:qFormat/>
    <w:locked/>
    <w:uiPriority w:val="99"/>
    <w:rPr>
      <w:rFonts w:ascii="Times New Roman" w:hAnsi="Times New Roman" w:cs="Times New Roman"/>
      <w:sz w:val="20"/>
      <w:szCs w:val="20"/>
    </w:rPr>
  </w:style>
  <w:style w:type="character" w:customStyle="1" w:styleId="35">
    <w:name w:val="日期 Char"/>
    <w:basedOn w:val="26"/>
    <w:link w:val="14"/>
    <w:semiHidden/>
    <w:qFormat/>
    <w:locked/>
    <w:uiPriority w:val="99"/>
    <w:rPr>
      <w:rFonts w:cs="Times New Roman"/>
      <w:sz w:val="24"/>
      <w:szCs w:val="24"/>
    </w:rPr>
  </w:style>
  <w:style w:type="character" w:customStyle="1" w:styleId="36">
    <w:name w:val="批注框文本 Char"/>
    <w:basedOn w:val="26"/>
    <w:link w:val="15"/>
    <w:semiHidden/>
    <w:qFormat/>
    <w:locked/>
    <w:uiPriority w:val="99"/>
    <w:rPr>
      <w:rFonts w:cs="Times New Roman"/>
      <w:sz w:val="18"/>
      <w:szCs w:val="18"/>
    </w:rPr>
  </w:style>
  <w:style w:type="character" w:customStyle="1" w:styleId="37">
    <w:name w:val="页脚 Char"/>
    <w:basedOn w:val="26"/>
    <w:link w:val="16"/>
    <w:qFormat/>
    <w:locked/>
    <w:uiPriority w:val="99"/>
    <w:rPr>
      <w:rFonts w:cs="Times New Roman"/>
      <w:sz w:val="18"/>
      <w:szCs w:val="18"/>
    </w:rPr>
  </w:style>
  <w:style w:type="character" w:customStyle="1" w:styleId="38">
    <w:name w:val="页眉 Char"/>
    <w:basedOn w:val="26"/>
    <w:link w:val="17"/>
    <w:qFormat/>
    <w:locked/>
    <w:uiPriority w:val="99"/>
    <w:rPr>
      <w:rFonts w:cs="Times New Roman"/>
      <w:sz w:val="18"/>
      <w:szCs w:val="18"/>
    </w:rPr>
  </w:style>
  <w:style w:type="character" w:customStyle="1" w:styleId="39">
    <w:name w:val="批注主题 Char"/>
    <w:basedOn w:val="33"/>
    <w:link w:val="23"/>
    <w:semiHidden/>
    <w:qFormat/>
    <w:locked/>
    <w:uiPriority w:val="99"/>
    <w:rPr>
      <w:b/>
      <w:bCs/>
    </w:rPr>
  </w:style>
  <w:style w:type="paragraph" w:styleId="40">
    <w:name w:val="List Paragraph"/>
    <w:basedOn w:val="1"/>
    <w:link w:val="44"/>
    <w:qFormat/>
    <w:uiPriority w:val="99"/>
    <w:pPr>
      <w:ind w:firstLine="420" w:firstLineChars="200"/>
    </w:pPr>
    <w:rPr>
      <w:rFonts w:ascii="Times New Roman" w:hAnsi="Times New Roman"/>
      <w:kern w:val="0"/>
      <w:sz w:val="24"/>
      <w:szCs w:val="20"/>
    </w:rPr>
  </w:style>
  <w:style w:type="character" w:customStyle="1" w:styleId="41">
    <w:name w:val="闻政标题3 Char"/>
    <w:link w:val="42"/>
    <w:qFormat/>
    <w:locked/>
    <w:uiPriority w:val="99"/>
    <w:rPr>
      <w:rFonts w:ascii="黑体" w:hAnsi="黑体" w:eastAsia="黑体"/>
      <w:sz w:val="32"/>
    </w:rPr>
  </w:style>
  <w:style w:type="paragraph" w:customStyle="1" w:styleId="42">
    <w:name w:val="闻政标题3"/>
    <w:basedOn w:val="5"/>
    <w:link w:val="41"/>
    <w:qFormat/>
    <w:uiPriority w:val="99"/>
    <w:pPr>
      <w:spacing w:before="120" w:after="60" w:line="500" w:lineRule="exact"/>
      <w:jc w:val="left"/>
      <w:outlineLvl w:val="0"/>
    </w:pPr>
    <w:rPr>
      <w:rFonts w:ascii="黑体" w:hAnsi="黑体" w:eastAsia="黑体"/>
      <w:b w:val="0"/>
      <w:bCs w:val="0"/>
      <w:kern w:val="0"/>
      <w:szCs w:val="20"/>
    </w:rPr>
  </w:style>
  <w:style w:type="paragraph" w:customStyle="1" w:styleId="43">
    <w:name w:val="列出段落1"/>
    <w:basedOn w:val="1"/>
    <w:qFormat/>
    <w:uiPriority w:val="99"/>
    <w:pPr>
      <w:ind w:firstLine="420" w:firstLineChars="200"/>
    </w:pPr>
    <w:rPr>
      <w:kern w:val="0"/>
      <w:sz w:val="20"/>
      <w:szCs w:val="20"/>
    </w:rPr>
  </w:style>
  <w:style w:type="character" w:customStyle="1" w:styleId="44">
    <w:name w:val="列出段落 Char"/>
    <w:link w:val="40"/>
    <w:qFormat/>
    <w:locked/>
    <w:uiPriority w:val="99"/>
    <w:rPr>
      <w:sz w:val="24"/>
    </w:rPr>
  </w:style>
  <w:style w:type="paragraph" w:customStyle="1" w:styleId="45">
    <w:name w:val="TOC Heading1"/>
    <w:basedOn w:val="3"/>
    <w:next w:val="1"/>
    <w:semiHidden/>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6">
    <w:name w:val="闻政正文 Char"/>
    <w:link w:val="47"/>
    <w:qFormat/>
    <w:locked/>
    <w:uiPriority w:val="99"/>
    <w:rPr>
      <w:rFonts w:ascii="Times New Roman" w:hAnsi="Times New Roman" w:eastAsia="仿宋_GB2312"/>
      <w:sz w:val="28"/>
    </w:rPr>
  </w:style>
  <w:style w:type="paragraph" w:customStyle="1" w:styleId="47">
    <w:name w:val="闻政正文"/>
    <w:basedOn w:val="1"/>
    <w:link w:val="46"/>
    <w:qFormat/>
    <w:uiPriority w:val="99"/>
    <w:pPr>
      <w:spacing w:line="500" w:lineRule="exact"/>
      <w:ind w:firstLine="560" w:firstLineChars="200"/>
    </w:pPr>
    <w:rPr>
      <w:rFonts w:ascii="Times New Roman" w:hAnsi="Times New Roman" w:eastAsia="仿宋_GB2312"/>
      <w:kern w:val="0"/>
      <w:sz w:val="28"/>
      <w:szCs w:val="20"/>
    </w:rPr>
  </w:style>
  <w:style w:type="character" w:customStyle="1" w:styleId="48">
    <w:name w:val="纯文本 Char"/>
    <w:basedOn w:val="26"/>
    <w:link w:val="12"/>
    <w:qFormat/>
    <w:locked/>
    <w:uiPriority w:val="99"/>
    <w:rPr>
      <w:rFonts w:ascii="宋体" w:hAnsi="Courier New" w:eastAsia="仿宋_GB2312" w:cs="Times New Roman"/>
      <w:kern w:val="2"/>
      <w:sz w:val="21"/>
      <w:szCs w:val="21"/>
      <w:lang w:val="en-US" w:eastAsia="zh-CN" w:bidi="ar-SA"/>
    </w:rPr>
  </w:style>
  <w:style w:type="character" w:customStyle="1" w:styleId="49">
    <w:name w:val="font31"/>
    <w:basedOn w:val="26"/>
    <w:qFormat/>
    <w:uiPriority w:val="0"/>
    <w:rPr>
      <w:rFonts w:hint="eastAsia" w:ascii="方正仿宋_GBK" w:hAnsi="方正仿宋_GBK" w:eastAsia="方正仿宋_GBK" w:cs="方正仿宋_GBK"/>
      <w:color w:val="000000"/>
      <w:sz w:val="24"/>
      <w:szCs w:val="24"/>
      <w:u w:val="none"/>
    </w:rPr>
  </w:style>
  <w:style w:type="character" w:customStyle="1" w:styleId="50">
    <w:name w:val="font71"/>
    <w:basedOn w:val="26"/>
    <w:qFormat/>
    <w:uiPriority w:val="0"/>
    <w:rPr>
      <w:rFonts w:ascii="宋体" w:hAnsi="宋体" w:eastAsia="宋体" w:cs="宋体"/>
      <w:color w:val="000000"/>
      <w:sz w:val="18"/>
      <w:szCs w:val="18"/>
      <w:u w:val="none"/>
    </w:rPr>
  </w:style>
  <w:style w:type="character" w:customStyle="1" w:styleId="51">
    <w:name w:val="font21"/>
    <w:basedOn w:val="2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BA17-D29F-4B70-BFA9-EA85A830E19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1501</Words>
  <Characters>8560</Characters>
  <Lines>71</Lines>
  <Paragraphs>20</Paragraphs>
  <TotalTime>3</TotalTime>
  <ScaleCrop>false</ScaleCrop>
  <LinksUpToDate>false</LinksUpToDate>
  <CharactersWithSpaces>10041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2020-03-26T06:43:00Z</dcterms:created>
  <dc:creator>jc</dc:creator>
  <cp:lastModifiedBy>Administrator</cp:lastModifiedBy>
  <cp:lastPrinted>2020-04-17T04:08:00Z</cp:lastPrinted>
  <dcterms:modified xsi:type="dcterms:W3CDTF">2025-09-09T10:10:42Z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3CCE980F1071416EB9B98E3A76658A06</vt:lpwstr>
  </property>
  <property fmtid="{D5CDD505-2E9C-101B-9397-08002B2CF9AE}" pid="4" name="KSOSaveFontToCloudKey">
    <vt:lpwstr>229835342_cloud</vt:lpwstr>
  </property>
</Properties>
</file>