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塔城地区2020年综合业务楼及设备建设项目2010-2018年结余</w:t>
      </w:r>
      <w:r>
        <w:rPr>
          <w:rFonts w:hint="eastAsia" w:ascii="方正小标宋简体" w:hAnsi="方正小标宋简体" w:eastAsia="方正小标宋简体" w:cs="方正小标宋简体"/>
          <w:kern w:val="0"/>
          <w:sz w:val="44"/>
          <w:szCs w:val="44"/>
        </w:rPr>
        <w:t>资金项目支出绩效评价</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6"/>
          <w:szCs w:val="36"/>
        </w:rPr>
      </w:pPr>
    </w:p>
    <w:p>
      <w:pPr>
        <w:spacing w:line="540" w:lineRule="exact"/>
        <w:jc w:val="center"/>
        <w:rPr>
          <w:rFonts w:hAnsi="宋体" w:eastAsia="仿宋_GB2312" w:cs="宋体"/>
          <w:kern w:val="0"/>
          <w:sz w:val="36"/>
          <w:szCs w:val="36"/>
        </w:rPr>
      </w:pPr>
    </w:p>
    <w:p>
      <w:pPr>
        <w:spacing w:line="540" w:lineRule="exact"/>
        <w:jc w:val="center"/>
        <w:rPr>
          <w:rFonts w:hAnsi="宋体" w:eastAsia="仿宋_GB2312" w:cs="宋体"/>
          <w:kern w:val="0"/>
          <w:sz w:val="36"/>
          <w:szCs w:val="36"/>
        </w:rPr>
      </w:pPr>
    </w:p>
    <w:p>
      <w:pPr>
        <w:spacing w:line="540" w:lineRule="exact"/>
        <w:jc w:val="center"/>
        <w:rPr>
          <w:rFonts w:hAnsi="宋体" w:eastAsia="仿宋_GB2312" w:cs="宋体"/>
          <w:kern w:val="0"/>
          <w:sz w:val="36"/>
          <w:szCs w:val="36"/>
        </w:rPr>
      </w:pPr>
    </w:p>
    <w:p>
      <w:pPr>
        <w:spacing w:line="700" w:lineRule="exact"/>
        <w:ind w:firstLine="720" w:firstLineChars="200"/>
        <w:jc w:val="center"/>
        <w:rPr>
          <w:rFonts w:hint="eastAsia" w:ascii="Times New Roman" w:hAnsi="宋体" w:eastAsia="仿宋_GB2312" w:cs="宋体"/>
          <w:kern w:val="0"/>
          <w:sz w:val="36"/>
          <w:szCs w:val="36"/>
          <w:lang w:val="en-US" w:eastAsia="zh-CN"/>
        </w:rPr>
      </w:pPr>
    </w:p>
    <w:p>
      <w:pPr>
        <w:spacing w:line="700" w:lineRule="exact"/>
        <w:ind w:left="2518" w:leftChars="342" w:hanging="1800" w:hangingChars="5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项目名称：综合业务楼及设备建设项目2010-2018年结余资金项目</w:t>
      </w:r>
    </w:p>
    <w:p>
      <w:pPr>
        <w:spacing w:line="700" w:lineRule="exact"/>
        <w:ind w:firstLine="720" w:firstLineChars="2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val="en-US" w:eastAsia="zh-CN"/>
        </w:rPr>
        <w:t>塔城地区妇幼保健院</w:t>
      </w:r>
    </w:p>
    <w:p>
      <w:pPr>
        <w:spacing w:line="700" w:lineRule="exact"/>
        <w:ind w:firstLine="720" w:firstLineChars="2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val="en-US" w:eastAsia="zh-CN"/>
        </w:rPr>
        <w:t>塔城地区卫健委</w:t>
      </w:r>
    </w:p>
    <w:p>
      <w:pPr>
        <w:spacing w:line="700" w:lineRule="exact"/>
        <w:ind w:firstLine="720" w:firstLineChars="2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哈迪夏·阿布都拉</w:t>
      </w:r>
    </w:p>
    <w:p>
      <w:pPr>
        <w:spacing w:line="700" w:lineRule="exact"/>
        <w:ind w:firstLine="1800" w:firstLineChars="5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12</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spacing w:line="540" w:lineRule="exact"/>
        <w:rPr>
          <w:rStyle w:val="20"/>
          <w:rFonts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p>
    <w:p>
      <w:pPr>
        <w:spacing w:line="540" w:lineRule="exact"/>
        <w:rPr>
          <w:rStyle w:val="20"/>
          <w:rFonts w:ascii="黑体" w:hAnsi="黑体" w:eastAsia="黑体"/>
          <w:b w:val="0"/>
          <w:spacing w:val="-4"/>
          <w:sz w:val="32"/>
          <w:szCs w:val="32"/>
        </w:rPr>
      </w:pPr>
    </w:p>
    <w:p>
      <w:pPr>
        <w:spacing w:line="600" w:lineRule="exact"/>
        <w:jc w:val="cente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目  录</w:t>
      </w: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_Toc32068_WPSOffice_Level1 </w:instrText>
      </w:r>
      <w:r>
        <w:rPr>
          <w:rFonts w:hint="eastAsia" w:ascii="仿宋_GB2312" w:hAnsi="仿宋_GB2312" w:eastAsia="仿宋_GB2312" w:cs="仿宋_GB2312"/>
          <w:sz w:val="28"/>
          <w:szCs w:val="28"/>
        </w:rPr>
        <w:fldChar w:fldCharType="separate"/>
      </w:r>
      <w:sdt>
        <w:sdtPr>
          <w:rPr>
            <w:rFonts w:hint="eastAsia" w:ascii="仿宋_GB2312" w:hAnsi="仿宋_GB2312" w:eastAsia="仿宋_GB2312" w:cs="仿宋_GB2312"/>
            <w:kern w:val="2"/>
            <w:sz w:val="28"/>
            <w:szCs w:val="28"/>
            <w:lang w:val="en-US" w:eastAsia="zh-CN" w:bidi="ar-SA"/>
          </w:rPr>
          <w:id w:val="147471288"/>
          <w:placeholder>
            <w:docPart w:val="{c34df274-39de-4151-9256-56d4298eeff8}"/>
          </w:placeholder>
        </w:sdtPr>
        <w:sdtEndPr>
          <w:rPr>
            <w:rFonts w:hint="eastAsia" w:ascii="仿宋_GB2312" w:hAnsi="仿宋_GB2312" w:eastAsia="仿宋_GB2312" w:cs="仿宋_GB2312"/>
            <w:kern w:val="2"/>
            <w:sz w:val="28"/>
            <w:szCs w:val="28"/>
            <w:lang w:val="en-US" w:eastAsia="zh-CN" w:bidi="ar-SA"/>
          </w:rPr>
        </w:sdtEndPr>
        <w:sdtContent>
          <w:r>
            <w:rPr>
              <w:rFonts w:hint="eastAsia" w:ascii="仿宋_GB2312" w:hAnsi="仿宋_GB2312" w:eastAsia="仿宋_GB2312" w:cs="仿宋_GB2312"/>
              <w:sz w:val="28"/>
              <w:szCs w:val="28"/>
            </w:rPr>
            <w:t>一、基本情况</w:t>
          </w:r>
        </w:sdtContent>
      </w:sdt>
      <w:r>
        <w:rPr>
          <w:rFonts w:hint="eastAsia" w:ascii="仿宋_GB2312" w:hAnsi="仿宋_GB2312" w:eastAsia="仿宋_GB2312" w:cs="仿宋_GB2312"/>
          <w:sz w:val="28"/>
          <w:szCs w:val="28"/>
        </w:rPr>
        <w:tab/>
      </w:r>
      <w:bookmarkStart w:id="0" w:name="_Toc32068_WPSOffice_Level1Page"/>
      <w:r>
        <w:rPr>
          <w:rFonts w:hint="eastAsia" w:ascii="仿宋_GB2312" w:hAnsi="仿宋_GB2312" w:eastAsia="仿宋_GB2312" w:cs="仿宋_GB2312"/>
          <w:sz w:val="28"/>
          <w:szCs w:val="28"/>
        </w:rPr>
        <w:t>1</w:t>
      </w:r>
      <w:bookmarkEnd w:id="0"/>
      <w:r>
        <w:rPr>
          <w:rFonts w:hint="eastAsia" w:ascii="仿宋_GB2312" w:hAnsi="仿宋_GB2312" w:eastAsia="仿宋_GB2312" w:cs="仿宋_GB2312"/>
          <w:sz w:val="28"/>
          <w:szCs w:val="28"/>
        </w:rPr>
        <w:fldChar w:fldCharType="end"/>
      </w: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_Toc8059_WPSOffice_Level1 </w:instrText>
      </w:r>
      <w:r>
        <w:rPr>
          <w:rFonts w:hint="eastAsia" w:ascii="仿宋_GB2312" w:hAnsi="仿宋_GB2312" w:eastAsia="仿宋_GB2312" w:cs="仿宋_GB2312"/>
          <w:sz w:val="28"/>
          <w:szCs w:val="28"/>
        </w:rPr>
        <w:fldChar w:fldCharType="separate"/>
      </w:r>
      <w:sdt>
        <w:sdtPr>
          <w:rPr>
            <w:rFonts w:hint="eastAsia" w:ascii="仿宋_GB2312" w:hAnsi="仿宋_GB2312" w:eastAsia="仿宋_GB2312" w:cs="仿宋_GB2312"/>
            <w:kern w:val="2"/>
            <w:sz w:val="28"/>
            <w:szCs w:val="28"/>
            <w:lang w:val="en-US" w:eastAsia="zh-CN" w:bidi="ar-SA"/>
          </w:rPr>
          <w:id w:val="147471288"/>
          <w:placeholder>
            <w:docPart w:val="{9c744e79-6285-4660-8fd0-b945f9076083}"/>
          </w:placeholder>
        </w:sdtPr>
        <w:sdtEndPr>
          <w:rPr>
            <w:rFonts w:hint="eastAsia" w:ascii="仿宋_GB2312" w:hAnsi="仿宋_GB2312" w:eastAsia="仿宋_GB2312" w:cs="仿宋_GB2312"/>
            <w:kern w:val="2"/>
            <w:sz w:val="28"/>
            <w:szCs w:val="28"/>
            <w:lang w:val="en-US" w:eastAsia="zh-CN" w:bidi="ar-SA"/>
          </w:rPr>
        </w:sdtEndPr>
        <w:sdtContent>
          <w:r>
            <w:rPr>
              <w:rFonts w:hint="eastAsia" w:ascii="仿宋_GB2312" w:hAnsi="仿宋_GB2312" w:eastAsia="仿宋_GB2312" w:cs="仿宋_GB2312"/>
              <w:sz w:val="28"/>
              <w:szCs w:val="28"/>
            </w:rPr>
            <w:t>二、绩效评价工作开展情况</w:t>
          </w:r>
        </w:sdtContent>
      </w:sdt>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fldChar w:fldCharType="end"/>
      </w: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_Toc18439_WPSOffice_Level1 </w:instrText>
      </w:r>
      <w:r>
        <w:rPr>
          <w:rFonts w:hint="eastAsia" w:ascii="仿宋_GB2312" w:hAnsi="仿宋_GB2312" w:eastAsia="仿宋_GB2312" w:cs="仿宋_GB2312"/>
          <w:sz w:val="28"/>
          <w:szCs w:val="28"/>
        </w:rPr>
        <w:fldChar w:fldCharType="separate"/>
      </w:r>
      <w:sdt>
        <w:sdtPr>
          <w:rPr>
            <w:rFonts w:hint="eastAsia" w:ascii="仿宋_GB2312" w:hAnsi="仿宋_GB2312" w:eastAsia="仿宋_GB2312" w:cs="仿宋_GB2312"/>
            <w:kern w:val="2"/>
            <w:sz w:val="28"/>
            <w:szCs w:val="28"/>
            <w:lang w:val="en-US" w:eastAsia="zh-CN" w:bidi="ar-SA"/>
          </w:rPr>
          <w:id w:val="147471288"/>
          <w:placeholder>
            <w:docPart w:val="{2e86095f-f4fc-4bc3-9ef3-7546bd5c695c}"/>
          </w:placeholder>
        </w:sdtPr>
        <w:sdtEndPr>
          <w:rPr>
            <w:rFonts w:hint="eastAsia" w:ascii="仿宋_GB2312" w:hAnsi="仿宋_GB2312" w:eastAsia="仿宋_GB2312" w:cs="仿宋_GB2312"/>
            <w:kern w:val="2"/>
            <w:sz w:val="28"/>
            <w:szCs w:val="28"/>
            <w:lang w:val="en-US" w:eastAsia="zh-CN" w:bidi="ar-SA"/>
          </w:rPr>
        </w:sdtEndPr>
        <w:sdtContent>
          <w:r>
            <w:rPr>
              <w:rFonts w:hint="eastAsia" w:ascii="仿宋_GB2312" w:hAnsi="仿宋_GB2312" w:eastAsia="仿宋_GB2312" w:cs="仿宋_GB2312"/>
              <w:sz w:val="28"/>
              <w:szCs w:val="28"/>
            </w:rPr>
            <w:t>三、综合评价情况及评价结论（附相关评分表）</w:t>
          </w:r>
        </w:sdtContent>
      </w:sdt>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val="en-US" w:eastAsia="zh-CN"/>
        </w:rPr>
        <w:t>4</w:t>
      </w: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lang w:val="en-US" w:eastAsia="zh-CN"/>
        </w:rPr>
      </w:pP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_Toc29844_WPSOffice_Level1 </w:instrText>
      </w:r>
      <w:r>
        <w:rPr>
          <w:rFonts w:hint="eastAsia" w:ascii="仿宋_GB2312" w:hAnsi="仿宋_GB2312" w:eastAsia="仿宋_GB2312" w:cs="仿宋_GB2312"/>
          <w:sz w:val="28"/>
          <w:szCs w:val="28"/>
        </w:rPr>
        <w:fldChar w:fldCharType="separate"/>
      </w:r>
      <w:sdt>
        <w:sdtPr>
          <w:rPr>
            <w:rFonts w:hint="eastAsia" w:ascii="仿宋_GB2312" w:hAnsi="仿宋_GB2312" w:eastAsia="仿宋_GB2312" w:cs="仿宋_GB2312"/>
            <w:kern w:val="2"/>
            <w:sz w:val="28"/>
            <w:szCs w:val="28"/>
            <w:lang w:val="en-US" w:eastAsia="zh-CN" w:bidi="ar-SA"/>
          </w:rPr>
          <w:id w:val="147471288"/>
          <w:placeholder>
            <w:docPart w:val="{813ed5d3-0f59-494d-991c-a8575ea705d2}"/>
          </w:placeholder>
        </w:sdtPr>
        <w:sdtEndPr>
          <w:rPr>
            <w:rFonts w:hint="eastAsia" w:ascii="仿宋_GB2312" w:hAnsi="仿宋_GB2312" w:eastAsia="仿宋_GB2312" w:cs="仿宋_GB2312"/>
            <w:kern w:val="2"/>
            <w:sz w:val="28"/>
            <w:szCs w:val="28"/>
            <w:lang w:val="en-US" w:eastAsia="zh-CN" w:bidi="ar-SA"/>
          </w:rPr>
        </w:sdtEndPr>
        <w:sdtContent>
          <w:r>
            <w:rPr>
              <w:rFonts w:hint="eastAsia" w:ascii="仿宋_GB2312" w:hAnsi="仿宋_GB2312" w:eastAsia="仿宋_GB2312" w:cs="仿宋_GB2312"/>
              <w:sz w:val="28"/>
              <w:szCs w:val="28"/>
            </w:rPr>
            <w:t>四、绩效评价指标分析</w:t>
          </w:r>
        </w:sdtContent>
      </w:sdt>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val="en-US" w:eastAsia="zh-CN"/>
        </w:rPr>
        <w:t>6</w:t>
      </w: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lang w:val="en-US" w:eastAsia="zh-CN"/>
        </w:rPr>
      </w:pP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_Toc8780_WPSOffice_Level1 </w:instrText>
      </w:r>
      <w:r>
        <w:rPr>
          <w:rFonts w:hint="eastAsia" w:ascii="仿宋_GB2312" w:hAnsi="仿宋_GB2312" w:eastAsia="仿宋_GB2312" w:cs="仿宋_GB2312"/>
          <w:sz w:val="28"/>
          <w:szCs w:val="28"/>
        </w:rPr>
        <w:fldChar w:fldCharType="separate"/>
      </w:r>
      <w:sdt>
        <w:sdtPr>
          <w:rPr>
            <w:rFonts w:hint="eastAsia" w:ascii="仿宋_GB2312" w:hAnsi="仿宋_GB2312" w:eastAsia="仿宋_GB2312" w:cs="仿宋_GB2312"/>
            <w:kern w:val="2"/>
            <w:sz w:val="28"/>
            <w:szCs w:val="28"/>
            <w:lang w:val="en-US" w:eastAsia="zh-CN" w:bidi="ar-SA"/>
          </w:rPr>
          <w:id w:val="147471288"/>
          <w:placeholder>
            <w:docPart w:val="{33b15e09-4a2f-4395-88e0-d4265b515266}"/>
          </w:placeholder>
        </w:sdtPr>
        <w:sdtEndPr>
          <w:rPr>
            <w:rFonts w:hint="eastAsia" w:ascii="仿宋_GB2312" w:hAnsi="仿宋_GB2312" w:eastAsia="仿宋_GB2312" w:cs="仿宋_GB2312"/>
            <w:kern w:val="2"/>
            <w:sz w:val="28"/>
            <w:szCs w:val="28"/>
            <w:lang w:val="en-US" w:eastAsia="zh-CN" w:bidi="ar-SA"/>
          </w:rPr>
        </w:sdtEndPr>
        <w:sdtContent>
          <w:r>
            <w:rPr>
              <w:rFonts w:hint="eastAsia" w:ascii="仿宋_GB2312" w:hAnsi="仿宋_GB2312" w:eastAsia="仿宋_GB2312" w:cs="仿宋_GB2312"/>
              <w:sz w:val="28"/>
              <w:szCs w:val="28"/>
            </w:rPr>
            <w:t>五、主要经验及做法、存在的问题及原因分析</w:t>
          </w:r>
        </w:sdtContent>
      </w:sdt>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val="en-US" w:eastAsia="zh-CN"/>
        </w:rPr>
        <w:t>0</w:t>
      </w: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lang w:val="en-US" w:eastAsia="zh-CN"/>
        </w:rPr>
      </w:pP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_Toc19772_WPSOffice_Level1 </w:instrText>
      </w:r>
      <w:r>
        <w:rPr>
          <w:rFonts w:hint="eastAsia" w:ascii="仿宋_GB2312" w:hAnsi="仿宋_GB2312" w:eastAsia="仿宋_GB2312" w:cs="仿宋_GB2312"/>
          <w:sz w:val="28"/>
          <w:szCs w:val="28"/>
        </w:rPr>
        <w:fldChar w:fldCharType="separate"/>
      </w:r>
      <w:sdt>
        <w:sdtPr>
          <w:rPr>
            <w:rFonts w:hint="eastAsia" w:ascii="仿宋_GB2312" w:hAnsi="仿宋_GB2312" w:eastAsia="仿宋_GB2312" w:cs="仿宋_GB2312"/>
            <w:kern w:val="2"/>
            <w:sz w:val="28"/>
            <w:szCs w:val="28"/>
            <w:lang w:val="en-US" w:eastAsia="zh-CN" w:bidi="ar-SA"/>
          </w:rPr>
          <w:id w:val="147471288"/>
          <w:placeholder>
            <w:docPart w:val="{00a566cc-f075-41fb-bc35-10072289dbc9}"/>
          </w:placeholder>
        </w:sdtPr>
        <w:sdtEndPr>
          <w:rPr>
            <w:rFonts w:hint="eastAsia" w:ascii="仿宋_GB2312" w:hAnsi="仿宋_GB2312" w:eastAsia="仿宋_GB2312" w:cs="仿宋_GB2312"/>
            <w:kern w:val="2"/>
            <w:sz w:val="28"/>
            <w:szCs w:val="28"/>
            <w:lang w:val="en-US" w:eastAsia="zh-CN" w:bidi="ar-SA"/>
          </w:rPr>
        </w:sdtEndPr>
        <w:sdtContent>
          <w:r>
            <w:rPr>
              <w:rFonts w:hint="eastAsia" w:ascii="仿宋_GB2312" w:hAnsi="仿宋_GB2312" w:eastAsia="仿宋_GB2312" w:cs="仿宋_GB2312"/>
              <w:sz w:val="28"/>
              <w:szCs w:val="28"/>
            </w:rPr>
            <w:t>六、有关建议</w:t>
          </w:r>
        </w:sdtContent>
      </w:sdt>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val="en-US" w:eastAsia="zh-CN"/>
        </w:rPr>
        <w:t>1</w:t>
      </w: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lang w:val="en-US" w:eastAsia="zh-CN"/>
        </w:rPr>
      </w:pPr>
    </w:p>
    <w:p>
      <w:pPr>
        <w:pStyle w:val="5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_Toc1432_WPSOffice_Level1 </w:instrText>
      </w:r>
      <w:r>
        <w:rPr>
          <w:rFonts w:hint="eastAsia" w:ascii="仿宋_GB2312" w:hAnsi="仿宋_GB2312" w:eastAsia="仿宋_GB2312" w:cs="仿宋_GB2312"/>
          <w:sz w:val="28"/>
          <w:szCs w:val="28"/>
        </w:rPr>
        <w:fldChar w:fldCharType="separate"/>
      </w:r>
      <w:sdt>
        <w:sdtPr>
          <w:rPr>
            <w:rFonts w:hint="eastAsia" w:ascii="仿宋_GB2312" w:hAnsi="仿宋_GB2312" w:eastAsia="仿宋_GB2312" w:cs="仿宋_GB2312"/>
            <w:kern w:val="2"/>
            <w:sz w:val="28"/>
            <w:szCs w:val="28"/>
            <w:lang w:val="en-US" w:eastAsia="zh-CN" w:bidi="ar-SA"/>
          </w:rPr>
          <w:id w:val="147471288"/>
          <w:placeholder>
            <w:docPart w:val="{bc588a92-a54c-4a82-85b0-c3a2bcb55e56}"/>
          </w:placeholder>
        </w:sdtPr>
        <w:sdtEndPr>
          <w:rPr>
            <w:rFonts w:hint="eastAsia" w:ascii="仿宋_GB2312" w:hAnsi="仿宋_GB2312" w:eastAsia="仿宋_GB2312" w:cs="仿宋_GB2312"/>
            <w:kern w:val="2"/>
            <w:sz w:val="28"/>
            <w:szCs w:val="28"/>
            <w:lang w:val="en-US" w:eastAsia="zh-CN" w:bidi="ar-SA"/>
          </w:rPr>
        </w:sdtEndPr>
        <w:sdtContent>
          <w:r>
            <w:rPr>
              <w:rFonts w:hint="eastAsia" w:ascii="仿宋_GB2312" w:hAnsi="仿宋_GB2312" w:eastAsia="仿宋_GB2312" w:cs="仿宋_GB2312"/>
              <w:sz w:val="28"/>
              <w:szCs w:val="28"/>
            </w:rPr>
            <w:t>七、其他需要说明的问题</w:t>
          </w:r>
        </w:sdtContent>
      </w:sdt>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val="en-US" w:eastAsia="zh-CN"/>
        </w:rPr>
        <w:t>1</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
          <w:bCs w:val="0"/>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left"/>
        <w:textAlignment w:val="auto"/>
        <w:rPr>
          <w:rStyle w:val="20"/>
          <w:rFonts w:ascii="黑体" w:hAnsi="黑体" w:eastAsia="黑体"/>
          <w:b/>
          <w:bCs w:val="0"/>
          <w:spacing w:val="-4"/>
          <w:sz w:val="32"/>
          <w:szCs w:val="32"/>
        </w:rPr>
      </w:pPr>
      <w:r>
        <w:rPr>
          <w:rFonts w:hint="eastAsia" w:ascii="仿宋_GB2312" w:hAnsi="仿宋_GB2312" w:eastAsia="仿宋_GB2312" w:cs="仿宋_GB2312"/>
          <w:b w:val="0"/>
          <w:bCs w:val="0"/>
          <w:kern w:val="0"/>
          <w:sz w:val="32"/>
          <w:szCs w:val="32"/>
          <w:lang w:val="en-US" w:eastAsia="zh-CN" w:bidi="ar-SA"/>
        </w:rPr>
        <w:t>十二五期间，按照《中共塔城地区委员会2013年第四次委员会议纪要》地、市妇幼保健院整合的要求，塔城地市妇幼保健院综合业务楼项目投入建设，总投资2500万元，其中：前期费用共计270万元；主体工程、附属工程及附属设施的土建部分：工程立项2500万元，财政决算定案价247万元；另：塔城地、市妇幼保健院综合业务楼配套设施及专用设施合同价724万元。(1、配套设施包括：电梯、消防水池、备用电源发电机组、电力安装、自来水管线、污水处理系统、监控设备等共计297万元。2、专用设备包括：洁净手术室、病房设备带、手术室设备、检验科设备及仪器共计362万元；3、专用家具：病床、病房衣柜、候医椅、静脉注射架椅、导诊台、护士站、医生办公桌、窗帘共计65万元)该项目合计总支出为344万元，已支付2500万元，塔城地、市妇幼保健院综合业务楼主体工程款和配套设施及专用设施，缺口资金为941万元(其中：工程欠款625万元、设备采购尾款116万元供应室设备预算200万元)。根据单位职能和使用业务楼情况、债务与债权划分由塔堿地区妇幼保健院承担401万元，主要用于支付设备采购尾款和供应室建设设备。塔城市妇幼保健院承担540万元主要支付综合业务楼主体工程款。根据资产管理规定塔城地区妇幼保健院对原旧办公楼进行拍卖，拍卖金额为291万元，其中189万元用于偿还辽宁援建款,102万元用于弥补塔城地、市妇幼保健院综合业务楼建设的缺口。又经我单位争取地区行署同意把偿还辽宁援建款189万重新补充拨付给我单位，用于业务楼债务还款。根据目前遗留债务情况，其中189万元可基本满足偿还业务楼工程款，调整该资金使用用途用于偿还业务楼工程款和设备等附属设施。</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项目主要内容：</w:t>
      </w:r>
      <w:r>
        <w:rPr>
          <w:rFonts w:hint="eastAsia" w:ascii="仿宋_GB2312" w:hAnsi="仿宋_GB2312" w:eastAsia="仿宋_GB2312" w:cs="仿宋_GB2312"/>
          <w:b w:val="0"/>
          <w:bCs w:val="0"/>
          <w:kern w:val="2"/>
          <w:lang w:val="en-US" w:eastAsia="zh-CN"/>
        </w:rPr>
        <w:t>塔城地、市妇幼保健院综合业务楼</w:t>
      </w:r>
      <w:r>
        <w:rPr>
          <w:rFonts w:hint="eastAsia" w:ascii="仿宋_GB2312" w:hAnsi="仿宋_GB2312" w:eastAsia="仿宋_GB2312" w:cs="仿宋_GB2312"/>
          <w:b w:val="0"/>
          <w:bCs w:val="0"/>
          <w:kern w:val="2"/>
        </w:rPr>
        <w:t>按照行署批复的《关于地区妇幼保键院申请对原业务用房进行处置的建议》要求，缺口资金由地、市妇幼保傻院共同负担，塔城市负担540万元(列入2018年政府隐形债务)，地区负担剩余部分183.46万元。2020年下达地区妇幼保健计划生育服务中心“塔城市妇幼保健院业务楼及设备工程补充建设项目”辽宁援建资金189万元，主要用于支付塔城地市妇幼保健院综合业务楼欠款、设备工程尾款。</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家基本公共卫生服务项目是我国政府针对当前城乡居民存在的主要健康问题，以儿童、孕产妇、老年人、慢性疾病患者等为重点人群，面向全体居民免费提供的最基本的公共卫生服务，开展服务项目所需资金主要由政府承担，城乡居民可直接受益。塔城地区妇幼保健计划生育服务中心作为公办医疗卫生机构，担负着全塔城地区人民群众的妇女儿童保健、医疗卫生服务责任，单现有的医疗卫生用房和整体设施条件严重影响了妇幼保健和医疗卫生工作的开展，不能够满足服务人民群众对公共卫生服务的需要，亟待新建院区改善当前的用房条件。</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rPr>
      </w:pPr>
      <w:r>
        <w:rPr>
          <w:rFonts w:hint="eastAsia" w:ascii="仿宋_GB2312" w:hAnsi="仿宋_GB2312" w:eastAsia="仿宋_GB2312" w:cs="仿宋_GB2312"/>
          <w:b w:val="0"/>
          <w:bCs w:val="0"/>
          <w:kern w:val="2"/>
          <w:sz w:val="32"/>
          <w:szCs w:val="32"/>
          <w:lang w:val="en-US" w:eastAsia="zh-CN" w:bidi="ar-SA"/>
        </w:rPr>
        <w:t>升级改造后的塔城地区妇幼保健计划生育服务中心，将使保健院的整体硬件条件得到极大地改善，有利于向人民群众提供妇幼保健、医疗卫生服务，满足人民群众日益增长的卫生服务需求，提高人民疾病预防和卫生保健水平。</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综上所述，在足额支付“塔城市妇幼保健院业务楼及设备工程补充建设项目”资金前提下</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lang w:val="en-US" w:eastAsia="zh-CN"/>
        </w:rPr>
        <w:t>189</w:t>
      </w:r>
      <w:r>
        <w:rPr>
          <w:rFonts w:hint="eastAsia" w:ascii="仿宋_GB2312" w:hAnsi="仿宋_GB2312" w:eastAsia="仿宋_GB2312" w:cs="仿宋_GB2312"/>
          <w:b w:val="0"/>
          <w:bCs w:val="0"/>
          <w:kern w:val="2"/>
        </w:rPr>
        <w:t>万元统筹用于解决单位基本运转、购置必要医疗设备及信息化建设。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本项目总投资</w:t>
      </w:r>
      <w:r>
        <w:rPr>
          <w:rFonts w:hint="eastAsia" w:ascii="仿宋_GB2312" w:hAnsi="仿宋_GB2312" w:eastAsia="仿宋_GB2312" w:cs="仿宋_GB2312"/>
          <w:sz w:val="32"/>
          <w:szCs w:val="32"/>
          <w:highlight w:val="none"/>
          <w:lang w:val="en-US" w:eastAsia="zh-CN"/>
        </w:rPr>
        <w:t>189</w:t>
      </w:r>
      <w:r>
        <w:rPr>
          <w:rFonts w:hint="eastAsia" w:ascii="仿宋_GB2312" w:hAnsi="仿宋_GB2312" w:eastAsia="仿宋_GB2312" w:cs="仿宋_GB2312"/>
          <w:sz w:val="32"/>
          <w:szCs w:val="32"/>
          <w:highlight w:val="none"/>
        </w:rPr>
        <w:t>万元，其中：财政本级资金</w:t>
      </w:r>
      <w:r>
        <w:rPr>
          <w:rFonts w:hint="eastAsia" w:ascii="仿宋_GB2312" w:hAnsi="仿宋_GB2312" w:eastAsia="仿宋_GB2312" w:cs="仿宋_GB2312"/>
          <w:sz w:val="32"/>
          <w:szCs w:val="32"/>
          <w:highlight w:val="none"/>
          <w:lang w:val="en-US" w:eastAsia="zh-CN"/>
        </w:rPr>
        <w:t>189</w:t>
      </w:r>
      <w:r>
        <w:rPr>
          <w:rFonts w:hint="eastAsia" w:ascii="仿宋_GB2312" w:hAnsi="仿宋_GB2312" w:eastAsia="仿宋_GB2312" w:cs="仿宋_GB2312"/>
          <w:sz w:val="32"/>
          <w:szCs w:val="32"/>
          <w:highlight w:val="none"/>
        </w:rPr>
        <w:t>万元。项目实际支出</w:t>
      </w:r>
      <w:r>
        <w:rPr>
          <w:rFonts w:hint="eastAsia" w:ascii="仿宋_GB2312" w:hAnsi="仿宋_GB2312" w:eastAsia="仿宋_GB2312" w:cs="仿宋_GB2312"/>
          <w:sz w:val="32"/>
          <w:szCs w:val="32"/>
          <w:highlight w:val="none"/>
          <w:lang w:val="en-US" w:eastAsia="zh-CN"/>
        </w:rPr>
        <w:t>58.45</w:t>
      </w:r>
      <w:r>
        <w:rPr>
          <w:rFonts w:hint="eastAsia" w:ascii="仿宋_GB2312" w:hAnsi="仿宋_GB2312" w:eastAsia="仿宋_GB2312" w:cs="仿宋_GB2312"/>
          <w:sz w:val="32"/>
          <w:szCs w:val="32"/>
          <w:highlight w:val="none"/>
        </w:rPr>
        <w:t>万元，支出率为</w:t>
      </w:r>
      <w:r>
        <w:rPr>
          <w:rFonts w:hint="eastAsia" w:ascii="仿宋_GB2312" w:hAnsi="仿宋_GB2312" w:eastAsia="仿宋_GB2312" w:cs="仿宋_GB2312"/>
          <w:sz w:val="32"/>
          <w:szCs w:val="32"/>
          <w:highlight w:val="none"/>
          <w:lang w:val="en-US" w:eastAsia="zh-CN"/>
        </w:rPr>
        <w:t>30.92</w:t>
      </w:r>
      <w:r>
        <w:rPr>
          <w:rFonts w:hint="eastAsia" w:ascii="仿宋_GB2312" w:hAnsi="仿宋_GB2312" w:eastAsia="仿宋_GB2312" w:cs="仿宋_GB2312"/>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keepNext w:val="0"/>
        <w:keepLines w:val="0"/>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189</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sz w:val="32"/>
          <w:szCs w:val="32"/>
          <w:highlight w:val="none"/>
          <w:lang w:val="en-US" w:eastAsia="zh-CN"/>
        </w:rPr>
        <w:t>地区妇幼保健院</w:t>
      </w:r>
      <w:r>
        <w:rPr>
          <w:rFonts w:hint="eastAsia" w:ascii="仿宋_GB2312" w:hAnsi="仿宋_GB2312" w:eastAsia="仿宋_GB2312" w:cs="仿宋_GB2312"/>
          <w:sz w:val="32"/>
          <w:szCs w:val="32"/>
          <w:highlight w:val="none"/>
        </w:rPr>
        <w:t>资金管理办法》及单位财务制度等相关规定，资金支出符合</w:t>
      </w:r>
      <w:r>
        <w:rPr>
          <w:rFonts w:hint="eastAsia" w:ascii="仿宋_GB2312" w:hAnsi="仿宋_GB2312" w:eastAsia="仿宋_GB2312" w:cs="仿宋_GB2312"/>
          <w:sz w:val="32"/>
          <w:szCs w:val="32"/>
          <w:highlight w:val="none"/>
          <w:lang w:val="en-US" w:eastAsia="zh-CN"/>
        </w:rPr>
        <w:t>综合业务楼及设备建设项目</w:t>
      </w:r>
      <w:r>
        <w:rPr>
          <w:rFonts w:hint="eastAsia" w:ascii="仿宋_GB2312" w:hAnsi="仿宋_GB2312" w:eastAsia="仿宋_GB2312" w:cs="仿宋_GB2312"/>
          <w:sz w:val="32"/>
          <w:szCs w:val="32"/>
          <w:highlight w:val="none"/>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地区妇幼保健院综合业务楼及设备建设项目</w:t>
      </w:r>
      <w:r>
        <w:rPr>
          <w:rFonts w:hint="eastAsia" w:ascii="仿宋_GB2312" w:hAnsi="仿宋_GB2312" w:eastAsia="仿宋_GB2312" w:cs="仿宋_GB2312"/>
          <w:sz w:val="32"/>
          <w:szCs w:val="32"/>
          <w:highlight w:val="none"/>
        </w:rPr>
        <w:t>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（2）预算资金来源及使用情况</w:t>
      </w:r>
      <w:bookmarkStart w:id="1" w:name="page10"/>
      <w:bookmarkEnd w:id="1"/>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lang w:eastAsia="zh-CN"/>
        </w:rPr>
      </w:pPr>
      <w:r>
        <w:rPr>
          <w:rFonts w:hint="eastAsia" w:ascii="仿宋_GB2312" w:hAnsi="仿宋_GB2312" w:eastAsia="仿宋_GB2312" w:cs="仿宋_GB2312"/>
          <w:b w:val="0"/>
          <w:bCs w:val="0"/>
          <w:kern w:val="2"/>
          <w:lang w:val="en-US" w:eastAsia="zh-CN"/>
        </w:rPr>
        <w:t>项目资金来源于《关于下达对口支援塔城地区2010-2018年结余资金项目计划的通知》</w:t>
      </w:r>
      <w:r>
        <w:rPr>
          <w:rFonts w:hint="eastAsia" w:ascii="仿宋_GB2312" w:hAnsi="仿宋_GB2312" w:eastAsia="仿宋_GB2312" w:cs="仿宋_GB2312"/>
          <w:b w:val="0"/>
          <w:bCs w:val="0"/>
          <w:kern w:val="2"/>
        </w:rPr>
        <w:t>，</w:t>
      </w:r>
      <w:r>
        <w:rPr>
          <w:rFonts w:hint="eastAsia" w:ascii="仿宋_GB2312" w:hAnsi="仿宋_GB2312" w:eastAsia="仿宋_GB2312" w:cs="仿宋_GB2312"/>
          <w:b w:val="0"/>
          <w:bCs w:val="0"/>
          <w:kern w:val="2"/>
          <w:lang w:val="en-US" w:eastAsia="zh-CN"/>
        </w:rPr>
        <w:t>辽宁援建资金189万元</w:t>
      </w:r>
      <w:r>
        <w:rPr>
          <w:rFonts w:hint="eastAsia" w:ascii="仿宋_GB2312" w:hAnsi="仿宋_GB2312" w:eastAsia="仿宋_GB2312" w:cs="仿宋_GB2312"/>
          <w:b w:val="0"/>
          <w:bCs w:val="0"/>
          <w:kern w:val="2"/>
        </w:rPr>
        <w:t>。项目资金到位</w:t>
      </w:r>
      <w:r>
        <w:rPr>
          <w:rFonts w:hint="eastAsia" w:ascii="仿宋_GB2312" w:hAnsi="仿宋_GB2312" w:eastAsia="仿宋_GB2312" w:cs="仿宋_GB2312"/>
          <w:b w:val="0"/>
          <w:bCs w:val="0"/>
          <w:kern w:val="2"/>
          <w:lang w:val="en-US" w:eastAsia="zh-CN"/>
        </w:rPr>
        <w:t>189</w:t>
      </w:r>
      <w:r>
        <w:rPr>
          <w:rFonts w:hint="eastAsia" w:ascii="仿宋_GB2312" w:hAnsi="仿宋_GB2312" w:eastAsia="仿宋_GB2312" w:cs="仿宋_GB2312"/>
          <w:b w:val="0"/>
          <w:bCs w:val="0"/>
          <w:kern w:val="2"/>
        </w:rPr>
        <w:t>万元</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文件中批复的资金，用于支付项目实施进程中的各项费用项目预算资金</w:t>
      </w:r>
      <w:r>
        <w:rPr>
          <w:rFonts w:hint="eastAsia" w:ascii="仿宋_GB2312" w:hAnsi="仿宋_GB2312" w:eastAsia="仿宋_GB2312" w:cs="仿宋_GB2312"/>
          <w:b w:val="0"/>
          <w:bCs w:val="0"/>
          <w:kern w:val="2"/>
          <w:lang w:eastAsia="zh-CN"/>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keepNext w:val="0"/>
        <w:keepLines w:val="0"/>
        <w:pageBreakBefore w:val="0"/>
        <w:kinsoku/>
        <w:wordWrap/>
        <w:overflowPunct/>
        <w:topLinePunct w:val="0"/>
        <w:autoSpaceDE/>
        <w:autoSpaceDN/>
        <w:bidi w:val="0"/>
        <w:adjustRightInd/>
        <w:snapToGrid/>
        <w:spacing w:line="560" w:lineRule="exact"/>
        <w:ind w:firstLine="643" w:firstLineChars="200"/>
        <w:contextualSpacing/>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项目资金按我单位开展工作有序地进行支付需求，项目支出保障了项目资金按我单位开展工作有序地进行支付需求，项目支出保障了综合业务楼建设项目2020年正常开展业务工作运转。1、基于妇幼健康信息化顶层设计，完成妇幼信息资源整合与数据架构设计，为全市妇幼健康信息平台建设做好技术指导。</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完善妇幼健康服务与管理信息化建设内容，建设市级妇幼健康信息平台，实现儿童保健、妇女保健与计划生育技术服务、妇幼健康综合管理三个妇幼健康系统建设，有效整合分散的妇幼健康数据资源，形成统一的妇幼健康信息标准与规范，实现妇幼健康数据的统一管理。</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3、完成对各市妇幼保健机构及相关医疗保健机构中妇幼业务数据的采集及汇总，实现更高层面的数据统计分析和综合应用，全面、真实、权威地掌握我市儿童和妇女的健康状况，从而优化妇幼保健业务流程，加强妇幼健康服务管理，健全妇幼健康管理体系。</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4、在妇幼健康服务与管理信息化应用集成门户内，对妇幼中心现有预防艾滋病、梅毒和乙肝母婴传播管理信息系统、全市出生医学证明管理信息系统、全市母子健康手册管理信息系统，规范管理及应用，为全民健康保障信息化工程项目提供数据支撑，满足与全民健康保障信息化工程项目间的业务应用融合、数据互联互通。</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5、遵循“全民健康保障信息化工程”中的数据交换平台技术要求，基于妇幼中心现有的信息化基础，实现与市级妇幼业务系统的数据交换与信息共享.</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6、在项目建设过程中，按照国家卫生计生委信息安全相关要求，建立完善信息安全技术和管理保障体系，保障信息平台、系统及信息安全可靠。</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highlight w:val="none"/>
          <w:lang w:val="en-US" w:eastAsia="zh-CN"/>
        </w:rPr>
        <w:t>地区妇幼保健院</w:t>
      </w:r>
      <w:r>
        <w:rPr>
          <w:rFonts w:hint="eastAsia" w:ascii="仿宋_GB2312" w:hAnsi="仿宋_GB2312" w:eastAsia="仿宋_GB2312" w:cs="仿宋_GB2312"/>
          <w:b w:val="0"/>
          <w:bCs w:val="0"/>
          <w:kern w:val="2"/>
          <w:sz w:val="32"/>
          <w:szCs w:val="32"/>
          <w:highlight w:val="none"/>
          <w:lang w:val="en-US" w:eastAsia="zh-CN" w:bidi="ar-SA"/>
        </w:rPr>
        <w:t>项目资金绩效管理</w:t>
      </w:r>
      <w:r>
        <w:rPr>
          <w:rFonts w:hint="eastAsia" w:ascii="仿宋_GB2312" w:hAnsi="仿宋_GB2312" w:eastAsia="仿宋_GB2312" w:cs="仿宋_GB2312"/>
          <w:sz w:val="32"/>
          <w:szCs w:val="32"/>
          <w:highlight w:val="none"/>
        </w:rPr>
        <w:t>方案》，通过制定项目实施方案，经项目负责人审核通过后，有序开展后续工程。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地区妇幼保健院</w:t>
      </w:r>
      <w:r>
        <w:rPr>
          <w:rFonts w:hint="eastAsia" w:ascii="仿宋_GB2312" w:hAnsi="仿宋_GB2312" w:eastAsia="仿宋_GB2312" w:cs="仿宋_GB2312"/>
          <w:b w:val="0"/>
          <w:bCs w:val="0"/>
          <w:kern w:val="2"/>
          <w:sz w:val="32"/>
          <w:szCs w:val="32"/>
          <w:highlight w:val="none"/>
          <w:lang w:val="en-US" w:eastAsia="zh-CN" w:bidi="ar-SA"/>
        </w:rPr>
        <w:t>项目资金绩效管理</w:t>
      </w:r>
      <w:r>
        <w:rPr>
          <w:rFonts w:hint="eastAsia" w:ascii="仿宋_GB2312" w:hAnsi="仿宋_GB2312" w:eastAsia="仿宋_GB2312" w:cs="仿宋_GB2312"/>
          <w:sz w:val="32"/>
          <w:szCs w:val="32"/>
        </w:rPr>
        <w:t>方案》要求逐一进行项目部署安排，提高项目质量及效率性。</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评价目的：为全面了解2020年塔城地区妇幼保健院项目预算编制合理性、资金使用合规性、项目管理的规范性、项目目标的实现情况等，通过本次绩效评价来总结经验和教训，促进</w:t>
      </w:r>
      <w:r>
        <w:rPr>
          <w:rFonts w:hint="eastAsia" w:ascii="仿宋_GB2312" w:hAnsi="仿宋_GB2312" w:eastAsia="仿宋_GB2312" w:cs="仿宋_GB2312"/>
          <w:sz w:val="32"/>
          <w:szCs w:val="32"/>
          <w:highlight w:val="none"/>
          <w:lang w:val="en-US" w:eastAsia="zh-CN"/>
        </w:rPr>
        <w:t>项目成果转化和应用，使用中央、自治区、地方项目资金，落实综合业务楼及设备建设项目工作目标管理考核机制，为今后类似项目的长效管理，提供可行性参考建议。</w:t>
      </w:r>
    </w:p>
    <w:p>
      <w:pPr>
        <w:keepNext w:val="0"/>
        <w:keepLines w:val="0"/>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绩效评价旨在通过评价改善预算部门的财政支出管理，优化资源配置及提高公共服务水平。运用科学、规范的绩效评价方法，按照财政部《关于印发&lt;项目支出绩效评价管理办法&gt;的通知》，《关于印发&lt;塔城地区全面实施财政支出绩效管理的工作方案&gt;的通知》等文件精神，对我院2020年度“</w:t>
      </w:r>
      <w:r>
        <w:rPr>
          <w:rFonts w:hint="eastAsia" w:ascii="仿宋_GB2312" w:hAnsi="仿宋_GB2312" w:eastAsia="仿宋_GB2312" w:cs="仿宋_GB2312"/>
          <w:sz w:val="32"/>
          <w:szCs w:val="32"/>
          <w:highlight w:val="none"/>
          <w:lang w:val="en-US" w:eastAsia="zh-CN"/>
        </w:rPr>
        <w:t>综合业务楼及设备建设</w:t>
      </w:r>
      <w:r>
        <w:rPr>
          <w:rFonts w:hint="eastAsia" w:ascii="仿宋_GB2312" w:hAnsi="仿宋_GB2312" w:eastAsia="仿宋_GB2312" w:cs="仿宋_GB2312"/>
          <w:b w:val="0"/>
          <w:bCs w:val="0"/>
          <w:kern w:val="2"/>
          <w:sz w:val="32"/>
          <w:szCs w:val="32"/>
          <w:highlight w:val="none"/>
          <w:lang w:val="en-US" w:eastAsia="zh-CN" w:bidi="ar-SA"/>
        </w:rPr>
        <w:t>”项目进行绩效评价，参照《自治区预算绩效管理文件制度汇编》等相关政策文件与规定，从财政专项资金补贴的角度探寻我院2020年度“</w:t>
      </w:r>
      <w:r>
        <w:rPr>
          <w:rFonts w:hint="eastAsia" w:ascii="仿宋_GB2312" w:hAnsi="仿宋_GB2312" w:eastAsia="仿宋_GB2312" w:cs="仿宋_GB2312"/>
          <w:sz w:val="32"/>
          <w:szCs w:val="32"/>
          <w:highlight w:val="none"/>
          <w:lang w:val="en-US" w:eastAsia="zh-CN"/>
        </w:rPr>
        <w:t>综合业务楼及设备建设</w:t>
      </w:r>
      <w:r>
        <w:rPr>
          <w:rFonts w:hint="eastAsia" w:ascii="仿宋_GB2312" w:hAnsi="仿宋_GB2312" w:eastAsia="仿宋_GB2312" w:cs="仿宋_GB2312"/>
          <w:b w:val="0"/>
          <w:bCs w:val="0"/>
          <w:kern w:val="2"/>
          <w:sz w:val="32"/>
          <w:szCs w:val="32"/>
          <w:highlight w:val="none"/>
          <w:lang w:val="en-US" w:eastAsia="zh-CN" w:bidi="ar-SA"/>
        </w:rPr>
        <w:t>”项目的效率和效益，提出有针对性的建议，提高对“</w:t>
      </w:r>
      <w:r>
        <w:rPr>
          <w:rFonts w:hint="eastAsia" w:ascii="仿宋_GB2312" w:hAnsi="仿宋_GB2312" w:eastAsia="仿宋_GB2312" w:cs="仿宋_GB2312"/>
          <w:sz w:val="32"/>
          <w:szCs w:val="32"/>
          <w:highlight w:val="none"/>
          <w:lang w:val="en-US" w:eastAsia="zh-CN"/>
        </w:rPr>
        <w:t>综合业务楼及设备建设</w:t>
      </w:r>
      <w:r>
        <w:rPr>
          <w:rFonts w:hint="eastAsia" w:ascii="仿宋_GB2312" w:hAnsi="仿宋_GB2312" w:eastAsia="仿宋_GB2312" w:cs="仿宋_GB2312"/>
          <w:b w:val="0"/>
          <w:bCs w:val="0"/>
          <w:kern w:val="2"/>
          <w:sz w:val="32"/>
          <w:szCs w:val="32"/>
          <w:highlight w:val="none"/>
          <w:lang w:val="en-US" w:eastAsia="zh-CN" w:bidi="ar-SA"/>
        </w:rPr>
        <w:t>”项目的有效利用度，进一步提升“</w:t>
      </w:r>
      <w:r>
        <w:rPr>
          <w:rFonts w:hint="eastAsia" w:ascii="仿宋_GB2312" w:hAnsi="仿宋_GB2312" w:eastAsia="仿宋_GB2312" w:cs="仿宋_GB2312"/>
          <w:sz w:val="32"/>
          <w:szCs w:val="32"/>
          <w:highlight w:val="none"/>
          <w:lang w:val="en-US" w:eastAsia="zh-CN"/>
        </w:rPr>
        <w:t>综合业务楼及设备建设</w:t>
      </w:r>
      <w:r>
        <w:rPr>
          <w:rFonts w:hint="eastAsia" w:ascii="仿宋_GB2312" w:hAnsi="仿宋_GB2312" w:eastAsia="仿宋_GB2312" w:cs="仿宋_GB2312"/>
          <w:b w:val="0"/>
          <w:bCs w:val="0"/>
          <w:kern w:val="2"/>
          <w:sz w:val="32"/>
          <w:szCs w:val="32"/>
          <w:highlight w:val="none"/>
          <w:lang w:val="en-US" w:eastAsia="zh-CN" w:bidi="ar-SA"/>
        </w:rPr>
        <w:t>”工作的水平。</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keepNext w:val="0"/>
        <w:keepLines w:val="0"/>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lang w:val="en-US" w:eastAsia="zh-CN"/>
        </w:rPr>
      </w:pPr>
      <w:r>
        <w:rPr>
          <w:rFonts w:hint="eastAsia" w:ascii="仿宋_GB2312" w:hAnsi="仿宋_GB2312" w:eastAsia="仿宋_GB2312" w:cs="仿宋_GB2312"/>
          <w:b w:val="0"/>
          <w:bCs w:val="0"/>
          <w:kern w:val="2"/>
          <w:sz w:val="32"/>
          <w:szCs w:val="32"/>
          <w:highlight w:val="none"/>
          <w:lang w:val="en-US" w:eastAsia="zh-CN" w:bidi="ar-SA"/>
        </w:rPr>
        <w:t>评价对象为“</w:t>
      </w:r>
      <w:r>
        <w:rPr>
          <w:rFonts w:hint="eastAsia" w:ascii="仿宋_GB2312" w:hAnsi="仿宋_GB2312" w:eastAsia="仿宋_GB2312" w:cs="仿宋_GB2312"/>
          <w:sz w:val="32"/>
          <w:szCs w:val="32"/>
          <w:highlight w:val="none"/>
          <w:lang w:val="en-US" w:eastAsia="zh-CN"/>
        </w:rPr>
        <w:t>综合业务楼及设备建设</w:t>
      </w:r>
      <w:r>
        <w:rPr>
          <w:rFonts w:hint="eastAsia" w:ascii="仿宋_GB2312" w:hAnsi="仿宋_GB2312" w:eastAsia="仿宋_GB2312" w:cs="仿宋_GB2312"/>
          <w:b w:val="0"/>
          <w:bCs w:val="0"/>
          <w:kern w:val="2"/>
          <w:sz w:val="32"/>
          <w:szCs w:val="32"/>
          <w:highlight w:val="none"/>
          <w:lang w:val="en-US" w:eastAsia="zh-CN" w:bidi="ar-SA"/>
        </w:rPr>
        <w:t>”项目，评价核心为专项资金的支出完成情况和效果。</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keepNext w:val="0"/>
        <w:keepLines w:val="0"/>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本次评价从</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sz w:val="32"/>
          <w:szCs w:val="32"/>
          <w:highlight w:val="none"/>
          <w:lang w:val="en-US" w:eastAsia="zh-CN"/>
        </w:rPr>
        <w:t>综合业务楼及设备建设</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sz w:val="32"/>
          <w:szCs w:val="32"/>
        </w:rPr>
        <w:t>项目决策、项目管理、项目产出项目效益四个维度进行评价，</w:t>
      </w:r>
      <w:r>
        <w:rPr>
          <w:rFonts w:hint="eastAsia" w:ascii="仿宋_GB2312" w:hAnsi="仿宋_GB2312" w:eastAsia="仿宋_GB2312" w:cs="仿宋_GB2312"/>
          <w:sz w:val="32"/>
          <w:szCs w:val="32"/>
          <w:highlight w:val="none"/>
          <w:lang w:val="en-US" w:eastAsia="zh-CN"/>
        </w:rPr>
        <w:t>综合业务楼及设备建设</w:t>
      </w:r>
      <w:r>
        <w:rPr>
          <w:rFonts w:hint="eastAsia" w:ascii="仿宋_GB2312" w:hAnsi="仿宋_GB2312" w:eastAsia="仿宋_GB2312" w:cs="仿宋_GB2312"/>
          <w:sz w:val="32"/>
          <w:szCs w:val="32"/>
          <w:lang w:val="en-US" w:eastAsia="zh-CN"/>
        </w:rPr>
        <w:t>有关的交通差旅、试剂耗材、培训、人力成本、健康教育、宣传材料、信息维修维护、公车运行、办公用品等。</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2、评价指标体系</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w:t>
      </w:r>
      <w:r>
        <w:rPr>
          <w:rFonts w:hint="eastAsia" w:ascii="仿宋_GB2312" w:hAnsi="仿宋_GB2312" w:eastAsia="仿宋_GB2312" w:cs="仿宋_GB2312"/>
          <w:color w:val="000000"/>
          <w:spacing w:val="17"/>
          <w:sz w:val="32"/>
          <w:szCs w:val="32"/>
        </w:rPr>
        <w:t>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highlight w:val="none"/>
        </w:rPr>
        <w:t>权重为</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具体评价指标体系详情见</w:t>
      </w:r>
      <w:r>
        <w:rPr>
          <w:rFonts w:hint="eastAsia" w:ascii="仿宋_GB2312" w:hAnsi="仿宋_GB2312" w:eastAsia="仿宋_GB2312" w:cs="仿宋_GB2312"/>
          <w:color w:val="000000"/>
          <w:spacing w:val="17"/>
          <w:sz w:val="32"/>
          <w:szCs w:val="32"/>
          <w:lang w:val="en-US" w:eastAsia="zh-CN"/>
        </w:rPr>
        <w:t>附件</w:t>
      </w:r>
      <w:r>
        <w:rPr>
          <w:rFonts w:hint="eastAsia" w:ascii="仿宋_GB2312" w:hAnsi="仿宋_GB2312" w:eastAsia="仿宋_GB2312" w:cs="仿宋_GB2312"/>
          <w:color w:val="000000"/>
          <w:spacing w:val="17"/>
          <w:sz w:val="32"/>
          <w:szCs w:val="32"/>
        </w:rPr>
        <w:t>1</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3、绩效评价方法</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4</w:t>
      </w:r>
      <w:r>
        <w:rPr>
          <w:rFonts w:hint="eastAsia" w:ascii="仿宋_GB2312" w:hAnsi="仿宋_GB2312" w:eastAsia="仿宋_GB2312" w:cs="仿宋_GB2312"/>
          <w:color w:val="000000"/>
          <w:spacing w:val="17"/>
          <w:sz w:val="32"/>
          <w:szCs w:val="32"/>
        </w:rPr>
        <w:t>、绩效评价</w:t>
      </w:r>
      <w:r>
        <w:rPr>
          <w:rFonts w:hint="eastAsia" w:ascii="仿宋_GB2312" w:hAnsi="仿宋_GB2312" w:eastAsia="仿宋_GB2312" w:cs="仿宋_GB2312"/>
          <w:color w:val="000000"/>
          <w:spacing w:val="17"/>
          <w:sz w:val="32"/>
          <w:szCs w:val="32"/>
          <w:lang w:val="en-US" w:eastAsia="zh-CN"/>
        </w:rPr>
        <w:t>标准</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highlight w:val="none"/>
          <w:lang w:eastAsia="zh-CN"/>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w:t>
      </w:r>
      <w:r>
        <w:rPr>
          <w:rFonts w:hint="eastAsia" w:ascii="仿宋_GB2312" w:hAnsi="仿宋_GB2312" w:eastAsia="仿宋_GB2312" w:cs="仿宋_GB2312"/>
          <w:color w:val="000000"/>
          <w:spacing w:val="17"/>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lang w:val="en-US" w:eastAsia="zh-CN"/>
        </w:rPr>
        <w:t>对</w:t>
      </w:r>
      <w:r>
        <w:rPr>
          <w:rFonts w:hint="eastAsia" w:ascii="仿宋_GB2312" w:hAnsi="仿宋_GB2312" w:eastAsia="仿宋_GB2312" w:cs="仿宋_GB2312"/>
          <w:sz w:val="32"/>
          <w:szCs w:val="32"/>
          <w:highlight w:val="none"/>
          <w:lang w:val="en-US" w:eastAsia="zh-CN"/>
        </w:rPr>
        <w:t>综合业务楼及设备建设</w:t>
      </w:r>
      <w:r>
        <w:rPr>
          <w:rFonts w:hint="eastAsia" w:ascii="仿宋_GB2312" w:hAnsi="仿宋_GB2312" w:eastAsia="仿宋_GB2312" w:cs="仿宋_GB2312"/>
          <w:color w:val="000000"/>
          <w:spacing w:val="17"/>
          <w:sz w:val="32"/>
          <w:szCs w:val="32"/>
          <w:lang w:val="en-US" w:eastAsia="zh-CN"/>
        </w:rPr>
        <w:t>项目进行客观评价，最终评分结果：总得分</w:t>
      </w:r>
      <w:r>
        <w:rPr>
          <w:rFonts w:hint="eastAsia" w:ascii="仿宋_GB2312" w:hAnsi="仿宋_GB2312" w:eastAsia="仿宋_GB2312" w:cs="仿宋_GB2312"/>
          <w:color w:val="000000"/>
          <w:spacing w:val="17"/>
          <w:sz w:val="32"/>
          <w:szCs w:val="32"/>
          <w:highlight w:val="none"/>
          <w:lang w:val="en-US" w:eastAsia="zh-CN"/>
        </w:rPr>
        <w:t>为96.99分</w:t>
      </w:r>
      <w:r>
        <w:rPr>
          <w:rFonts w:hint="eastAsia" w:ascii="仿宋_GB2312" w:hAnsi="仿宋_GB2312" w:eastAsia="仿宋_GB2312" w:cs="仿宋_GB2312"/>
          <w:color w:val="000000"/>
          <w:spacing w:val="17"/>
          <w:sz w:val="32"/>
          <w:szCs w:val="32"/>
          <w:lang w:val="en-US" w:eastAsia="zh-CN"/>
        </w:rPr>
        <w:t>，属于“优”。其中，项目决策类指标权重为5分，得分为5分，得分率为100%。项目过程类指标权重为5分，得分为4.99分，得分率为99.68%。项目产出类指标权重为50分，得分为50分，得分率为100%。项目效益类指标权重为</w:t>
      </w:r>
      <w:r>
        <w:rPr>
          <w:rFonts w:hint="eastAsia" w:ascii="仿宋_GB2312" w:hAnsi="仿宋_GB2312" w:eastAsia="仿宋_GB2312" w:cs="仿宋_GB2312"/>
          <w:color w:val="000000"/>
          <w:spacing w:val="17"/>
          <w:sz w:val="32"/>
          <w:szCs w:val="32"/>
          <w:highlight w:val="none"/>
          <w:lang w:val="en-US" w:eastAsia="zh-CN"/>
        </w:rPr>
        <w:t>40分，得分为37分，得分率为92.5%。</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highlight w:val="none"/>
        </w:rPr>
      </w:pPr>
    </w:p>
    <w:p>
      <w:pPr>
        <w:pStyle w:val="2"/>
        <w:keepNext w:val="0"/>
        <w:keepLines w:val="0"/>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keepNext w:val="0"/>
        <w:keepLines w:val="0"/>
        <w:pageBreakBefore w:val="0"/>
        <w:kinsoku/>
        <w:wordWrap/>
        <w:overflowPunct/>
        <w:topLinePunct w:val="0"/>
        <w:autoSpaceDE/>
        <w:autoSpaceDN/>
        <w:bidi w:val="0"/>
        <w:adjustRightInd/>
        <w:snapToGrid/>
        <w:spacing w:line="560" w:lineRule="exact"/>
        <w:textAlignment w:val="auto"/>
      </w:pPr>
    </w:p>
    <w:tbl>
      <w:tblPr>
        <w:tblStyle w:val="18"/>
        <w:tblpPr w:leftFromText="180" w:rightFromText="180" w:vertAnchor="text" w:horzAnchor="page" w:tblpXSpec="center" w:tblpY="-67"/>
        <w:tblOverlap w:val="never"/>
        <w:tblW w:w="944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47"/>
        <w:gridCol w:w="939"/>
        <w:gridCol w:w="1217"/>
        <w:gridCol w:w="1871"/>
        <w:gridCol w:w="672"/>
        <w:gridCol w:w="912"/>
        <w:gridCol w:w="888"/>
        <w:gridCol w:w="984"/>
        <w:gridCol w:w="91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5" w:hRule="atLeast"/>
          <w:tblHeader/>
          <w:jc w:val="center"/>
        </w:trPr>
        <w:tc>
          <w:tcPr>
            <w:tcW w:w="104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39"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1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871"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672"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912"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888"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98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10"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0" w:hRule="atLeast"/>
          <w:jc w:val="center"/>
        </w:trPr>
        <w:tc>
          <w:tcPr>
            <w:tcW w:w="104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1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67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1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8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8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67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1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8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8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76"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6"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67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1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1</w:t>
            </w:r>
          </w:p>
        </w:tc>
        <w:tc>
          <w:tcPr>
            <w:tcW w:w="98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6"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67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1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8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jc w:val="center"/>
        </w:trPr>
        <w:tc>
          <w:tcPr>
            <w:tcW w:w="104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1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67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1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8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0.99</w:t>
            </w:r>
          </w:p>
        </w:tc>
        <w:tc>
          <w:tcPr>
            <w:tcW w:w="98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99.68%</w:t>
            </w:r>
          </w:p>
        </w:tc>
        <w:tc>
          <w:tcPr>
            <w:tcW w:w="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jc w:val="center"/>
        </w:trPr>
        <w:tc>
          <w:tcPr>
            <w:tcW w:w="104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1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经费保障人数</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经费保障覆盖率</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资金拨付</w:t>
            </w:r>
            <w:r>
              <w:rPr>
                <w:rFonts w:hint="eastAsia" w:ascii="宋体" w:hAnsi="宋体" w:cs="宋体"/>
                <w:color w:val="000000"/>
                <w:kern w:val="0"/>
                <w:sz w:val="22"/>
                <w:szCs w:val="22"/>
              </w:rPr>
              <w:t>及时率</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项目支出成本</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32" w:hRule="atLeast"/>
          <w:jc w:val="center"/>
        </w:trPr>
        <w:tc>
          <w:tcPr>
            <w:tcW w:w="104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17"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社会</w:t>
            </w:r>
            <w:r>
              <w:rPr>
                <w:rFonts w:hint="eastAsia" w:ascii="宋体" w:hAnsi="宋体" w:cs="宋体"/>
                <w:color w:val="000000"/>
                <w:kern w:val="0"/>
                <w:sz w:val="22"/>
                <w:szCs w:val="22"/>
              </w:rPr>
              <w:t>效益　</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业务保障能力提升</w:t>
            </w:r>
          </w:p>
        </w:tc>
        <w:tc>
          <w:tcPr>
            <w:tcW w:w="67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1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8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c>
          <w:tcPr>
            <w:tcW w:w="98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80%</w:t>
            </w:r>
          </w:p>
        </w:tc>
        <w:tc>
          <w:tcPr>
            <w:tcW w:w="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08"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pPr>
          </w:p>
        </w:tc>
        <w:tc>
          <w:tcPr>
            <w:tcW w:w="121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pP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有效控制突发公共卫生事件</w:t>
            </w:r>
          </w:p>
        </w:tc>
        <w:tc>
          <w:tcPr>
            <w:tcW w:w="67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12"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888"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8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85" w:hRule="atLeast"/>
          <w:jc w:val="center"/>
        </w:trPr>
        <w:tc>
          <w:tcPr>
            <w:tcW w:w="104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9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p>
        </w:tc>
        <w:tc>
          <w:tcPr>
            <w:tcW w:w="121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187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服务人群满意度</w:t>
            </w:r>
          </w:p>
        </w:tc>
        <w:tc>
          <w:tcPr>
            <w:tcW w:w="67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12"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c>
          <w:tcPr>
            <w:tcW w:w="888"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c>
          <w:tcPr>
            <w:tcW w:w="98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r>
    </w:tbl>
    <w:p>
      <w:pPr>
        <w:pStyle w:val="2"/>
        <w:keepNext w:val="0"/>
        <w:keepLines w:val="0"/>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黑体" w:hAnsi="黑体" w:eastAsia="黑体" w:cs="黑体"/>
          <w:sz w:val="32"/>
          <w:szCs w:val="32"/>
          <w:lang w:eastAsia="zh-CN"/>
        </w:rPr>
        <w:t>四、绩效评价指标分析</w:t>
      </w:r>
    </w:p>
    <w:p>
      <w:pPr>
        <w:pStyle w:val="2"/>
        <w:keepNext w:val="0"/>
        <w:keepLines w:val="0"/>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项目决策指标从项目立项、绩效目标、资金投入3个方面对项目的决策进行考察，项目决策类指标分值5分，实际得分5分，得分率100%。项目决策指标得分情况如表所示。</w:t>
      </w:r>
    </w:p>
    <w:tbl>
      <w:tblPr>
        <w:tblStyle w:val="18"/>
        <w:tblW w:w="9060" w:type="dxa"/>
        <w:tblInd w:w="0" w:type="dxa"/>
        <w:tblLayout w:type="fixed"/>
        <w:tblCellMar>
          <w:top w:w="0" w:type="dxa"/>
          <w:left w:w="108" w:type="dxa"/>
          <w:bottom w:w="0" w:type="dxa"/>
          <w:right w:w="108" w:type="dxa"/>
        </w:tblCellMar>
      </w:tblPr>
      <w:tblGrid>
        <w:gridCol w:w="2674"/>
        <w:gridCol w:w="2412"/>
        <w:gridCol w:w="2111"/>
        <w:gridCol w:w="1863"/>
      </w:tblGrid>
      <w:tr>
        <w:tblPrEx>
          <w:tblCellMar>
            <w:top w:w="0" w:type="dxa"/>
            <w:left w:w="108" w:type="dxa"/>
            <w:bottom w:w="0" w:type="dxa"/>
            <w:right w:w="108" w:type="dxa"/>
          </w:tblCellMar>
        </w:tblPrEx>
        <w:trPr>
          <w:trHeight w:val="353" w:hRule="atLeast"/>
        </w:trPr>
        <w:tc>
          <w:tcPr>
            <w:tcW w:w="9060" w:type="dxa"/>
            <w:gridSpan w:val="4"/>
            <w:tcBorders>
              <w:top w:val="nil"/>
              <w:left w:val="nil"/>
              <w:bottom w:val="single" w:color="auto" w:sz="8"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项目决策指标得分情况</w:t>
            </w:r>
          </w:p>
        </w:tc>
      </w:tr>
      <w:tr>
        <w:tblPrEx>
          <w:tblCellMar>
            <w:top w:w="0" w:type="dxa"/>
            <w:left w:w="108" w:type="dxa"/>
            <w:bottom w:w="0" w:type="dxa"/>
            <w:right w:w="108" w:type="dxa"/>
          </w:tblCellMar>
        </w:tblPrEx>
        <w:trPr>
          <w:trHeight w:val="611" w:hRule="exact"/>
        </w:trPr>
        <w:tc>
          <w:tcPr>
            <w:tcW w:w="2674" w:type="dxa"/>
            <w:tcBorders>
              <w:top w:val="nil"/>
              <w:left w:val="single" w:color="auto" w:sz="8" w:space="0"/>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eastAsia="zh-CN"/>
              </w:rPr>
              <w:t>二</w:t>
            </w:r>
            <w:r>
              <w:rPr>
                <w:rFonts w:hint="eastAsia" w:ascii="仿宋_GB2312" w:hAnsi="仿宋_GB2312" w:eastAsia="仿宋_GB2312" w:cs="仿宋_GB2312"/>
                <w:b/>
                <w:sz w:val="30"/>
                <w:szCs w:val="30"/>
              </w:rPr>
              <w:t>级指标</w:t>
            </w:r>
          </w:p>
        </w:tc>
        <w:tc>
          <w:tcPr>
            <w:tcW w:w="2412"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权重</w:t>
            </w:r>
          </w:p>
        </w:tc>
        <w:tc>
          <w:tcPr>
            <w:tcW w:w="2111"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得分率</w:t>
            </w:r>
          </w:p>
        </w:tc>
        <w:tc>
          <w:tcPr>
            <w:tcW w:w="1863"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实际得分</w:t>
            </w:r>
          </w:p>
        </w:tc>
      </w:tr>
      <w:tr>
        <w:tblPrEx>
          <w:tblCellMar>
            <w:top w:w="0" w:type="dxa"/>
            <w:left w:w="108" w:type="dxa"/>
            <w:bottom w:w="0" w:type="dxa"/>
            <w:right w:w="108" w:type="dxa"/>
          </w:tblCellMar>
        </w:tblPrEx>
        <w:trPr>
          <w:trHeight w:val="548" w:hRule="exact"/>
        </w:trPr>
        <w:tc>
          <w:tcPr>
            <w:tcW w:w="2674"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ind w:firstLine="360" w:firstLineChars="200"/>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项目立项</w:t>
            </w:r>
          </w:p>
        </w:tc>
        <w:tc>
          <w:tcPr>
            <w:tcW w:w="241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2111"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r>
              <w:rPr>
                <w:rFonts w:hint="eastAsia" w:ascii="宋体" w:hAnsi="宋体" w:eastAsia="宋体" w:cs="宋体"/>
                <w:sz w:val="18"/>
                <w:szCs w:val="18"/>
              </w:rPr>
              <w:t>%</w:t>
            </w:r>
          </w:p>
        </w:tc>
        <w:tc>
          <w:tcPr>
            <w:tcW w:w="1863"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1</w:t>
            </w:r>
          </w:p>
        </w:tc>
      </w:tr>
      <w:tr>
        <w:tblPrEx>
          <w:tblCellMar>
            <w:top w:w="0" w:type="dxa"/>
            <w:left w:w="108" w:type="dxa"/>
            <w:bottom w:w="0" w:type="dxa"/>
            <w:right w:w="108" w:type="dxa"/>
          </w:tblCellMar>
        </w:tblPrEx>
        <w:trPr>
          <w:trHeight w:val="561" w:hRule="exact"/>
        </w:trPr>
        <w:tc>
          <w:tcPr>
            <w:tcW w:w="2674"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绩效目标</w:t>
            </w:r>
          </w:p>
        </w:tc>
        <w:tc>
          <w:tcPr>
            <w:tcW w:w="241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2</w:t>
            </w:r>
          </w:p>
        </w:tc>
        <w:tc>
          <w:tcPr>
            <w:tcW w:w="2111"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863"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r>
      <w:tr>
        <w:tblPrEx>
          <w:tblCellMar>
            <w:top w:w="0" w:type="dxa"/>
            <w:left w:w="108" w:type="dxa"/>
            <w:bottom w:w="0" w:type="dxa"/>
            <w:right w:w="108" w:type="dxa"/>
          </w:tblCellMar>
        </w:tblPrEx>
        <w:trPr>
          <w:trHeight w:val="596" w:hRule="exact"/>
        </w:trPr>
        <w:tc>
          <w:tcPr>
            <w:tcW w:w="2674"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资金投入</w:t>
            </w:r>
          </w:p>
        </w:tc>
        <w:tc>
          <w:tcPr>
            <w:tcW w:w="241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2</w:t>
            </w:r>
          </w:p>
        </w:tc>
        <w:tc>
          <w:tcPr>
            <w:tcW w:w="2111"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r>
              <w:rPr>
                <w:rFonts w:hint="eastAsia" w:ascii="宋体" w:hAnsi="宋体" w:eastAsia="宋体" w:cs="宋体"/>
                <w:sz w:val="18"/>
                <w:szCs w:val="18"/>
              </w:rPr>
              <w:t>%</w:t>
            </w:r>
          </w:p>
        </w:tc>
        <w:tc>
          <w:tcPr>
            <w:tcW w:w="1863"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r>
      <w:tr>
        <w:tblPrEx>
          <w:tblCellMar>
            <w:top w:w="0" w:type="dxa"/>
            <w:left w:w="108" w:type="dxa"/>
            <w:bottom w:w="0" w:type="dxa"/>
            <w:right w:w="108" w:type="dxa"/>
          </w:tblCellMar>
        </w:tblPrEx>
        <w:trPr>
          <w:trHeight w:val="591" w:hRule="exact"/>
        </w:trPr>
        <w:tc>
          <w:tcPr>
            <w:tcW w:w="267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合计</w:t>
            </w:r>
          </w:p>
        </w:tc>
        <w:tc>
          <w:tcPr>
            <w:tcW w:w="2412"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5</w:t>
            </w:r>
          </w:p>
        </w:tc>
        <w:tc>
          <w:tcPr>
            <w:tcW w:w="2111"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r>
              <w:rPr>
                <w:rFonts w:hint="eastAsia" w:ascii="宋体" w:hAnsi="宋体" w:eastAsia="宋体" w:cs="宋体"/>
                <w:sz w:val="18"/>
                <w:szCs w:val="18"/>
              </w:rPr>
              <w:t>%</w:t>
            </w:r>
          </w:p>
        </w:tc>
        <w:tc>
          <w:tcPr>
            <w:tcW w:w="1863"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r>
    </w:tbl>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对于“项目立项”，</w:t>
      </w:r>
      <w:r>
        <w:rPr>
          <w:rFonts w:hint="eastAsia" w:ascii="仿宋_GB2312" w:hAnsi="仿宋_GB2312" w:eastAsia="仿宋_GB2312" w:cs="仿宋_GB2312"/>
          <w:sz w:val="32"/>
          <w:szCs w:val="32"/>
          <w:highlight w:val="none"/>
          <w:lang w:val="en-US" w:eastAsia="zh-CN"/>
        </w:rPr>
        <w:t>综合业务楼及设备建设</w:t>
      </w:r>
      <w:r>
        <w:rPr>
          <w:rFonts w:hint="eastAsia" w:ascii="仿宋_GB2312" w:hAnsi="仿宋_GB2312" w:eastAsia="仿宋_GB2312" w:cs="仿宋_GB2312"/>
          <w:b w:val="0"/>
          <w:bCs w:val="0"/>
          <w:kern w:val="2"/>
          <w:sz w:val="32"/>
          <w:szCs w:val="32"/>
          <w:highlight w:val="none"/>
          <w:lang w:val="en-US" w:eastAsia="zh-CN" w:bidi="ar-SA"/>
        </w:rPr>
        <w:t>项目，设置了较为详细的项目支出绩效目标，但项目绩效目标的设置，未能完全具有精细化要求。根据评分标准，该指标扣1分，实际得分1分。</w:t>
      </w:r>
    </w:p>
    <w:p>
      <w:pPr>
        <w:pStyle w:val="5"/>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对于“绩效目标”，综合业务楼及设备建设项目根据《关于下达对口支援塔城地区2010-2018年结余资金项目计划的通知》</w:t>
      </w:r>
      <w:bookmarkStart w:id="3" w:name="_GoBack"/>
      <w:bookmarkEnd w:id="3"/>
      <w:r>
        <w:rPr>
          <w:rFonts w:hint="eastAsia" w:ascii="仿宋_GB2312" w:hAnsi="仿宋_GB2312" w:eastAsia="仿宋_GB2312" w:cs="仿宋_GB2312"/>
          <w:b w:val="0"/>
          <w:bCs w:val="0"/>
          <w:kern w:val="2"/>
          <w:sz w:val="32"/>
          <w:szCs w:val="32"/>
          <w:highlight w:val="none"/>
          <w:lang w:val="en-US" w:eastAsia="zh-CN" w:bidi="ar-SA"/>
        </w:rPr>
        <w:t>文件要求，我院按要求将综合业务楼及设备建设项目列入2020年预算。决策有文件依据，根据评分标准，该指标不扣分，实际得分2分。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b w:val="0"/>
          <w:bCs w:val="0"/>
          <w:kern w:val="2"/>
          <w:sz w:val="32"/>
          <w:szCs w:val="32"/>
          <w:highlight w:val="none"/>
          <w:lang w:val="en-US" w:eastAsia="zh-CN" w:bidi="ar-SA"/>
        </w:rPr>
        <w:t>对于“资金投入”，该项目辽宁援建资金189万元，辽宁援建预算资金189万元，均按时到位。资金有效保证了工程的实施。根据评分标准，该指标不扣分，实际得分2分。</w:t>
      </w:r>
    </w:p>
    <w:p>
      <w:pPr>
        <w:pStyle w:val="17"/>
        <w:keepNext w:val="0"/>
        <w:keepLines w:val="0"/>
        <w:pageBreakBefore w:val="0"/>
        <w:numPr>
          <w:ilvl w:val="0"/>
          <w:numId w:val="3"/>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w:t>
      </w:r>
      <w:r>
        <w:rPr>
          <w:rFonts w:hint="eastAsia" w:ascii="楷体_GB2312" w:hAnsi="楷体_GB2312" w:eastAsia="楷体_GB2312" w:cs="楷体_GB2312"/>
          <w:b/>
          <w:bCs/>
          <w:sz w:val="32"/>
          <w:szCs w:val="32"/>
          <w:lang w:val="en-US" w:eastAsia="zh-CN"/>
        </w:rPr>
        <w:t>过程情况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项目过程指标从</w:t>
      </w:r>
      <w:r>
        <w:rPr>
          <w:rFonts w:hint="eastAsia" w:ascii="仿宋_GB2312" w:hAnsi="仿宋_GB2312" w:eastAsia="仿宋_GB2312" w:cs="仿宋_GB2312"/>
          <w:sz w:val="32"/>
          <w:szCs w:val="32"/>
          <w:lang w:eastAsia="zh-CN"/>
        </w:rPr>
        <w:t>资金到位率、预算执行率、资金使用合规性、管理制度健全性、制度执行有效性等</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个方面对项目的管理情况进行考察。项目</w:t>
      </w:r>
      <w:r>
        <w:rPr>
          <w:rFonts w:hint="eastAsia" w:ascii="仿宋_GB2312" w:hAnsi="仿宋_GB2312" w:eastAsia="仿宋_GB2312" w:cs="仿宋_GB2312"/>
          <w:sz w:val="32"/>
          <w:szCs w:val="32"/>
          <w:lang w:eastAsia="zh-CN"/>
        </w:rPr>
        <w:t>过程</w:t>
      </w:r>
      <w:r>
        <w:rPr>
          <w:rFonts w:hint="eastAsia" w:ascii="仿宋_GB2312" w:hAnsi="仿宋_GB2312" w:eastAsia="仿宋_GB2312" w:cs="仿宋_GB2312"/>
          <w:sz w:val="32"/>
          <w:szCs w:val="32"/>
        </w:rPr>
        <w:t>类指标分值</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4.99</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99.8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过程</w:t>
      </w:r>
      <w:r>
        <w:rPr>
          <w:rFonts w:hint="eastAsia" w:ascii="仿宋_GB2312" w:hAnsi="仿宋_GB2312" w:eastAsia="仿宋_GB2312" w:cs="仿宋_GB2312"/>
          <w:sz w:val="32"/>
          <w:szCs w:val="32"/>
        </w:rPr>
        <w:t>指标得分情况如表所示。</w:t>
      </w:r>
    </w:p>
    <w:tbl>
      <w:tblPr>
        <w:tblStyle w:val="18"/>
        <w:tblW w:w="9060" w:type="dxa"/>
        <w:tblInd w:w="0" w:type="dxa"/>
        <w:tblLayout w:type="fixed"/>
        <w:tblCellMar>
          <w:top w:w="0" w:type="dxa"/>
          <w:left w:w="108" w:type="dxa"/>
          <w:bottom w:w="0" w:type="dxa"/>
          <w:right w:w="108" w:type="dxa"/>
        </w:tblCellMar>
      </w:tblPr>
      <w:tblGrid>
        <w:gridCol w:w="2784"/>
        <w:gridCol w:w="2040"/>
        <w:gridCol w:w="2217"/>
        <w:gridCol w:w="2019"/>
      </w:tblGrid>
      <w:tr>
        <w:tblPrEx>
          <w:tblCellMar>
            <w:top w:w="0" w:type="dxa"/>
            <w:left w:w="108" w:type="dxa"/>
            <w:bottom w:w="0" w:type="dxa"/>
            <w:right w:w="108" w:type="dxa"/>
          </w:tblCellMar>
        </w:tblPrEx>
        <w:trPr>
          <w:trHeight w:val="495" w:hRule="atLeast"/>
          <w:tblHeader/>
        </w:trPr>
        <w:tc>
          <w:tcPr>
            <w:tcW w:w="9060" w:type="dxa"/>
            <w:gridSpan w:val="4"/>
            <w:tcBorders>
              <w:top w:val="nil"/>
              <w:left w:val="nil"/>
              <w:bottom w:val="single" w:color="auto" w:sz="8"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color w:val="000000"/>
                <w:kern w:val="0"/>
                <w:sz w:val="24"/>
              </w:rPr>
            </w:pPr>
            <w:r>
              <w:rPr>
                <w:rFonts w:hint="eastAsia" w:ascii="仿宋_GB2312" w:hAnsi="仿宋_GB2312" w:eastAsia="仿宋_GB2312" w:cs="仿宋_GB2312"/>
                <w:b/>
                <w:bCs/>
                <w:color w:val="000000"/>
                <w:kern w:val="0"/>
                <w:sz w:val="32"/>
                <w:szCs w:val="32"/>
              </w:rPr>
              <w:t>项目</w:t>
            </w:r>
            <w:r>
              <w:rPr>
                <w:rFonts w:hint="eastAsia" w:ascii="仿宋_GB2312" w:hAnsi="仿宋_GB2312" w:eastAsia="仿宋_GB2312" w:cs="仿宋_GB2312"/>
                <w:b/>
                <w:bCs/>
                <w:color w:val="000000"/>
                <w:kern w:val="0"/>
                <w:sz w:val="32"/>
                <w:szCs w:val="32"/>
                <w:lang w:eastAsia="zh-CN"/>
              </w:rPr>
              <w:t>过程</w:t>
            </w:r>
            <w:r>
              <w:rPr>
                <w:rFonts w:hint="eastAsia" w:ascii="仿宋_GB2312" w:hAnsi="仿宋_GB2312" w:eastAsia="仿宋_GB2312" w:cs="仿宋_GB2312"/>
                <w:b/>
                <w:bCs/>
                <w:color w:val="000000"/>
                <w:kern w:val="0"/>
                <w:sz w:val="32"/>
                <w:szCs w:val="32"/>
              </w:rPr>
              <w:t>指标得分情况</w:t>
            </w:r>
          </w:p>
        </w:tc>
      </w:tr>
      <w:tr>
        <w:tblPrEx>
          <w:tblCellMar>
            <w:top w:w="0" w:type="dxa"/>
            <w:left w:w="108" w:type="dxa"/>
            <w:bottom w:w="0" w:type="dxa"/>
            <w:right w:w="108" w:type="dxa"/>
          </w:tblCellMar>
        </w:tblPrEx>
        <w:trPr>
          <w:trHeight w:val="510" w:hRule="exact"/>
          <w:tblHeader/>
        </w:trPr>
        <w:tc>
          <w:tcPr>
            <w:tcW w:w="2784" w:type="dxa"/>
            <w:tcBorders>
              <w:top w:val="nil"/>
              <w:left w:val="single" w:color="auto" w:sz="8" w:space="0"/>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2040"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2217"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2019"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资金到位率</w:t>
            </w:r>
          </w:p>
        </w:tc>
        <w:tc>
          <w:tcPr>
            <w:tcW w:w="204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eastAsia="zh-CN"/>
              </w:rPr>
            </w:pPr>
            <w:r>
              <w:rPr>
                <w:rFonts w:hint="eastAsia" w:ascii="宋体" w:hAnsi="宋体" w:eastAsia="宋体" w:cs="宋体"/>
                <w:b w:val="0"/>
                <w:bCs w:val="0"/>
                <w:color w:val="000000"/>
                <w:kern w:val="0"/>
                <w:sz w:val="18"/>
                <w:szCs w:val="18"/>
                <w:lang w:val="en-US" w:eastAsia="zh-CN"/>
              </w:rPr>
              <w:t>1</w:t>
            </w:r>
          </w:p>
        </w:tc>
        <w:tc>
          <w:tcPr>
            <w:tcW w:w="22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100%</w:t>
            </w:r>
          </w:p>
        </w:tc>
        <w:tc>
          <w:tcPr>
            <w:tcW w:w="2019"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eastAsia="zh-CN"/>
              </w:rPr>
            </w:pPr>
            <w:r>
              <w:rPr>
                <w:rFonts w:hint="eastAsia" w:ascii="宋体" w:hAnsi="宋体" w:eastAsia="宋体" w:cs="宋体"/>
                <w:b w:val="0"/>
                <w:bCs w:val="0"/>
                <w:color w:val="000000"/>
                <w:kern w:val="0"/>
                <w:sz w:val="18"/>
                <w:szCs w:val="18"/>
                <w:lang w:eastAsia="zh-CN"/>
              </w:rPr>
              <w:t>预算执行率</w:t>
            </w:r>
          </w:p>
        </w:tc>
        <w:tc>
          <w:tcPr>
            <w:tcW w:w="204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1</w:t>
            </w:r>
          </w:p>
        </w:tc>
        <w:tc>
          <w:tcPr>
            <w:tcW w:w="22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30.92%</w:t>
            </w:r>
          </w:p>
        </w:tc>
        <w:tc>
          <w:tcPr>
            <w:tcW w:w="2019"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0.99</w:t>
            </w:r>
          </w:p>
        </w:tc>
      </w:tr>
      <w:tr>
        <w:tblPrEx>
          <w:tblCellMar>
            <w:top w:w="0" w:type="dxa"/>
            <w:left w:w="108" w:type="dxa"/>
            <w:bottom w:w="0" w:type="dxa"/>
            <w:right w:w="108" w:type="dxa"/>
          </w:tblCellMar>
        </w:tblPrEx>
        <w:trPr>
          <w:trHeight w:val="542" w:hRule="exact"/>
        </w:trPr>
        <w:tc>
          <w:tcPr>
            <w:tcW w:w="278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资金使用合规性</w:t>
            </w:r>
          </w:p>
        </w:tc>
        <w:tc>
          <w:tcPr>
            <w:tcW w:w="204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eastAsia="zh-CN"/>
              </w:rPr>
            </w:pPr>
            <w:r>
              <w:rPr>
                <w:rFonts w:hint="eastAsia" w:ascii="宋体" w:hAnsi="宋体" w:eastAsia="宋体" w:cs="宋体"/>
                <w:b w:val="0"/>
                <w:bCs w:val="0"/>
                <w:color w:val="000000"/>
                <w:kern w:val="0"/>
                <w:sz w:val="18"/>
                <w:szCs w:val="18"/>
                <w:lang w:val="en-US" w:eastAsia="zh-CN"/>
              </w:rPr>
              <w:t>1</w:t>
            </w:r>
          </w:p>
        </w:tc>
        <w:tc>
          <w:tcPr>
            <w:tcW w:w="22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100%</w:t>
            </w:r>
          </w:p>
        </w:tc>
        <w:tc>
          <w:tcPr>
            <w:tcW w:w="2019"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管理制度健全性</w:t>
            </w:r>
          </w:p>
        </w:tc>
        <w:tc>
          <w:tcPr>
            <w:tcW w:w="204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eastAsia="zh-CN"/>
              </w:rPr>
            </w:pPr>
            <w:r>
              <w:rPr>
                <w:rFonts w:hint="eastAsia" w:ascii="宋体" w:hAnsi="宋体" w:eastAsia="宋体" w:cs="宋体"/>
                <w:b w:val="0"/>
                <w:bCs w:val="0"/>
                <w:color w:val="000000"/>
                <w:kern w:val="0"/>
                <w:sz w:val="18"/>
                <w:szCs w:val="18"/>
                <w:lang w:val="en-US" w:eastAsia="zh-CN"/>
              </w:rPr>
              <w:t>1</w:t>
            </w:r>
          </w:p>
        </w:tc>
        <w:tc>
          <w:tcPr>
            <w:tcW w:w="22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100%</w:t>
            </w:r>
          </w:p>
        </w:tc>
        <w:tc>
          <w:tcPr>
            <w:tcW w:w="2019"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制度执行有效性</w:t>
            </w:r>
          </w:p>
        </w:tc>
        <w:tc>
          <w:tcPr>
            <w:tcW w:w="204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eastAsia="zh-CN"/>
              </w:rPr>
            </w:pPr>
            <w:r>
              <w:rPr>
                <w:rFonts w:hint="eastAsia" w:ascii="宋体" w:hAnsi="宋体" w:eastAsia="宋体" w:cs="宋体"/>
                <w:b w:val="0"/>
                <w:bCs w:val="0"/>
                <w:color w:val="000000"/>
                <w:kern w:val="0"/>
                <w:sz w:val="18"/>
                <w:szCs w:val="18"/>
                <w:lang w:val="en-US" w:eastAsia="zh-CN"/>
              </w:rPr>
              <w:t>1</w:t>
            </w:r>
          </w:p>
        </w:tc>
        <w:tc>
          <w:tcPr>
            <w:tcW w:w="22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100%</w:t>
            </w:r>
          </w:p>
        </w:tc>
        <w:tc>
          <w:tcPr>
            <w:tcW w:w="2019"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78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合计</w:t>
            </w:r>
          </w:p>
        </w:tc>
        <w:tc>
          <w:tcPr>
            <w:tcW w:w="204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5</w:t>
            </w:r>
          </w:p>
        </w:tc>
        <w:tc>
          <w:tcPr>
            <w:tcW w:w="221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lang w:val="en-US" w:eastAsia="zh-CN"/>
              </w:rPr>
              <w:t>83.2</w:t>
            </w:r>
            <w:r>
              <w:rPr>
                <w:rFonts w:hint="eastAsia" w:ascii="宋体" w:hAnsi="宋体" w:eastAsia="宋体" w:cs="宋体"/>
                <w:b w:val="0"/>
                <w:bCs w:val="0"/>
                <w:color w:val="000000"/>
                <w:kern w:val="0"/>
                <w:sz w:val="18"/>
                <w:szCs w:val="18"/>
              </w:rPr>
              <w:t>%</w:t>
            </w:r>
          </w:p>
        </w:tc>
        <w:tc>
          <w:tcPr>
            <w:tcW w:w="201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4.99</w:t>
            </w:r>
          </w:p>
        </w:tc>
      </w:tr>
    </w:tbl>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sz w:val="32"/>
          <w:szCs w:val="32"/>
          <w:lang w:eastAsia="zh-CN"/>
        </w:rPr>
        <w:t>预算执行</w:t>
      </w:r>
      <w:r>
        <w:rPr>
          <w:rFonts w:hint="eastAsia" w:ascii="仿宋_GB2312" w:hAnsi="仿宋_GB2312" w:eastAsia="仿宋_GB2312" w:cs="仿宋_GB2312"/>
          <w:sz w:val="32"/>
          <w:szCs w:val="32"/>
        </w:rPr>
        <w:t>率”，项目资金</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lang w:val="en-US" w:eastAsia="zh-CN"/>
        </w:rPr>
        <w:t>189万元，全年执行数为</w:t>
      </w:r>
      <w:r>
        <w:rPr>
          <w:rFonts w:hint="eastAsia" w:ascii="仿宋_GB2312" w:hAnsi="仿宋_GB2312" w:eastAsia="仿宋_GB2312" w:cs="仿宋_GB2312"/>
          <w:sz w:val="32"/>
          <w:szCs w:val="32"/>
          <w:highlight w:val="none"/>
          <w:lang w:val="en-US" w:eastAsia="zh-CN"/>
        </w:rPr>
        <w:t>58.45</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eastAsia="zh-CN"/>
        </w:rPr>
        <w:t>执行</w:t>
      </w:r>
      <w:r>
        <w:rPr>
          <w:rFonts w:hint="eastAsia" w:ascii="仿宋_GB2312" w:hAnsi="仿宋_GB2312" w:eastAsia="仿宋_GB2312" w:cs="仿宋_GB2312"/>
          <w:sz w:val="32"/>
          <w:szCs w:val="32"/>
        </w:rPr>
        <w:t>率为</w:t>
      </w:r>
      <w:r>
        <w:rPr>
          <w:rFonts w:hint="eastAsia" w:ascii="仿宋_GB2312" w:hAnsi="仿宋_GB2312" w:eastAsia="仿宋_GB2312" w:cs="仿宋_GB2312"/>
          <w:sz w:val="32"/>
          <w:szCs w:val="32"/>
          <w:lang w:val="en-US" w:eastAsia="zh-CN"/>
        </w:rPr>
        <w:t>30.92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。根据评分标准，该指标扣</w:t>
      </w:r>
      <w:r>
        <w:rPr>
          <w:rFonts w:hint="eastAsia" w:ascii="仿宋_GB2312" w:hAnsi="仿宋_GB2312" w:eastAsia="仿宋_GB2312" w:cs="仿宋_GB2312"/>
          <w:sz w:val="32"/>
          <w:szCs w:val="32"/>
          <w:lang w:val="en-US" w:eastAsia="zh-CN"/>
        </w:rPr>
        <w:t>5.88</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实际得分</w:t>
      </w:r>
      <w:r>
        <w:rPr>
          <w:rFonts w:hint="eastAsia" w:ascii="仿宋_GB2312" w:hAnsi="仿宋_GB2312" w:eastAsia="仿宋_GB2312" w:cs="仿宋_GB2312"/>
          <w:sz w:val="32"/>
          <w:szCs w:val="32"/>
          <w:lang w:val="en-US" w:eastAsia="zh-CN"/>
        </w:rPr>
        <w:t>0.99</w:t>
      </w:r>
      <w:r>
        <w:rPr>
          <w:rFonts w:hint="eastAsia" w:ascii="仿宋_GB2312" w:hAnsi="仿宋_GB2312" w:eastAsia="仿宋_GB2312" w:cs="仿宋_GB2312"/>
          <w:sz w:val="32"/>
          <w:szCs w:val="32"/>
        </w:rPr>
        <w:t>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对于“资金使用合规性”项目按照专项资金列支的范围使用资金，支出范围合规；资金支出能按财务制度执行，并能按国库集中支付制度规定执行，不存在资金违纪违规使用情况。根据评分标准，该指标不扣分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对于“管理制度健全性”，项目机构健全，分工明确，不存在不相容岗位兼任情况。根据评分标准，该指标不扣分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对于“制度执行有效性”，组建了</w:t>
      </w:r>
      <w:r>
        <w:rPr>
          <w:rFonts w:hint="eastAsia" w:ascii="仿宋_GB2312" w:hAnsi="仿宋_GB2312" w:eastAsia="仿宋_GB2312" w:cs="仿宋_GB2312"/>
          <w:sz w:val="32"/>
          <w:szCs w:val="32"/>
          <w:lang w:val="en-US" w:eastAsia="zh-CN"/>
        </w:rPr>
        <w:t>党组副书记书记张国荣</w:t>
      </w:r>
      <w:r>
        <w:rPr>
          <w:rFonts w:hint="eastAsia" w:ascii="仿宋_GB2312" w:hAnsi="仿宋_GB2312" w:eastAsia="仿宋_GB2312" w:cs="仿宋_GB2312"/>
          <w:sz w:val="32"/>
          <w:szCs w:val="32"/>
        </w:rPr>
        <w:t>为组长，相关科室负责人为成员的项目建设领导小组，认真组织项目</w:t>
      </w:r>
      <w:r>
        <w:rPr>
          <w:rFonts w:hint="eastAsia" w:ascii="仿宋_GB2312" w:hAnsi="仿宋_GB2312" w:eastAsia="仿宋_GB2312" w:cs="仿宋_GB2312"/>
          <w:sz w:val="32"/>
          <w:szCs w:val="32"/>
          <w:lang w:val="en-US" w:eastAsia="zh-CN"/>
        </w:rPr>
        <w:t>实施。</w:t>
      </w:r>
      <w:r>
        <w:rPr>
          <w:rFonts w:hint="eastAsia" w:ascii="仿宋_GB2312" w:hAnsi="仿宋_GB2312" w:eastAsia="仿宋_GB2312" w:cs="仿宋_GB2312"/>
          <w:sz w:val="32"/>
          <w:szCs w:val="32"/>
        </w:rPr>
        <w:t>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pPr>
        <w:pStyle w:val="17"/>
        <w:keepNext w:val="0"/>
        <w:keepLines w:val="0"/>
        <w:pageBreakBefore w:val="0"/>
        <w:numPr>
          <w:ilvl w:val="0"/>
          <w:numId w:val="3"/>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lang w:val="en-US" w:eastAsia="zh-CN"/>
        </w:rPr>
        <w:t>项目产出</w:t>
      </w:r>
      <w:r>
        <w:rPr>
          <w:rFonts w:hint="eastAsia" w:ascii="楷体_GB2312" w:hAnsi="楷体_GB2312" w:eastAsia="楷体_GB2312" w:cs="楷体_GB2312"/>
          <w:b/>
          <w:bCs/>
          <w:sz w:val="32"/>
          <w:szCs w:val="32"/>
          <w:highlight w:val="none"/>
        </w:rPr>
        <w:t>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综合业务楼及设备建设项目</w:t>
      </w:r>
      <w:r>
        <w:rPr>
          <w:rFonts w:hint="eastAsia" w:ascii="仿宋_GB2312" w:hAnsi="仿宋_GB2312" w:eastAsia="仿宋_GB2312" w:cs="仿宋_GB2312"/>
          <w:sz w:val="32"/>
          <w:szCs w:val="32"/>
          <w:lang w:val="en-US" w:eastAsia="zh-CN"/>
        </w:rPr>
        <w:t>作为政府工作的一项重要内容,为改善居民健康发挥了重要的作用，</w:t>
      </w:r>
      <w:r>
        <w:rPr>
          <w:rFonts w:hint="eastAsia" w:ascii="仿宋_GB2312" w:hAnsi="仿宋_GB2312" w:eastAsia="仿宋_GB2312" w:cs="仿宋_GB2312"/>
          <w:sz w:val="32"/>
          <w:szCs w:val="32"/>
          <w:highlight w:val="none"/>
          <w:lang w:val="en-US" w:eastAsia="zh-CN"/>
        </w:rPr>
        <w:t>综合业务楼及设备建设</w:t>
      </w:r>
      <w:r>
        <w:rPr>
          <w:rFonts w:hint="eastAsia" w:ascii="仿宋_GB2312" w:hAnsi="仿宋_GB2312" w:eastAsia="仿宋_GB2312" w:cs="仿宋_GB2312"/>
          <w:sz w:val="32"/>
          <w:szCs w:val="32"/>
          <w:lang w:val="en-US" w:eastAsia="zh-CN"/>
        </w:rPr>
        <w:t>项目是提升医疗设备及信息化建设软件配套的应用，解决影</w:t>
      </w:r>
      <w:r>
        <w:rPr>
          <w:rFonts w:hint="eastAsia" w:ascii="仿宋_GB2312" w:hAnsi="仿宋_GB2312" w:eastAsia="仿宋_GB2312" w:cs="仿宋_GB2312"/>
          <w:sz w:val="32"/>
          <w:szCs w:val="32"/>
          <w:highlight w:val="none"/>
          <w:lang w:val="en-US" w:eastAsia="zh-CN"/>
        </w:rPr>
        <w:t>响健康的卫生问题的群体性策略,其可持续发展已经成为新的国际共识。项目的的建成将会促进塔城市整体医疗卫生服务能力得到提高，特别是妇女儿童健康保健方面。同时，由于设施完善的妇幼保健院的建成也会使该塔城市南部城区环境得到改善项目的实施已日益受到各级政府和社会广泛重视,推进综合业务楼及设备建设项目需要持续关注和重点研究，可以极大提升保健院妇幼保健和医疗卫生条件，树立良好的医疗卫生机构形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highlight w:val="none"/>
          <w:lang w:val="en-US" w:eastAsia="zh-CN" w:bidi="ar-SA"/>
        </w:rPr>
        <w:t>项目绩效主要从项目产出的产出数量、产出质量、产出时效、成本情况4个方面对项目的绩效情况进行评价。项目绩效类指标分值50分，实际得分50分，得分率为100%。项目绩效指标得分情况如表所示。</w:t>
      </w:r>
    </w:p>
    <w:tbl>
      <w:tblPr>
        <w:tblStyle w:val="18"/>
        <w:tblW w:w="9036" w:type="dxa"/>
        <w:tblInd w:w="0" w:type="dxa"/>
        <w:tblLayout w:type="fixed"/>
        <w:tblCellMar>
          <w:top w:w="0" w:type="dxa"/>
          <w:left w:w="108" w:type="dxa"/>
          <w:bottom w:w="0" w:type="dxa"/>
          <w:right w:w="108" w:type="dxa"/>
        </w:tblCellMar>
      </w:tblPr>
      <w:tblGrid>
        <w:gridCol w:w="1545"/>
        <w:gridCol w:w="3346"/>
        <w:gridCol w:w="888"/>
        <w:gridCol w:w="1284"/>
        <w:gridCol w:w="1973"/>
      </w:tblGrid>
      <w:tr>
        <w:tblPrEx>
          <w:tblCellMar>
            <w:top w:w="0" w:type="dxa"/>
            <w:left w:w="108" w:type="dxa"/>
            <w:bottom w:w="0" w:type="dxa"/>
            <w:right w:w="108" w:type="dxa"/>
          </w:tblCellMar>
        </w:tblPrEx>
        <w:trPr>
          <w:trHeight w:val="495" w:hRule="atLeast"/>
          <w:tblHeader/>
        </w:trPr>
        <w:tc>
          <w:tcPr>
            <w:tcW w:w="9036" w:type="dxa"/>
            <w:gridSpan w:val="5"/>
            <w:tcBorders>
              <w:top w:val="nil"/>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ind w:firstLine="2249" w:firstLineChars="700"/>
              <w:textAlignment w:val="auto"/>
              <w:rPr>
                <w:rFonts w:ascii="仿宋_GB2312" w:hAnsi="仿宋_GB2312" w:eastAsia="仿宋_GB2312" w:cs="仿宋_GB2312"/>
                <w:color w:val="000000"/>
                <w:kern w:val="0"/>
                <w:sz w:val="30"/>
                <w:szCs w:val="30"/>
              </w:rPr>
            </w:pPr>
            <w:r>
              <w:rPr>
                <w:rFonts w:hint="eastAsia" w:ascii="仿宋_GB2312" w:hAnsi="仿宋_GB2312" w:eastAsia="仿宋_GB2312" w:cs="仿宋_GB2312"/>
                <w:b/>
                <w:bCs/>
                <w:color w:val="000000"/>
                <w:kern w:val="0"/>
                <w:sz w:val="32"/>
                <w:szCs w:val="32"/>
              </w:rPr>
              <w:t>项目绩效指标得分情况</w:t>
            </w:r>
          </w:p>
        </w:tc>
      </w:tr>
      <w:tr>
        <w:tblPrEx>
          <w:tblCellMar>
            <w:top w:w="0" w:type="dxa"/>
            <w:left w:w="108" w:type="dxa"/>
            <w:bottom w:w="0" w:type="dxa"/>
            <w:right w:w="108" w:type="dxa"/>
          </w:tblCellMar>
        </w:tblPrEx>
        <w:trPr>
          <w:trHeight w:val="510" w:hRule="exact"/>
          <w:tblHeader/>
        </w:trPr>
        <w:tc>
          <w:tcPr>
            <w:tcW w:w="1545"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3346"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三级明细指标</w:t>
            </w:r>
          </w:p>
        </w:tc>
        <w:tc>
          <w:tcPr>
            <w:tcW w:w="888"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284"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1973"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tblPrEx>
          <w:tblCellMar>
            <w:top w:w="0" w:type="dxa"/>
            <w:left w:w="108" w:type="dxa"/>
            <w:bottom w:w="0" w:type="dxa"/>
            <w:right w:w="108" w:type="dxa"/>
          </w:tblCellMar>
        </w:tblPrEx>
        <w:trPr>
          <w:trHeight w:val="396" w:hRule="atLeast"/>
        </w:trPr>
        <w:tc>
          <w:tcPr>
            <w:tcW w:w="1545"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产出数量</w:t>
            </w:r>
          </w:p>
        </w:tc>
        <w:tc>
          <w:tcPr>
            <w:tcW w:w="33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总建筑面积</w:t>
            </w:r>
          </w:p>
        </w:tc>
        <w:tc>
          <w:tcPr>
            <w:tcW w:w="8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15</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100%</w:t>
            </w:r>
          </w:p>
        </w:tc>
        <w:tc>
          <w:tcPr>
            <w:tcW w:w="197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15</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产出质量</w:t>
            </w:r>
          </w:p>
        </w:tc>
        <w:tc>
          <w:tcPr>
            <w:tcW w:w="33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部分工程验收合格率</w:t>
            </w:r>
          </w:p>
        </w:tc>
        <w:tc>
          <w:tcPr>
            <w:tcW w:w="88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100%</w:t>
            </w:r>
          </w:p>
        </w:tc>
        <w:tc>
          <w:tcPr>
            <w:tcW w:w="197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产出时效</w:t>
            </w:r>
          </w:p>
        </w:tc>
        <w:tc>
          <w:tcPr>
            <w:tcW w:w="33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工程计量拨款及时率</w:t>
            </w:r>
          </w:p>
        </w:tc>
        <w:tc>
          <w:tcPr>
            <w:tcW w:w="88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eastAsia="zh-CN"/>
              </w:rPr>
            </w:pPr>
            <w:r>
              <w:rPr>
                <w:rFonts w:hint="eastAsia" w:ascii="宋体" w:hAnsi="宋体" w:eastAsia="宋体" w:cs="宋体"/>
                <w:b w:val="0"/>
                <w:bCs w:val="0"/>
                <w:color w:val="000000"/>
                <w:kern w:val="0"/>
                <w:sz w:val="18"/>
                <w:szCs w:val="18"/>
              </w:rPr>
              <w:t>1</w:t>
            </w:r>
            <w:r>
              <w:rPr>
                <w:rFonts w:hint="eastAsia" w:ascii="宋体" w:hAnsi="宋体" w:eastAsia="宋体" w:cs="宋体"/>
                <w:b w:val="0"/>
                <w:bCs w:val="0"/>
                <w:color w:val="000000"/>
                <w:kern w:val="0"/>
                <w:sz w:val="18"/>
                <w:szCs w:val="18"/>
                <w:lang w:val="en-US" w:eastAsia="zh-CN"/>
              </w:rPr>
              <w:t>5</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100%</w:t>
            </w:r>
          </w:p>
        </w:tc>
        <w:tc>
          <w:tcPr>
            <w:tcW w:w="197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w:t>
            </w:r>
            <w:r>
              <w:rPr>
                <w:rFonts w:hint="eastAsia" w:ascii="宋体" w:hAnsi="宋体" w:eastAsia="宋体" w:cs="宋体"/>
                <w:b w:val="0"/>
                <w:bCs w:val="0"/>
                <w:color w:val="000000"/>
                <w:kern w:val="0"/>
                <w:sz w:val="18"/>
                <w:szCs w:val="18"/>
                <w:lang w:val="en-US" w:eastAsia="zh-CN"/>
              </w:rPr>
              <w:t>5</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成本情况</w:t>
            </w:r>
          </w:p>
        </w:tc>
        <w:tc>
          <w:tcPr>
            <w:tcW w:w="33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highlight w:val="none"/>
              </w:rPr>
            </w:pPr>
            <w:r>
              <w:rPr>
                <w:rFonts w:hint="eastAsia" w:ascii="宋体" w:hAnsi="宋体" w:eastAsia="宋体" w:cs="宋体"/>
                <w:b w:val="0"/>
                <w:bCs w:val="0"/>
                <w:kern w:val="2"/>
                <w:sz w:val="18"/>
                <w:szCs w:val="18"/>
                <w:highlight w:val="none"/>
                <w:lang w:val="en-US" w:eastAsia="zh-CN" w:bidi="ar-SA"/>
              </w:rPr>
              <w:t>平均单位工程造价</w:t>
            </w:r>
          </w:p>
        </w:tc>
        <w:tc>
          <w:tcPr>
            <w:tcW w:w="88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100%</w:t>
            </w:r>
          </w:p>
        </w:tc>
        <w:tc>
          <w:tcPr>
            <w:tcW w:w="197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w:t>
            </w:r>
          </w:p>
        </w:tc>
      </w:tr>
      <w:tr>
        <w:tblPrEx>
          <w:tblCellMar>
            <w:top w:w="0" w:type="dxa"/>
            <w:left w:w="108" w:type="dxa"/>
            <w:bottom w:w="0" w:type="dxa"/>
            <w:right w:w="108" w:type="dxa"/>
          </w:tblCellMar>
        </w:tblPrEx>
        <w:trPr>
          <w:trHeight w:val="510" w:hRule="exact"/>
        </w:trPr>
        <w:tc>
          <w:tcPr>
            <w:tcW w:w="489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合计</w:t>
            </w:r>
          </w:p>
        </w:tc>
        <w:tc>
          <w:tcPr>
            <w:tcW w:w="88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lang w:val="en-US" w:eastAsia="zh-CN"/>
              </w:rPr>
              <w:t>50</w:t>
            </w:r>
          </w:p>
        </w:tc>
        <w:tc>
          <w:tcPr>
            <w:tcW w:w="128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100%</w:t>
            </w:r>
          </w:p>
        </w:tc>
        <w:tc>
          <w:tcPr>
            <w:tcW w:w="197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lang w:val="en-US" w:eastAsia="zh-CN"/>
              </w:rPr>
              <w:t>50</w:t>
            </w:r>
          </w:p>
        </w:tc>
      </w:tr>
    </w:tbl>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对于“产出数量”，专用设备购置，预期指标值=1批，指标完成值1批，指标完成率100%；</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对于“产出质量”，验收合格率，预期指标值=100%，指标完成值100%，指标完成率100%；</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对于“产出时效”，购置验收通过率，预期指标值≤100%，指标完成值100%，指标完成率100%；项目完成控制时间，预期指标=1年，指标完成值1年，指标完成率100%；</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lang w:val="en-US" w:eastAsia="zh-CN"/>
        </w:rPr>
      </w:pPr>
      <w:r>
        <w:rPr>
          <w:rFonts w:hint="eastAsia" w:ascii="仿宋_GB2312" w:hAnsi="仿宋_GB2312" w:eastAsia="仿宋_GB2312" w:cs="仿宋_GB2312"/>
          <w:b w:val="0"/>
          <w:bCs w:val="0"/>
          <w:kern w:val="2"/>
          <w:sz w:val="32"/>
          <w:szCs w:val="32"/>
          <w:highlight w:val="none"/>
          <w:lang w:val="en-US" w:eastAsia="zh-CN" w:bidi="ar-SA"/>
        </w:rPr>
        <w:t>对于“成本情况”，项目购置成本控制，预期指标值≤60万元，指标完成值58.45万元，指标完成率97.42%；</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sz w:val="32"/>
          <w:szCs w:val="32"/>
          <w:highlight w:val="none"/>
          <w:lang w:val="en-US" w:eastAsia="zh-CN"/>
        </w:rPr>
        <w:t>四</w:t>
      </w:r>
      <w:r>
        <w:rPr>
          <w:rFonts w:hint="eastAsia" w:ascii="楷体_GB2312" w:hAnsi="楷体_GB2312" w:eastAsia="楷体_GB2312" w:cs="楷体_GB2312"/>
          <w:b/>
          <w:bCs/>
          <w:sz w:val="32"/>
          <w:szCs w:val="32"/>
          <w:highlight w:val="none"/>
          <w:lang w:eastAsia="zh-CN"/>
        </w:rPr>
        <w:t>）项目效益情况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highlight w:val="none"/>
          <w:lang w:val="en-US" w:eastAsia="zh-CN" w:bidi="ar-SA"/>
        </w:rPr>
        <w:t>项目绩效主要从项目产出的效果的社会效益、生态效益、服务对象满意度3个方面对项目的绩效情况进行评价。项目绩效类指标分值40分，实际得分37分，得分率为92.5%。项目绩效指标得分情况如表所示。</w:t>
      </w:r>
    </w:p>
    <w:tbl>
      <w:tblPr>
        <w:tblStyle w:val="18"/>
        <w:tblW w:w="8628" w:type="dxa"/>
        <w:tblInd w:w="0" w:type="dxa"/>
        <w:tblLayout w:type="fixed"/>
        <w:tblCellMar>
          <w:top w:w="0" w:type="dxa"/>
          <w:left w:w="108" w:type="dxa"/>
          <w:bottom w:w="0" w:type="dxa"/>
          <w:right w:w="108" w:type="dxa"/>
        </w:tblCellMar>
      </w:tblPr>
      <w:tblGrid>
        <w:gridCol w:w="2191"/>
        <w:gridCol w:w="2724"/>
        <w:gridCol w:w="1008"/>
        <w:gridCol w:w="1296"/>
        <w:gridCol w:w="1409"/>
      </w:tblGrid>
      <w:tr>
        <w:tblPrEx>
          <w:tblCellMar>
            <w:top w:w="0" w:type="dxa"/>
            <w:left w:w="108" w:type="dxa"/>
            <w:bottom w:w="0" w:type="dxa"/>
            <w:right w:w="108" w:type="dxa"/>
          </w:tblCellMar>
        </w:tblPrEx>
        <w:trPr>
          <w:trHeight w:val="413" w:hRule="atLeast"/>
          <w:tblHeader/>
        </w:trPr>
        <w:tc>
          <w:tcPr>
            <w:tcW w:w="8628" w:type="dxa"/>
            <w:gridSpan w:val="5"/>
            <w:tcBorders>
              <w:top w:val="nil"/>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exact"/>
              <w:ind w:firstLine="2249" w:firstLineChars="700"/>
              <w:textAlignment w:val="auto"/>
              <w:rPr>
                <w:rFonts w:ascii="仿宋_GB2312" w:hAnsi="仿宋_GB2312" w:eastAsia="仿宋_GB2312" w:cs="仿宋_GB2312"/>
                <w:b/>
                <w:color w:val="000000"/>
                <w:kern w:val="0"/>
                <w:sz w:val="30"/>
                <w:szCs w:val="30"/>
              </w:rPr>
            </w:pPr>
            <w:r>
              <w:rPr>
                <w:rFonts w:hint="eastAsia" w:ascii="仿宋_GB2312" w:hAnsi="仿宋_GB2312" w:eastAsia="仿宋_GB2312" w:cs="仿宋_GB2312"/>
                <w:b/>
                <w:sz w:val="32"/>
                <w:szCs w:val="32"/>
              </w:rPr>
              <w:t>项目绩效指标得分情况</w:t>
            </w:r>
          </w:p>
        </w:tc>
      </w:tr>
      <w:tr>
        <w:tblPrEx>
          <w:tblCellMar>
            <w:top w:w="0" w:type="dxa"/>
            <w:left w:w="108" w:type="dxa"/>
            <w:bottom w:w="0" w:type="dxa"/>
            <w:right w:w="108" w:type="dxa"/>
          </w:tblCellMar>
        </w:tblPrEx>
        <w:trPr>
          <w:trHeight w:val="545" w:hRule="exact"/>
          <w:tblHeader/>
        </w:trPr>
        <w:tc>
          <w:tcPr>
            <w:tcW w:w="2191"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三级指标</w:t>
            </w:r>
          </w:p>
        </w:tc>
        <w:tc>
          <w:tcPr>
            <w:tcW w:w="2724"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三级明细指标</w:t>
            </w:r>
          </w:p>
        </w:tc>
        <w:tc>
          <w:tcPr>
            <w:tcW w:w="1008"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权重</w:t>
            </w:r>
          </w:p>
        </w:tc>
        <w:tc>
          <w:tcPr>
            <w:tcW w:w="1296"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得分率</w:t>
            </w:r>
          </w:p>
        </w:tc>
        <w:tc>
          <w:tcPr>
            <w:tcW w:w="1409"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实际得分</w:t>
            </w:r>
          </w:p>
        </w:tc>
      </w:tr>
      <w:tr>
        <w:tblPrEx>
          <w:tblCellMar>
            <w:top w:w="0" w:type="dxa"/>
            <w:left w:w="108" w:type="dxa"/>
            <w:bottom w:w="0" w:type="dxa"/>
            <w:right w:w="108" w:type="dxa"/>
          </w:tblCellMar>
        </w:tblPrEx>
        <w:trPr>
          <w:trHeight w:val="684" w:hRule="exact"/>
        </w:trPr>
        <w:tc>
          <w:tcPr>
            <w:tcW w:w="21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社会效益</w:t>
            </w:r>
          </w:p>
        </w:tc>
        <w:tc>
          <w:tcPr>
            <w:tcW w:w="272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业务保障能力提升</w:t>
            </w:r>
          </w:p>
        </w:tc>
        <w:tc>
          <w:tcPr>
            <w:tcW w:w="100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15</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80%</w:t>
            </w:r>
          </w:p>
        </w:tc>
        <w:tc>
          <w:tcPr>
            <w:tcW w:w="14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12</w:t>
            </w:r>
          </w:p>
        </w:tc>
      </w:tr>
      <w:tr>
        <w:tblPrEx>
          <w:tblCellMar>
            <w:top w:w="0" w:type="dxa"/>
            <w:left w:w="108" w:type="dxa"/>
            <w:bottom w:w="0" w:type="dxa"/>
            <w:right w:w="108" w:type="dxa"/>
          </w:tblCellMar>
        </w:tblPrEx>
        <w:trPr>
          <w:trHeight w:val="703" w:hRule="exact"/>
        </w:trPr>
        <w:tc>
          <w:tcPr>
            <w:tcW w:w="21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生态效益指标</w:t>
            </w:r>
          </w:p>
        </w:tc>
        <w:tc>
          <w:tcPr>
            <w:tcW w:w="27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绿化率</w:t>
            </w:r>
          </w:p>
        </w:tc>
        <w:tc>
          <w:tcPr>
            <w:tcW w:w="100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15</w:t>
            </w:r>
          </w:p>
        </w:tc>
        <w:tc>
          <w:tcPr>
            <w:tcW w:w="129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100%</w:t>
            </w:r>
          </w:p>
        </w:tc>
        <w:tc>
          <w:tcPr>
            <w:tcW w:w="14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15</w:t>
            </w:r>
          </w:p>
        </w:tc>
      </w:tr>
      <w:tr>
        <w:tblPrEx>
          <w:tblCellMar>
            <w:top w:w="0" w:type="dxa"/>
            <w:left w:w="108" w:type="dxa"/>
            <w:bottom w:w="0" w:type="dxa"/>
            <w:right w:w="108" w:type="dxa"/>
          </w:tblCellMar>
        </w:tblPrEx>
        <w:trPr>
          <w:trHeight w:val="684" w:hRule="exact"/>
        </w:trPr>
        <w:tc>
          <w:tcPr>
            <w:tcW w:w="21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服务对象满意度</w:t>
            </w:r>
          </w:p>
        </w:tc>
        <w:tc>
          <w:tcPr>
            <w:tcW w:w="27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服务人群满意度</w:t>
            </w:r>
          </w:p>
        </w:tc>
        <w:tc>
          <w:tcPr>
            <w:tcW w:w="100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10</w:t>
            </w:r>
          </w:p>
        </w:tc>
        <w:tc>
          <w:tcPr>
            <w:tcW w:w="129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100%</w:t>
            </w:r>
          </w:p>
        </w:tc>
        <w:tc>
          <w:tcPr>
            <w:tcW w:w="14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10</w:t>
            </w:r>
          </w:p>
        </w:tc>
      </w:tr>
      <w:tr>
        <w:tblPrEx>
          <w:tblCellMar>
            <w:top w:w="0" w:type="dxa"/>
            <w:left w:w="108" w:type="dxa"/>
            <w:bottom w:w="0" w:type="dxa"/>
            <w:right w:w="108" w:type="dxa"/>
          </w:tblCellMar>
        </w:tblPrEx>
        <w:trPr>
          <w:trHeight w:val="595" w:hRule="exact"/>
        </w:trPr>
        <w:tc>
          <w:tcPr>
            <w:tcW w:w="491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60" w:firstLineChars="200"/>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合计</w:t>
            </w:r>
          </w:p>
        </w:tc>
        <w:tc>
          <w:tcPr>
            <w:tcW w:w="100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40</w:t>
            </w:r>
          </w:p>
        </w:tc>
        <w:tc>
          <w:tcPr>
            <w:tcW w:w="129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92.5%</w:t>
            </w:r>
          </w:p>
        </w:tc>
        <w:tc>
          <w:tcPr>
            <w:tcW w:w="14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rPr>
                <w:rFonts w:hint="eastAsia" w:ascii="宋体" w:hAnsi="宋体" w:eastAsia="宋体" w:cs="宋体"/>
                <w:b w:val="0"/>
                <w:bCs w:val="0"/>
                <w:kern w:val="2"/>
                <w:sz w:val="18"/>
                <w:szCs w:val="18"/>
                <w:highlight w:val="none"/>
                <w:lang w:val="en-US" w:eastAsia="zh-CN" w:bidi="ar-SA"/>
              </w:rPr>
            </w:pPr>
            <w:r>
              <w:rPr>
                <w:rFonts w:hint="eastAsia" w:ascii="宋体" w:hAnsi="宋体" w:eastAsia="宋体" w:cs="宋体"/>
                <w:b w:val="0"/>
                <w:bCs w:val="0"/>
                <w:kern w:val="2"/>
                <w:sz w:val="18"/>
                <w:szCs w:val="18"/>
                <w:highlight w:val="none"/>
                <w:lang w:val="en-US" w:eastAsia="zh-CN" w:bidi="ar-SA"/>
              </w:rPr>
              <w:t>37</w:t>
            </w:r>
          </w:p>
        </w:tc>
      </w:tr>
    </w:tbl>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对于“经济效益指标”，政府采购率，</w:t>
      </w:r>
      <w:r>
        <w:rPr>
          <w:rFonts w:hint="eastAsia" w:ascii="仿宋_GB2312" w:hAnsi="仿宋_GB2312" w:eastAsia="仿宋_GB2312" w:cs="仿宋_GB2312"/>
          <w:color w:val="auto"/>
          <w:sz w:val="32"/>
          <w:szCs w:val="32"/>
          <w:highlight w:val="none"/>
          <w:lang w:val="en-US" w:eastAsia="zh-CN"/>
        </w:rPr>
        <w:t>预期指标=100%，指标完成值100%，指标完成率100%；</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对于“社会效益指标”，业务保障能力提升，</w:t>
      </w:r>
      <w:r>
        <w:rPr>
          <w:rFonts w:hint="eastAsia" w:ascii="仿宋_GB2312" w:hAnsi="仿宋_GB2312" w:eastAsia="仿宋_GB2312" w:cs="仿宋_GB2312"/>
          <w:color w:val="auto"/>
          <w:sz w:val="32"/>
          <w:szCs w:val="32"/>
          <w:highlight w:val="none"/>
          <w:lang w:val="en-US" w:eastAsia="zh-CN"/>
        </w:rPr>
        <w:t>预期指标值有所提升，指标完成值有所提升，指标完成率100%；</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对于“生态效益指标”，提高就医环境和业务人员满意率，预期指标值≥95%，指标完成值95%，指标完成率100%；</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contextualSpacing/>
        <w:textAlignment w:val="auto"/>
        <w:rPr>
          <w:rFonts w:hint="eastAsia"/>
          <w:lang w:val="en-US" w:eastAsia="zh-CN"/>
        </w:rPr>
      </w:pPr>
      <w:r>
        <w:rPr>
          <w:rFonts w:hint="eastAsia" w:ascii="仿宋_GB2312" w:hAnsi="仿宋_GB2312" w:eastAsia="仿宋_GB2312" w:cs="仿宋_GB2312"/>
          <w:b w:val="0"/>
          <w:bCs w:val="0"/>
          <w:kern w:val="2"/>
          <w:sz w:val="32"/>
          <w:szCs w:val="32"/>
          <w:highlight w:val="none"/>
          <w:lang w:val="en-US" w:eastAsia="zh-CN" w:bidi="ar-SA"/>
        </w:rPr>
        <w:t>对于“可持续影响指标”，节能环保、适宜患者就医，</w:t>
      </w:r>
      <w:r>
        <w:rPr>
          <w:rFonts w:hint="eastAsia" w:ascii="仿宋_GB2312" w:hAnsi="仿宋_GB2312" w:eastAsia="仿宋_GB2312" w:cs="仿宋_GB2312"/>
          <w:color w:val="auto"/>
          <w:sz w:val="32"/>
          <w:szCs w:val="32"/>
          <w:highlight w:val="none"/>
          <w:lang w:val="en-US" w:eastAsia="zh-CN"/>
        </w:rPr>
        <w:t>预期指标值中长期，指标完成值中长期，指标完成率100%；</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对于“服务对象满意度指标”，被督导的单位的满意度分析结果为非常满意。</w:t>
      </w:r>
      <w:r>
        <w:rPr>
          <w:rFonts w:hint="eastAsia" w:ascii="仿宋_GB2312" w:hAnsi="仿宋_GB2312" w:eastAsia="仿宋_GB2312" w:cs="仿宋_GB2312"/>
          <w:color w:val="auto"/>
          <w:sz w:val="32"/>
          <w:szCs w:val="32"/>
          <w:highlight w:val="none"/>
        </w:rPr>
        <w:t>预期指标值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Style w:val="49"/>
          <w:b/>
          <w:bCs/>
          <w:color w:val="auto"/>
        </w:rPr>
      </w:pPr>
      <w:r>
        <w:rPr>
          <w:rFonts w:hint="eastAsia" w:ascii="黑体" w:hAnsi="黑体" w:eastAsia="黑体"/>
          <w:b/>
          <w:bCs/>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lang w:eastAsia="zh-CN"/>
        </w:rPr>
        <w:fldChar w:fldCharType="begin">
          <w:fldData xml:space="preserve">QQA1AEIARQA1AEEAMQAwAEEAQwBBADIANAA4ADkAQwA5ADIAMAA1AEQANwBEADcAMQBBADMARQA2
ADAAQgBFAA==
</w:fldData>
        </w:fldChar>
      </w:r>
      <w:r>
        <w:rPr>
          <w:rFonts w:hint="eastAsia" w:ascii="楷体_GB2312" w:hAnsi="楷体_GB2312" w:eastAsia="楷体_GB2312" w:cs="楷体_GB2312"/>
          <w:b/>
          <w:bCs/>
          <w:sz w:val="32"/>
          <w:szCs w:val="32"/>
          <w:lang w:eastAsia="zh-CN"/>
        </w:rPr>
        <w:instrText xml:space="preserve">Addin (二)主要经验及做法、存在问题</w:instrText>
      </w:r>
      <w:r>
        <w:rPr>
          <w:rFonts w:hint="eastAsia" w:ascii="楷体_GB2312" w:hAnsi="楷体_GB2312" w:eastAsia="楷体_GB2312" w:cs="楷体_GB2312"/>
          <w:b/>
          <w:bCs/>
          <w:sz w:val="32"/>
          <w:szCs w:val="32"/>
          <w:lang w:eastAsia="zh-CN"/>
        </w:rPr>
        <w:fldChar w:fldCharType="separate"/>
      </w:r>
      <w:r>
        <w:rPr>
          <w:rFonts w:hint="eastAsia" w:ascii="楷体_GB2312" w:hAnsi="楷体_GB2312" w:eastAsia="楷体_GB2312" w:cs="楷体_GB2312"/>
          <w:b/>
          <w:bCs/>
          <w:sz w:val="32"/>
          <w:szCs w:val="32"/>
          <w:lang w:eastAsia="zh-CN"/>
        </w:rPr>
        <w:t>存在的问题及原因分析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存在问题：项目绩效管理缺乏经验，绩效系统性整体性较弱化，有待强化。</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2、原因分析：</w:t>
      </w:r>
      <w:r>
        <w:rPr>
          <w:rFonts w:hint="eastAsia" w:ascii="仿宋_GB2312" w:hAnsi="仿宋_GB2312" w:eastAsia="仿宋_GB2312" w:cs="仿宋_GB2312"/>
          <w:sz w:val="32"/>
          <w:szCs w:val="32"/>
          <w:lang w:eastAsia="zh-CN"/>
        </w:rPr>
        <w:t>在项目具体执行过程往往只重视预算执行情况，忽视产出和效果，项目实施过程中需提供行之有效的绩效管理办法和评价机制。</w:t>
      </w:r>
    </w:p>
    <w:p>
      <w:pPr>
        <w:keepNext w:val="0"/>
        <w:keepLines w:val="0"/>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楷体_GB2312" w:hAnsi="楷体_GB2312" w:eastAsia="楷体_GB2312" w:cs="楷体_GB2312"/>
          <w:b/>
          <w:bCs/>
          <w:sz w:val="32"/>
          <w:szCs w:val="32"/>
          <w:lang w:eastAsia="zh-CN"/>
        </w:rPr>
        <w:fldChar w:fldCharType="end"/>
      </w:r>
      <w:r>
        <w:rPr>
          <w:rFonts w:hint="eastAsia" w:ascii="黑体" w:hAnsi="黑体" w:eastAsia="黑体"/>
          <w:b/>
          <w:bCs/>
          <w:sz w:val="32"/>
          <w:szCs w:val="32"/>
        </w:rPr>
        <w:t>有关建议</w:t>
      </w:r>
    </w:p>
    <w:p>
      <w:pPr>
        <w:keepNext w:val="0"/>
        <w:keepLines w:val="0"/>
        <w:pageBreakBefore w:val="0"/>
        <w:numPr>
          <w:ilvl w:val="0"/>
          <w:numId w:val="5"/>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加大项目绩效管理培训力度，贯彻落实相关办法及制度。</w:t>
      </w:r>
    </w:p>
    <w:p>
      <w:pPr>
        <w:keepNext w:val="0"/>
        <w:keepLines w:val="0"/>
        <w:pageBreakBefore w:val="0"/>
        <w:numPr>
          <w:ilvl w:val="0"/>
          <w:numId w:val="5"/>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keepNext w:val="0"/>
        <w:keepLines w:val="0"/>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2" w:name="page8"/>
      <w:bookmarkEnd w:id="2"/>
      <w:r>
        <w:rPr>
          <w:rFonts w:hint="eastAsia" w:ascii="黑体" w:hAnsi="黑体" w:eastAsia="黑体"/>
          <w:b/>
          <w:bCs/>
          <w:sz w:val="32"/>
          <w:szCs w:val="32"/>
        </w:rPr>
        <w:t>明的问题</w:t>
      </w:r>
    </w:p>
    <w:p>
      <w:pPr>
        <w:keepNext w:val="0"/>
        <w:keepLines w:val="0"/>
        <w:pageBreakBefore w:val="0"/>
        <w:kinsoku/>
        <w:wordWrap/>
        <w:overflowPunct/>
        <w:topLinePunct w:val="0"/>
        <w:autoSpaceDE/>
        <w:autoSpaceDN/>
        <w:bidi w:val="0"/>
        <w:adjustRightInd/>
        <w:snapToGrid/>
        <w:spacing w:line="560" w:lineRule="exact"/>
        <w:textAlignment w:val="auto"/>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lang w:val="en-US" w:eastAsia="zh-CN"/>
        </w:rPr>
        <w:t>无。</w:t>
      </w:r>
    </w:p>
    <w:tbl>
      <w:tblPr>
        <w:tblStyle w:val="18"/>
        <w:tblW w:w="9270" w:type="dxa"/>
        <w:tblInd w:w="0" w:type="dxa"/>
        <w:shd w:val="clear" w:color="auto" w:fill="auto"/>
        <w:tblLayout w:type="autofit"/>
        <w:tblCellMar>
          <w:top w:w="0" w:type="dxa"/>
          <w:left w:w="0" w:type="dxa"/>
          <w:bottom w:w="0" w:type="dxa"/>
          <w:right w:w="0" w:type="dxa"/>
        </w:tblCellMar>
      </w:tblPr>
      <w:tblGrid>
        <w:gridCol w:w="840"/>
        <w:gridCol w:w="840"/>
        <w:gridCol w:w="840"/>
        <w:gridCol w:w="840"/>
        <w:gridCol w:w="840"/>
        <w:gridCol w:w="840"/>
        <w:gridCol w:w="840"/>
        <w:gridCol w:w="1680"/>
        <w:gridCol w:w="435"/>
        <w:gridCol w:w="1275"/>
      </w:tblGrid>
      <w:tr>
        <w:tblPrEx>
          <w:shd w:val="clear" w:color="auto" w:fill="auto"/>
        </w:tblPrEx>
        <w:trPr>
          <w:trHeight w:val="409" w:hRule="atLeast"/>
        </w:trPr>
        <w:tc>
          <w:tcPr>
            <w:tcW w:w="927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27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（2020年度）</w:t>
            </w:r>
          </w:p>
        </w:tc>
      </w:tr>
      <w:tr>
        <w:tblPrEx>
          <w:shd w:val="clear" w:color="auto" w:fill="auto"/>
          <w:tblCellMar>
            <w:top w:w="0" w:type="dxa"/>
            <w:left w:w="0" w:type="dxa"/>
            <w:bottom w:w="0" w:type="dxa"/>
            <w:right w:w="0" w:type="dxa"/>
          </w:tblCellMar>
        </w:tblPrEx>
        <w:trPr>
          <w:trHeight w:val="270" w:hRule="atLeast"/>
        </w:trPr>
        <w:tc>
          <w:tcPr>
            <w:tcW w:w="9270"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59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综合业务楼及设备建设项目-2010-2018年结余资金项目</w:t>
            </w:r>
          </w:p>
        </w:tc>
      </w:tr>
      <w:tr>
        <w:tblPrEx>
          <w:shd w:val="clear" w:color="auto" w:fill="auto"/>
          <w:tblCellMar>
            <w:top w:w="0" w:type="dxa"/>
            <w:left w:w="0" w:type="dxa"/>
            <w:bottom w:w="0" w:type="dxa"/>
            <w:right w:w="0" w:type="dxa"/>
          </w:tblCellMar>
        </w:tblPrEx>
        <w:trPr>
          <w:trHeight w:val="48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塔城地区妇幼保健院</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189</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189</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58.45</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30.93%</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189.00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189.00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58.45</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3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1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塔城地市妇幼保健院综合业务楼及设备工程补充建设项目资金，用于解决单位基本运转、购置必要医疗设备及信息化建设。</w:t>
            </w:r>
          </w:p>
        </w:tc>
        <w:tc>
          <w:tcPr>
            <w:tcW w:w="33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塔城地市妇幼保健院综合业务楼及设备工程补充建设项目资金，用于解决单位基本运转、购置必要医疗设备及信息化建设。</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21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专用设备购置</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=1批</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1批</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验收合格率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购置验收通过率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项目完成控制时间</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=1年</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1年</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项目购置成本控制</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≤60万元</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58.45万元</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项目支出减少</w:t>
            </w: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政府采购率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业务保障能力提升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提高就医环境和业务人员满意率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节能环保、适宜患者就医</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中长期</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中长期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服务人群满意度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keepNext w:val="0"/>
        <w:keepLines w:val="0"/>
        <w:widowControl/>
        <w:suppressLineNumbers w:val="0"/>
        <w:jc w:val="center"/>
        <w:textAlignment w:val="center"/>
        <w:sectPr>
          <w:pgSz w:w="11906" w:h="16838"/>
          <w:pgMar w:top="1440" w:right="1558" w:bottom="1440" w:left="1800" w:header="851" w:footer="992" w:gutter="0"/>
          <w:cols w:space="425" w:num="1"/>
          <w:docGrid w:type="lines" w:linePitch="312" w:charSpace="0"/>
        </w:sectPr>
      </w:pPr>
      <w:r>
        <w:rPr>
          <w:rFonts w:hint="eastAsia" w:ascii="宋体" w:hAnsi="宋体" w:eastAsia="宋体" w:cs="宋体"/>
          <w:b/>
          <w:i w:val="0"/>
          <w:color w:val="000000"/>
          <w:kern w:val="0"/>
          <w:sz w:val="32"/>
          <w:szCs w:val="32"/>
          <w:u w:val="none"/>
          <w:lang w:val="en-US" w:eastAsia="zh-CN" w:bidi="ar"/>
        </w:rPr>
        <w:br w:type="page"/>
      </w: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18"/>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848"/>
        <w:gridCol w:w="1056"/>
        <w:gridCol w:w="94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84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056"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rPr>
              <w:t>权重</w:t>
            </w:r>
          </w:p>
        </w:tc>
        <w:tc>
          <w:tcPr>
            <w:tcW w:w="947" w:type="dxa"/>
            <w:shd w:val="clear" w:color="auto" w:fill="FFFFFF"/>
            <w:noWrap w:val="0"/>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34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84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056"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0.5</w:t>
            </w:r>
          </w:p>
        </w:tc>
        <w:tc>
          <w:tcPr>
            <w:tcW w:w="94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84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056"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0.5</w:t>
            </w:r>
          </w:p>
        </w:tc>
        <w:tc>
          <w:tcPr>
            <w:tcW w:w="94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84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056"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4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84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056"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4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84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056"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4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15</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10</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15</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10</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84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056"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94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84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056"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47"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pPr>
        <w:pStyle w:val="2"/>
        <w:keepNext w:val="0"/>
        <w:keepLines w:val="0"/>
        <w:pageBreakBefore w:val="0"/>
        <w:kinsoku/>
        <w:wordWrap/>
        <w:overflowPunct/>
        <w:topLinePunct w:val="0"/>
        <w:autoSpaceDE/>
        <w:autoSpaceDN/>
        <w:bidi w:val="0"/>
        <w:adjustRightInd/>
        <w:snapToGrid/>
        <w:spacing w:before="0" w:after="0" w:line="560" w:lineRule="exact"/>
        <w:textAlignment w:val="auto"/>
        <w:rPr>
          <w:rFonts w:hint="eastAsia" w:ascii="宋体" w:hAnsi="宋体" w:eastAsia="宋体" w:cs="宋体"/>
          <w:sz w:val="18"/>
          <w:szCs w:val="18"/>
          <w:lang w:val="en-US" w:eastAsia="zh-CN"/>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0"/>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0"/>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0"/>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0"/>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0"/>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0"/>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0"/>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textAlignment w:val="auto"/>
        <w:rPr>
          <w:rStyle w:val="20"/>
          <w:rFonts w:hint="eastAsia" w:ascii="宋体" w:hAnsi="宋体" w:eastAsia="宋体" w:cs="宋体"/>
          <w:b w:val="0"/>
          <w:spacing w:val="-4"/>
          <w:sz w:val="18"/>
          <w:szCs w:val="18"/>
        </w:rPr>
      </w:pPr>
    </w:p>
    <w:sectPr>
      <w:footerReference r:id="rId4" w:type="default"/>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pPr>
        <w:ind w:left="519"/>
      </w:pPr>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33643C8"/>
    <w:rsid w:val="051A56F5"/>
    <w:rsid w:val="066D6EAA"/>
    <w:rsid w:val="07DE2F85"/>
    <w:rsid w:val="08C324EC"/>
    <w:rsid w:val="08C662D4"/>
    <w:rsid w:val="09BD4D95"/>
    <w:rsid w:val="0C666C8E"/>
    <w:rsid w:val="0DCB4CB2"/>
    <w:rsid w:val="0F8D41CB"/>
    <w:rsid w:val="100A4F35"/>
    <w:rsid w:val="10D4647B"/>
    <w:rsid w:val="10ED0F01"/>
    <w:rsid w:val="11C75270"/>
    <w:rsid w:val="12637CC3"/>
    <w:rsid w:val="12696E6C"/>
    <w:rsid w:val="12E657C5"/>
    <w:rsid w:val="144D0CC8"/>
    <w:rsid w:val="15886EBF"/>
    <w:rsid w:val="16385B7D"/>
    <w:rsid w:val="167C7687"/>
    <w:rsid w:val="167E4B45"/>
    <w:rsid w:val="168B3546"/>
    <w:rsid w:val="17623EBB"/>
    <w:rsid w:val="183E5373"/>
    <w:rsid w:val="1858163E"/>
    <w:rsid w:val="1A2374E0"/>
    <w:rsid w:val="1C317CE2"/>
    <w:rsid w:val="1CA264B0"/>
    <w:rsid w:val="1CDE3DE3"/>
    <w:rsid w:val="1D1E2333"/>
    <w:rsid w:val="1D8F7040"/>
    <w:rsid w:val="1DD45808"/>
    <w:rsid w:val="1DED42AC"/>
    <w:rsid w:val="1FEB2E00"/>
    <w:rsid w:val="20005763"/>
    <w:rsid w:val="203E25D0"/>
    <w:rsid w:val="20FB313D"/>
    <w:rsid w:val="218C0E6F"/>
    <w:rsid w:val="218D35C6"/>
    <w:rsid w:val="220B4804"/>
    <w:rsid w:val="23CA029C"/>
    <w:rsid w:val="246B2400"/>
    <w:rsid w:val="25530F04"/>
    <w:rsid w:val="2580709B"/>
    <w:rsid w:val="282475E3"/>
    <w:rsid w:val="29204419"/>
    <w:rsid w:val="292277FF"/>
    <w:rsid w:val="297328FE"/>
    <w:rsid w:val="29BD0A7F"/>
    <w:rsid w:val="2A995989"/>
    <w:rsid w:val="2BD632B9"/>
    <w:rsid w:val="2C6100C1"/>
    <w:rsid w:val="2DBD159C"/>
    <w:rsid w:val="2DDC2D0D"/>
    <w:rsid w:val="2E1F193E"/>
    <w:rsid w:val="2E4A072D"/>
    <w:rsid w:val="2E5914EF"/>
    <w:rsid w:val="2EC15E1E"/>
    <w:rsid w:val="2F460FEB"/>
    <w:rsid w:val="31C108E7"/>
    <w:rsid w:val="32523BBE"/>
    <w:rsid w:val="3264220D"/>
    <w:rsid w:val="35303524"/>
    <w:rsid w:val="353562DC"/>
    <w:rsid w:val="36B33FC3"/>
    <w:rsid w:val="36BC2D65"/>
    <w:rsid w:val="3710656F"/>
    <w:rsid w:val="39446BDE"/>
    <w:rsid w:val="3963178C"/>
    <w:rsid w:val="3AC503D3"/>
    <w:rsid w:val="3AD25BCA"/>
    <w:rsid w:val="3B260A25"/>
    <w:rsid w:val="3C0A6FFA"/>
    <w:rsid w:val="3C181CBB"/>
    <w:rsid w:val="3D293C3B"/>
    <w:rsid w:val="3EED2DFF"/>
    <w:rsid w:val="3F6871C2"/>
    <w:rsid w:val="41CC2676"/>
    <w:rsid w:val="4408133D"/>
    <w:rsid w:val="46B21672"/>
    <w:rsid w:val="46D23E24"/>
    <w:rsid w:val="46FE73E2"/>
    <w:rsid w:val="47287762"/>
    <w:rsid w:val="47BA55E1"/>
    <w:rsid w:val="4990206A"/>
    <w:rsid w:val="4B4B2E71"/>
    <w:rsid w:val="4BA062BD"/>
    <w:rsid w:val="4C2E6831"/>
    <w:rsid w:val="4C9333B4"/>
    <w:rsid w:val="4CA4407F"/>
    <w:rsid w:val="4D8D71B3"/>
    <w:rsid w:val="4DBA423B"/>
    <w:rsid w:val="4E2178F4"/>
    <w:rsid w:val="4EA011C0"/>
    <w:rsid w:val="4F552460"/>
    <w:rsid w:val="4F7E32B0"/>
    <w:rsid w:val="4FCC6863"/>
    <w:rsid w:val="500A214A"/>
    <w:rsid w:val="51517E16"/>
    <w:rsid w:val="521943E9"/>
    <w:rsid w:val="522D604D"/>
    <w:rsid w:val="52427365"/>
    <w:rsid w:val="5290776A"/>
    <w:rsid w:val="5297585E"/>
    <w:rsid w:val="52AD7D6F"/>
    <w:rsid w:val="53EA122B"/>
    <w:rsid w:val="553C0B09"/>
    <w:rsid w:val="5549519D"/>
    <w:rsid w:val="5557596B"/>
    <w:rsid w:val="55CE5CC4"/>
    <w:rsid w:val="56CB131D"/>
    <w:rsid w:val="58627566"/>
    <w:rsid w:val="592104E1"/>
    <w:rsid w:val="5A546248"/>
    <w:rsid w:val="5B596DFC"/>
    <w:rsid w:val="5CE006E1"/>
    <w:rsid w:val="5D1A5D3E"/>
    <w:rsid w:val="5D933D48"/>
    <w:rsid w:val="5DF03945"/>
    <w:rsid w:val="5E7C0C08"/>
    <w:rsid w:val="619938F8"/>
    <w:rsid w:val="637C2815"/>
    <w:rsid w:val="63A72793"/>
    <w:rsid w:val="646127D1"/>
    <w:rsid w:val="677B7ECF"/>
    <w:rsid w:val="68030D5C"/>
    <w:rsid w:val="69714F31"/>
    <w:rsid w:val="6AEA37D8"/>
    <w:rsid w:val="6B641486"/>
    <w:rsid w:val="6E1270D5"/>
    <w:rsid w:val="6EBB3336"/>
    <w:rsid w:val="70E15245"/>
    <w:rsid w:val="710C1482"/>
    <w:rsid w:val="724A017A"/>
    <w:rsid w:val="731916E4"/>
    <w:rsid w:val="744D1842"/>
    <w:rsid w:val="75FB454F"/>
    <w:rsid w:val="76D95AEA"/>
    <w:rsid w:val="7705798A"/>
    <w:rsid w:val="77363D44"/>
    <w:rsid w:val="78BB6B9D"/>
    <w:rsid w:val="793E4249"/>
    <w:rsid w:val="7A353D0B"/>
    <w:rsid w:val="7A5956C8"/>
    <w:rsid w:val="7BE27259"/>
    <w:rsid w:val="7CD945F5"/>
    <w:rsid w:val="7D0E64CA"/>
    <w:rsid w:val="7D3A5E2F"/>
    <w:rsid w:val="7E9E6334"/>
    <w:rsid w:val="7EC77B25"/>
    <w:rsid w:val="7F990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3"/>
    <w:qFormat/>
    <w:uiPriority w:val="9"/>
    <w:rPr>
      <w:rFonts w:asciiTheme="majorHAnsi" w:hAnsiTheme="majorHAnsi" w:eastAsiaTheme="majorEastAsia"/>
      <w:b/>
      <w:bCs/>
      <w:kern w:val="32"/>
      <w:sz w:val="32"/>
      <w:szCs w:val="32"/>
    </w:rPr>
  </w:style>
  <w:style w:type="character" w:customStyle="1" w:styleId="23">
    <w:name w:val="标题 2 字符"/>
    <w:basedOn w:val="19"/>
    <w:link w:val="4"/>
    <w:semiHidden/>
    <w:qFormat/>
    <w:uiPriority w:val="9"/>
    <w:rPr>
      <w:rFonts w:asciiTheme="majorHAnsi" w:hAnsiTheme="majorHAnsi" w:eastAsiaTheme="majorEastAsia"/>
      <w:b/>
      <w:bCs/>
      <w:i/>
      <w:iCs/>
      <w:sz w:val="28"/>
      <w:szCs w:val="28"/>
    </w:rPr>
  </w:style>
  <w:style w:type="character" w:customStyle="1" w:styleId="24">
    <w:name w:val="标题 3 字符"/>
    <w:basedOn w:val="19"/>
    <w:link w:val="5"/>
    <w:semiHidden/>
    <w:qFormat/>
    <w:uiPriority w:val="9"/>
    <w:rPr>
      <w:rFonts w:asciiTheme="majorHAnsi" w:hAnsiTheme="majorHAnsi" w:eastAsiaTheme="majorEastAsia"/>
      <w:b/>
      <w:bCs/>
      <w:sz w:val="26"/>
      <w:szCs w:val="26"/>
    </w:rPr>
  </w:style>
  <w:style w:type="character" w:customStyle="1" w:styleId="25">
    <w:name w:val="标题 4 字符"/>
    <w:basedOn w:val="19"/>
    <w:link w:val="6"/>
    <w:semiHidden/>
    <w:qFormat/>
    <w:uiPriority w:val="9"/>
    <w:rPr>
      <w:b/>
      <w:bCs/>
      <w:sz w:val="28"/>
      <w:szCs w:val="28"/>
    </w:rPr>
  </w:style>
  <w:style w:type="character" w:customStyle="1" w:styleId="26">
    <w:name w:val="标题 5 字符"/>
    <w:basedOn w:val="19"/>
    <w:link w:val="7"/>
    <w:semiHidden/>
    <w:qFormat/>
    <w:uiPriority w:val="9"/>
    <w:rPr>
      <w:b/>
      <w:bCs/>
      <w:i/>
      <w:iCs/>
      <w:sz w:val="26"/>
      <w:szCs w:val="26"/>
    </w:rPr>
  </w:style>
  <w:style w:type="character" w:customStyle="1" w:styleId="27">
    <w:name w:val="标题 6 字符"/>
    <w:basedOn w:val="19"/>
    <w:link w:val="8"/>
    <w:semiHidden/>
    <w:qFormat/>
    <w:uiPriority w:val="9"/>
    <w:rPr>
      <w:b/>
      <w:bCs/>
    </w:rPr>
  </w:style>
  <w:style w:type="character" w:customStyle="1" w:styleId="28">
    <w:name w:val="标题 7 字符"/>
    <w:basedOn w:val="19"/>
    <w:link w:val="9"/>
    <w:semiHidden/>
    <w:qFormat/>
    <w:uiPriority w:val="9"/>
    <w:rPr>
      <w:sz w:val="24"/>
      <w:szCs w:val="24"/>
    </w:rPr>
  </w:style>
  <w:style w:type="character" w:customStyle="1" w:styleId="29">
    <w:name w:val="标题 8 字符"/>
    <w:basedOn w:val="19"/>
    <w:link w:val="10"/>
    <w:semiHidden/>
    <w:qFormat/>
    <w:uiPriority w:val="9"/>
    <w:rPr>
      <w:i/>
      <w:iCs/>
      <w:sz w:val="24"/>
      <w:szCs w:val="24"/>
    </w:rPr>
  </w:style>
  <w:style w:type="character" w:customStyle="1" w:styleId="30">
    <w:name w:val="标题 9 字符"/>
    <w:basedOn w:val="19"/>
    <w:link w:val="11"/>
    <w:semiHidden/>
    <w:qFormat/>
    <w:uiPriority w:val="9"/>
    <w:rPr>
      <w:rFonts w:asciiTheme="majorHAnsi" w:hAnsiTheme="majorHAnsi" w:eastAsiaTheme="majorEastAsia"/>
    </w:rPr>
  </w:style>
  <w:style w:type="character" w:customStyle="1" w:styleId="31">
    <w:name w:val="标题 字符"/>
    <w:basedOn w:val="19"/>
    <w:link w:val="2"/>
    <w:qFormat/>
    <w:uiPriority w:val="10"/>
    <w:rPr>
      <w:rFonts w:asciiTheme="majorHAnsi" w:hAnsiTheme="majorHAnsi" w:eastAsiaTheme="majorEastAsia"/>
      <w:b/>
      <w:bCs/>
      <w:kern w:val="28"/>
      <w:sz w:val="32"/>
      <w:szCs w:val="32"/>
    </w:rPr>
  </w:style>
  <w:style w:type="character" w:customStyle="1" w:styleId="32">
    <w:name w:val="副标题 字符"/>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9"/>
    <w:link w:val="15"/>
    <w:qFormat/>
    <w:uiPriority w:val="99"/>
    <w:rPr>
      <w:rFonts w:ascii="Calibri" w:hAnsi="Calibri" w:eastAsia="宋体"/>
      <w:kern w:val="2"/>
      <w:sz w:val="18"/>
      <w:szCs w:val="18"/>
    </w:rPr>
  </w:style>
  <w:style w:type="character" w:customStyle="1" w:styleId="46">
    <w:name w:val="页脚 字符"/>
    <w:basedOn w:val="19"/>
    <w:link w:val="14"/>
    <w:qFormat/>
    <w:uiPriority w:val="99"/>
    <w:rPr>
      <w:rFonts w:ascii="Calibri" w:hAnsi="Calibri" w:eastAsia="宋体"/>
      <w:kern w:val="2"/>
      <w:sz w:val="18"/>
      <w:szCs w:val="18"/>
    </w:rPr>
  </w:style>
  <w:style w:type="character" w:customStyle="1" w:styleId="47">
    <w:name w:val="批注框文本 字符"/>
    <w:basedOn w:val="19"/>
    <w:link w:val="13"/>
    <w:semiHidden/>
    <w:qFormat/>
    <w:uiPriority w:val="99"/>
    <w:rPr>
      <w:rFonts w:ascii="Times New Roman" w:hAnsi="Times New Roman" w:eastAsia="宋体"/>
      <w:kern w:val="2"/>
      <w:sz w:val="18"/>
      <w:szCs w:val="18"/>
    </w:rPr>
  </w:style>
  <w:style w:type="paragraph" w:customStyle="1" w:styleId="48">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49">
    <w:name w:val="fontstyle01"/>
    <w:qFormat/>
    <w:uiPriority w:val="0"/>
    <w:rPr>
      <w:rFonts w:ascii="仿宋_GB2312" w:hAnsi="仿宋_GB2312" w:eastAsia="仿宋_GB2312" w:cs="仿宋_GB2312"/>
      <w:color w:val="000000"/>
      <w:sz w:val="32"/>
      <w:szCs w:val="32"/>
    </w:rPr>
  </w:style>
  <w:style w:type="paragraph" w:customStyle="1" w:styleId="50">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34df274-39de-4151-9256-56d4298eeff8}"/>
        <w:style w:val=""/>
        <w:category>
          <w:name w:val="常规"/>
          <w:gallery w:val="placeholder"/>
        </w:category>
        <w:types>
          <w:type w:val="bbPlcHdr"/>
        </w:types>
        <w:behaviors>
          <w:behavior w:val="content"/>
        </w:behaviors>
        <w:description w:val=""/>
        <w:guid w:val="{c34df274-39de-4151-9256-56d4298eeff8}"/>
      </w:docPartPr>
      <w:docPartBody>
        <w:p>
          <w:r>
            <w:rPr>
              <w:color w:val="808080"/>
            </w:rPr>
            <w:t>单击此处输入文字。</w:t>
          </w:r>
        </w:p>
      </w:docPartBody>
    </w:docPart>
    <w:docPart>
      <w:docPartPr>
        <w:name w:val="{9c744e79-6285-4660-8fd0-b945f9076083}"/>
        <w:style w:val=""/>
        <w:category>
          <w:name w:val="常规"/>
          <w:gallery w:val="placeholder"/>
        </w:category>
        <w:types>
          <w:type w:val="bbPlcHdr"/>
        </w:types>
        <w:behaviors>
          <w:behavior w:val="content"/>
        </w:behaviors>
        <w:description w:val=""/>
        <w:guid w:val="{9c744e79-6285-4660-8fd0-b945f9076083}"/>
      </w:docPartPr>
      <w:docPartBody>
        <w:p>
          <w:r>
            <w:rPr>
              <w:color w:val="808080"/>
            </w:rPr>
            <w:t>单击此处输入文字。</w:t>
          </w:r>
        </w:p>
      </w:docPartBody>
    </w:docPart>
    <w:docPart>
      <w:docPartPr>
        <w:name w:val="{2e86095f-f4fc-4bc3-9ef3-7546bd5c695c}"/>
        <w:style w:val=""/>
        <w:category>
          <w:name w:val="常规"/>
          <w:gallery w:val="placeholder"/>
        </w:category>
        <w:types>
          <w:type w:val="bbPlcHdr"/>
        </w:types>
        <w:behaviors>
          <w:behavior w:val="content"/>
        </w:behaviors>
        <w:description w:val=""/>
        <w:guid w:val="{2e86095f-f4fc-4bc3-9ef3-7546bd5c695c}"/>
      </w:docPartPr>
      <w:docPartBody>
        <w:p>
          <w:r>
            <w:rPr>
              <w:color w:val="808080"/>
            </w:rPr>
            <w:t>单击此处输入文字。</w:t>
          </w:r>
        </w:p>
      </w:docPartBody>
    </w:docPart>
    <w:docPart>
      <w:docPartPr>
        <w:name w:val="{813ed5d3-0f59-494d-991c-a8575ea705d2}"/>
        <w:style w:val=""/>
        <w:category>
          <w:name w:val="常规"/>
          <w:gallery w:val="placeholder"/>
        </w:category>
        <w:types>
          <w:type w:val="bbPlcHdr"/>
        </w:types>
        <w:behaviors>
          <w:behavior w:val="content"/>
        </w:behaviors>
        <w:description w:val=""/>
        <w:guid w:val="{813ed5d3-0f59-494d-991c-a8575ea705d2}"/>
      </w:docPartPr>
      <w:docPartBody>
        <w:p>
          <w:r>
            <w:rPr>
              <w:color w:val="808080"/>
            </w:rPr>
            <w:t>单击此处输入文字。</w:t>
          </w:r>
        </w:p>
      </w:docPartBody>
    </w:docPart>
    <w:docPart>
      <w:docPartPr>
        <w:name w:val="{33b15e09-4a2f-4395-88e0-d4265b515266}"/>
        <w:style w:val=""/>
        <w:category>
          <w:name w:val="常规"/>
          <w:gallery w:val="placeholder"/>
        </w:category>
        <w:types>
          <w:type w:val="bbPlcHdr"/>
        </w:types>
        <w:behaviors>
          <w:behavior w:val="content"/>
        </w:behaviors>
        <w:description w:val=""/>
        <w:guid w:val="{33b15e09-4a2f-4395-88e0-d4265b515266}"/>
      </w:docPartPr>
      <w:docPartBody>
        <w:p>
          <w:r>
            <w:rPr>
              <w:color w:val="808080"/>
            </w:rPr>
            <w:t>单击此处输入文字。</w:t>
          </w:r>
        </w:p>
      </w:docPartBody>
    </w:docPart>
    <w:docPart>
      <w:docPartPr>
        <w:name w:val="{00a566cc-f075-41fb-bc35-10072289dbc9}"/>
        <w:style w:val=""/>
        <w:category>
          <w:name w:val="常规"/>
          <w:gallery w:val="placeholder"/>
        </w:category>
        <w:types>
          <w:type w:val="bbPlcHdr"/>
        </w:types>
        <w:behaviors>
          <w:behavior w:val="content"/>
        </w:behaviors>
        <w:description w:val=""/>
        <w:guid w:val="{00a566cc-f075-41fb-bc35-10072289dbc9}"/>
      </w:docPartPr>
      <w:docPartBody>
        <w:p>
          <w:r>
            <w:rPr>
              <w:color w:val="808080"/>
            </w:rPr>
            <w:t>单击此处输入文字。</w:t>
          </w:r>
        </w:p>
      </w:docPartBody>
    </w:docPart>
    <w:docPart>
      <w:docPartPr>
        <w:name w:val="{bc588a92-a54c-4a82-85b0-c3a2bcb55e56}"/>
        <w:style w:val=""/>
        <w:category>
          <w:name w:val="常规"/>
          <w:gallery w:val="placeholder"/>
        </w:category>
        <w:types>
          <w:type w:val="bbPlcHdr"/>
        </w:types>
        <w:behaviors>
          <w:behavior w:val="content"/>
        </w:behaviors>
        <w:description w:val=""/>
        <w:guid w:val="{bc588a92-a54c-4a82-85b0-c3a2bcb55e56}"/>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4</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2025-09-05T06:57:57Z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32DC83B758624B3B924FE932AC9BA305</vt:lpwstr>
  </property>
  <property fmtid="{D5CDD505-2E9C-101B-9397-08002B2CF9AE}" pid="4" name="KSOSaveFontToCloudKey">
    <vt:lpwstr>390855185_btnclosed</vt:lpwstr>
  </property>
</Properties>
</file>