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AA1116">
      <w:pPr>
        <w:keepNext w:val="0"/>
        <w:keepLines w:val="0"/>
        <w:pageBreakBefore w:val="0"/>
        <w:kinsoku/>
        <w:wordWrap/>
        <w:overflowPunct/>
        <w:topLinePunct w:val="0"/>
        <w:autoSpaceDE/>
        <w:autoSpaceDN/>
        <w:bidi w:val="0"/>
        <w:spacing w:line="560" w:lineRule="exact"/>
        <w:jc w:val="center"/>
        <w:rPr>
          <w:rFonts w:ascii="华文中宋" w:hAnsi="华文中宋" w:eastAsia="华文中宋" w:cs="宋体"/>
          <w:b/>
          <w:kern w:val="0"/>
          <w:sz w:val="52"/>
          <w:szCs w:val="52"/>
          <w:highlight w:val="none"/>
        </w:rPr>
      </w:pPr>
    </w:p>
    <w:p w14:paraId="77F6D537">
      <w:pPr>
        <w:keepNext w:val="0"/>
        <w:keepLines w:val="0"/>
        <w:pageBreakBefore w:val="0"/>
        <w:kinsoku/>
        <w:wordWrap/>
        <w:overflowPunct/>
        <w:topLinePunct w:val="0"/>
        <w:autoSpaceDE/>
        <w:autoSpaceDN/>
        <w:bidi w:val="0"/>
        <w:spacing w:line="560" w:lineRule="exact"/>
        <w:jc w:val="center"/>
        <w:rPr>
          <w:rFonts w:ascii="华文中宋" w:hAnsi="华文中宋" w:eastAsia="华文中宋" w:cs="宋体"/>
          <w:b/>
          <w:kern w:val="0"/>
          <w:sz w:val="52"/>
          <w:szCs w:val="52"/>
          <w:highlight w:val="none"/>
        </w:rPr>
      </w:pPr>
    </w:p>
    <w:p w14:paraId="6B4ABE1B">
      <w:pPr>
        <w:keepNext w:val="0"/>
        <w:keepLines w:val="0"/>
        <w:pageBreakBefore w:val="0"/>
        <w:kinsoku/>
        <w:wordWrap/>
        <w:overflowPunct/>
        <w:topLinePunct w:val="0"/>
        <w:autoSpaceDE/>
        <w:autoSpaceDN/>
        <w:bidi w:val="0"/>
        <w:spacing w:line="560" w:lineRule="exact"/>
        <w:jc w:val="center"/>
        <w:rPr>
          <w:rFonts w:ascii="华文中宋" w:hAnsi="华文中宋" w:eastAsia="华文中宋" w:cs="宋体"/>
          <w:b/>
          <w:kern w:val="0"/>
          <w:sz w:val="52"/>
          <w:szCs w:val="52"/>
          <w:highlight w:val="none"/>
        </w:rPr>
      </w:pPr>
    </w:p>
    <w:p w14:paraId="4E3DA11E">
      <w:pPr>
        <w:keepNext w:val="0"/>
        <w:keepLines w:val="0"/>
        <w:pageBreakBefore w:val="0"/>
        <w:kinsoku/>
        <w:wordWrap/>
        <w:overflowPunct/>
        <w:topLinePunct w:val="0"/>
        <w:autoSpaceDE/>
        <w:autoSpaceDN/>
        <w:bidi w:val="0"/>
        <w:spacing w:line="560" w:lineRule="exact"/>
        <w:jc w:val="center"/>
        <w:rPr>
          <w:rFonts w:ascii="华文中宋" w:hAnsi="华文中宋" w:eastAsia="华文中宋" w:cs="宋体"/>
          <w:b/>
          <w:kern w:val="0"/>
          <w:sz w:val="52"/>
          <w:szCs w:val="52"/>
          <w:highlight w:val="none"/>
        </w:rPr>
      </w:pPr>
    </w:p>
    <w:p w14:paraId="73B88C05">
      <w:pPr>
        <w:keepNext w:val="0"/>
        <w:keepLines w:val="0"/>
        <w:pageBreakBefore w:val="0"/>
        <w:kinsoku/>
        <w:wordWrap/>
        <w:overflowPunct/>
        <w:topLinePunct w:val="0"/>
        <w:autoSpaceDE/>
        <w:autoSpaceDN/>
        <w:bidi w:val="0"/>
        <w:spacing w:line="560" w:lineRule="exact"/>
        <w:jc w:val="center"/>
        <w:rPr>
          <w:rFonts w:ascii="华文中宋" w:hAnsi="华文中宋" w:eastAsia="华文中宋" w:cs="宋体"/>
          <w:b/>
          <w:kern w:val="0"/>
          <w:sz w:val="52"/>
          <w:szCs w:val="52"/>
          <w:highlight w:val="none"/>
        </w:rPr>
      </w:pPr>
    </w:p>
    <w:p w14:paraId="624E354C">
      <w:pPr>
        <w:keepNext w:val="0"/>
        <w:keepLines w:val="0"/>
        <w:pageBreakBefore w:val="0"/>
        <w:kinsoku/>
        <w:wordWrap/>
        <w:overflowPunct/>
        <w:topLinePunct w:val="0"/>
        <w:autoSpaceDE/>
        <w:autoSpaceDN/>
        <w:bidi w:val="0"/>
        <w:spacing w:line="560" w:lineRule="exact"/>
        <w:jc w:val="center"/>
        <w:rPr>
          <w:rFonts w:ascii="华文中宋" w:hAnsi="华文中宋" w:eastAsia="华文中宋" w:cs="宋体"/>
          <w:b/>
          <w:kern w:val="0"/>
          <w:sz w:val="44"/>
          <w:szCs w:val="44"/>
          <w:highlight w:val="none"/>
        </w:rPr>
      </w:pPr>
    </w:p>
    <w:p w14:paraId="40AFFAB4">
      <w:pPr>
        <w:keepNext w:val="0"/>
        <w:keepLines w:val="0"/>
        <w:pageBreakBefore w:val="0"/>
        <w:kinsoku/>
        <w:wordWrap/>
        <w:overflowPunct/>
        <w:topLinePunct w:val="0"/>
        <w:autoSpaceDE/>
        <w:autoSpaceDN/>
        <w:bidi w:val="0"/>
        <w:spacing w:line="560" w:lineRule="exact"/>
        <w:jc w:val="center"/>
        <w:rPr>
          <w:rFonts w:ascii="方正小标宋_GBK" w:hAnsi="华文中宋" w:eastAsia="方正小标宋_GBK" w:cs="宋体"/>
          <w:kern w:val="0"/>
          <w:sz w:val="44"/>
          <w:szCs w:val="44"/>
          <w:highlight w:val="none"/>
        </w:rPr>
      </w:pPr>
      <w:r>
        <w:rPr>
          <w:rFonts w:hint="eastAsia" w:ascii="方正小标宋_GBK" w:hAnsi="华文中宋" w:eastAsia="方正小标宋_GBK" w:cs="宋体"/>
          <w:kern w:val="0"/>
          <w:sz w:val="44"/>
          <w:szCs w:val="44"/>
          <w:highlight w:val="none"/>
        </w:rPr>
        <w:t>外事资金项目支出绩效评价</w:t>
      </w:r>
    </w:p>
    <w:p w14:paraId="5DDABF0F">
      <w:pPr>
        <w:keepNext w:val="0"/>
        <w:keepLines w:val="0"/>
        <w:pageBreakBefore w:val="0"/>
        <w:kinsoku/>
        <w:wordWrap/>
        <w:overflowPunct/>
        <w:topLinePunct w:val="0"/>
        <w:autoSpaceDE/>
        <w:autoSpaceDN/>
        <w:bidi w:val="0"/>
        <w:spacing w:line="560" w:lineRule="exact"/>
        <w:jc w:val="center"/>
        <w:rPr>
          <w:rFonts w:ascii="方正小标宋_GBK" w:hAnsi="华文中宋" w:eastAsia="方正小标宋_GBK" w:cs="宋体"/>
          <w:kern w:val="0"/>
          <w:sz w:val="44"/>
          <w:szCs w:val="44"/>
          <w:highlight w:val="none"/>
        </w:rPr>
      </w:pPr>
      <w:r>
        <w:rPr>
          <w:rFonts w:hint="eastAsia" w:ascii="方正小标宋_GBK" w:hAnsi="华文中宋" w:eastAsia="方正小标宋_GBK" w:cs="宋体"/>
          <w:kern w:val="0"/>
          <w:sz w:val="44"/>
          <w:szCs w:val="44"/>
          <w:highlight w:val="none"/>
        </w:rPr>
        <w:t>报告</w:t>
      </w:r>
    </w:p>
    <w:p w14:paraId="18396C6A">
      <w:pPr>
        <w:keepNext w:val="0"/>
        <w:keepLines w:val="0"/>
        <w:pageBreakBefore w:val="0"/>
        <w:kinsoku/>
        <w:wordWrap/>
        <w:overflowPunct/>
        <w:topLinePunct w:val="0"/>
        <w:autoSpaceDE/>
        <w:autoSpaceDN/>
        <w:bidi w:val="0"/>
        <w:spacing w:line="560" w:lineRule="exact"/>
        <w:jc w:val="center"/>
        <w:rPr>
          <w:rFonts w:ascii="华文中宋" w:hAnsi="华文中宋" w:eastAsia="华文中宋" w:cs="宋体"/>
          <w:b/>
          <w:kern w:val="0"/>
          <w:sz w:val="52"/>
          <w:szCs w:val="52"/>
          <w:highlight w:val="none"/>
        </w:rPr>
      </w:pPr>
    </w:p>
    <w:p w14:paraId="0F0848CE">
      <w:pPr>
        <w:keepNext w:val="0"/>
        <w:keepLines w:val="0"/>
        <w:pageBreakBefore w:val="0"/>
        <w:kinsoku/>
        <w:wordWrap/>
        <w:overflowPunct/>
        <w:topLinePunct w:val="0"/>
        <w:autoSpaceDE/>
        <w:autoSpaceDN/>
        <w:bidi w:val="0"/>
        <w:spacing w:line="560" w:lineRule="exact"/>
        <w:jc w:val="center"/>
        <w:rPr>
          <w:rFonts w:hAnsi="宋体" w:eastAsia="仿宋_GB2312" w:cs="宋体"/>
          <w:kern w:val="0"/>
          <w:sz w:val="36"/>
          <w:szCs w:val="36"/>
          <w:highlight w:val="none"/>
        </w:rPr>
      </w:pPr>
      <w:r>
        <w:rPr>
          <w:rFonts w:hint="eastAsia" w:hAnsi="宋体" w:eastAsia="仿宋_GB2312" w:cs="宋体"/>
          <w:kern w:val="0"/>
          <w:sz w:val="36"/>
          <w:szCs w:val="36"/>
          <w:highlight w:val="none"/>
        </w:rPr>
        <w:t>（ 2020年度）</w:t>
      </w:r>
    </w:p>
    <w:p w14:paraId="1B08A986">
      <w:pPr>
        <w:keepNext w:val="0"/>
        <w:keepLines w:val="0"/>
        <w:pageBreakBefore w:val="0"/>
        <w:kinsoku/>
        <w:wordWrap/>
        <w:overflowPunct/>
        <w:topLinePunct w:val="0"/>
        <w:autoSpaceDE/>
        <w:autoSpaceDN/>
        <w:bidi w:val="0"/>
        <w:spacing w:line="560" w:lineRule="exact"/>
        <w:jc w:val="center"/>
        <w:rPr>
          <w:rFonts w:hAnsi="宋体" w:eastAsia="仿宋_GB2312" w:cs="宋体"/>
          <w:kern w:val="0"/>
          <w:sz w:val="30"/>
          <w:szCs w:val="30"/>
          <w:highlight w:val="none"/>
        </w:rPr>
      </w:pPr>
    </w:p>
    <w:p w14:paraId="5FE71A87">
      <w:pPr>
        <w:keepNext w:val="0"/>
        <w:keepLines w:val="0"/>
        <w:pageBreakBefore w:val="0"/>
        <w:kinsoku/>
        <w:wordWrap/>
        <w:overflowPunct/>
        <w:topLinePunct w:val="0"/>
        <w:autoSpaceDE/>
        <w:autoSpaceDN/>
        <w:bidi w:val="0"/>
        <w:spacing w:line="560" w:lineRule="exact"/>
        <w:jc w:val="center"/>
        <w:rPr>
          <w:rFonts w:hAnsi="宋体" w:eastAsia="仿宋_GB2312" w:cs="宋体"/>
          <w:kern w:val="0"/>
          <w:sz w:val="30"/>
          <w:szCs w:val="30"/>
          <w:highlight w:val="none"/>
        </w:rPr>
      </w:pPr>
    </w:p>
    <w:p w14:paraId="20E72616">
      <w:pPr>
        <w:keepNext w:val="0"/>
        <w:keepLines w:val="0"/>
        <w:pageBreakBefore w:val="0"/>
        <w:kinsoku/>
        <w:wordWrap/>
        <w:overflowPunct/>
        <w:topLinePunct w:val="0"/>
        <w:autoSpaceDE/>
        <w:autoSpaceDN/>
        <w:bidi w:val="0"/>
        <w:spacing w:line="560" w:lineRule="exact"/>
        <w:jc w:val="center"/>
        <w:rPr>
          <w:rFonts w:hAnsi="宋体" w:eastAsia="仿宋_GB2312" w:cs="宋体"/>
          <w:kern w:val="0"/>
          <w:sz w:val="30"/>
          <w:szCs w:val="30"/>
          <w:highlight w:val="none"/>
        </w:rPr>
      </w:pPr>
    </w:p>
    <w:p w14:paraId="2A0766D8">
      <w:pPr>
        <w:keepNext w:val="0"/>
        <w:keepLines w:val="0"/>
        <w:pageBreakBefore w:val="0"/>
        <w:kinsoku/>
        <w:wordWrap/>
        <w:overflowPunct/>
        <w:topLinePunct w:val="0"/>
        <w:autoSpaceDE/>
        <w:autoSpaceDN/>
        <w:bidi w:val="0"/>
        <w:spacing w:line="560" w:lineRule="exact"/>
        <w:jc w:val="center"/>
        <w:rPr>
          <w:rFonts w:hAnsi="宋体" w:eastAsia="仿宋_GB2312" w:cs="宋体"/>
          <w:kern w:val="0"/>
          <w:sz w:val="30"/>
          <w:szCs w:val="30"/>
          <w:highlight w:val="none"/>
        </w:rPr>
      </w:pPr>
    </w:p>
    <w:p w14:paraId="2A4CE450">
      <w:pPr>
        <w:keepNext w:val="0"/>
        <w:keepLines w:val="0"/>
        <w:pageBreakBefore w:val="0"/>
        <w:kinsoku/>
        <w:wordWrap/>
        <w:overflowPunct/>
        <w:topLinePunct w:val="0"/>
        <w:autoSpaceDE/>
        <w:autoSpaceDN/>
        <w:bidi w:val="0"/>
        <w:spacing w:line="560" w:lineRule="exact"/>
        <w:rPr>
          <w:rFonts w:hAnsi="宋体" w:eastAsia="仿宋_GB2312" w:cs="宋体"/>
          <w:kern w:val="0"/>
          <w:sz w:val="30"/>
          <w:szCs w:val="30"/>
          <w:highlight w:val="none"/>
        </w:rPr>
      </w:pPr>
    </w:p>
    <w:p w14:paraId="4291E717">
      <w:pPr>
        <w:keepNext w:val="0"/>
        <w:keepLines w:val="0"/>
        <w:pageBreakBefore w:val="0"/>
        <w:kinsoku/>
        <w:wordWrap/>
        <w:overflowPunct/>
        <w:topLinePunct w:val="0"/>
        <w:autoSpaceDE/>
        <w:autoSpaceDN/>
        <w:bidi w:val="0"/>
        <w:spacing w:line="560" w:lineRule="exact"/>
        <w:ind w:firstLine="720" w:firstLineChars="200"/>
        <w:jc w:val="left"/>
        <w:rPr>
          <w:rFonts w:hAnsi="宋体" w:eastAsia="仿宋_GB2312" w:cs="宋体"/>
          <w:kern w:val="0"/>
          <w:sz w:val="36"/>
          <w:szCs w:val="36"/>
          <w:highlight w:val="none"/>
        </w:rPr>
      </w:pPr>
      <w:r>
        <w:rPr>
          <w:rFonts w:hint="eastAsia" w:hAnsi="宋体" w:eastAsia="仿宋_GB2312" w:cs="宋体"/>
          <w:kern w:val="0"/>
          <w:sz w:val="36"/>
          <w:szCs w:val="36"/>
          <w:highlight w:val="none"/>
        </w:rPr>
        <w:t>项目名称：外事业务经费</w:t>
      </w:r>
    </w:p>
    <w:p w14:paraId="1C6663AA">
      <w:pPr>
        <w:keepNext w:val="0"/>
        <w:keepLines w:val="0"/>
        <w:pageBreakBefore w:val="0"/>
        <w:kinsoku/>
        <w:wordWrap/>
        <w:overflowPunct/>
        <w:topLinePunct w:val="0"/>
        <w:autoSpaceDE/>
        <w:autoSpaceDN/>
        <w:bidi w:val="0"/>
        <w:spacing w:line="560" w:lineRule="exact"/>
        <w:ind w:firstLine="720" w:firstLineChars="200"/>
        <w:jc w:val="left"/>
        <w:rPr>
          <w:rFonts w:hAnsi="宋体" w:eastAsia="仿宋_GB2312" w:cs="宋体"/>
          <w:kern w:val="0"/>
          <w:sz w:val="36"/>
          <w:szCs w:val="36"/>
          <w:highlight w:val="none"/>
        </w:rPr>
      </w:pPr>
      <w:r>
        <w:rPr>
          <w:rFonts w:hint="eastAsia" w:hAnsi="宋体" w:eastAsia="仿宋_GB2312" w:cs="宋体"/>
          <w:kern w:val="0"/>
          <w:sz w:val="36"/>
          <w:szCs w:val="36"/>
          <w:highlight w:val="none"/>
        </w:rPr>
        <w:t>实施单位（公章）：塔城地区外事办公室</w:t>
      </w:r>
    </w:p>
    <w:p w14:paraId="0619D074">
      <w:pPr>
        <w:keepNext w:val="0"/>
        <w:keepLines w:val="0"/>
        <w:pageBreakBefore w:val="0"/>
        <w:kinsoku/>
        <w:wordWrap/>
        <w:overflowPunct/>
        <w:topLinePunct w:val="0"/>
        <w:autoSpaceDE/>
        <w:autoSpaceDN/>
        <w:bidi w:val="0"/>
        <w:spacing w:line="560" w:lineRule="exact"/>
        <w:ind w:firstLine="720" w:firstLineChars="200"/>
        <w:jc w:val="left"/>
        <w:rPr>
          <w:rFonts w:hAnsi="宋体" w:eastAsia="仿宋_GB2312" w:cs="宋体"/>
          <w:kern w:val="0"/>
          <w:sz w:val="36"/>
          <w:szCs w:val="36"/>
          <w:highlight w:val="none"/>
        </w:rPr>
      </w:pPr>
      <w:r>
        <w:rPr>
          <w:rFonts w:hint="eastAsia" w:hAnsi="宋体" w:eastAsia="仿宋_GB2312" w:cs="宋体"/>
          <w:kern w:val="0"/>
          <w:sz w:val="36"/>
          <w:szCs w:val="36"/>
          <w:highlight w:val="none"/>
        </w:rPr>
        <w:t>项目负责人（签章）：颜志新</w:t>
      </w:r>
    </w:p>
    <w:p w14:paraId="09BE9BEA">
      <w:pPr>
        <w:keepNext w:val="0"/>
        <w:keepLines w:val="0"/>
        <w:pageBreakBefore w:val="0"/>
        <w:kinsoku/>
        <w:wordWrap/>
        <w:overflowPunct/>
        <w:topLinePunct w:val="0"/>
        <w:autoSpaceDE/>
        <w:autoSpaceDN/>
        <w:bidi w:val="0"/>
        <w:spacing w:line="560" w:lineRule="exact"/>
        <w:ind w:firstLine="720" w:firstLineChars="200"/>
        <w:jc w:val="left"/>
        <w:rPr>
          <w:rFonts w:hAnsi="宋体" w:eastAsia="仿宋_GB2312" w:cs="宋体"/>
          <w:kern w:val="0"/>
          <w:sz w:val="36"/>
          <w:szCs w:val="36"/>
          <w:highlight w:val="none"/>
        </w:rPr>
      </w:pPr>
      <w:r>
        <w:rPr>
          <w:rFonts w:hint="eastAsia" w:hAnsi="宋体" w:eastAsia="仿宋_GB2312" w:cs="宋体"/>
          <w:kern w:val="0"/>
          <w:sz w:val="36"/>
          <w:szCs w:val="36"/>
          <w:highlight w:val="none"/>
        </w:rPr>
        <w:t>填报时间：2021年3月26日</w:t>
      </w:r>
    </w:p>
    <w:p w14:paraId="0B39C8D8">
      <w:pPr>
        <w:keepNext w:val="0"/>
        <w:keepLines w:val="0"/>
        <w:pageBreakBefore w:val="0"/>
        <w:kinsoku/>
        <w:wordWrap/>
        <w:overflowPunct/>
        <w:topLinePunct w:val="0"/>
        <w:autoSpaceDE/>
        <w:autoSpaceDN/>
        <w:bidi w:val="0"/>
        <w:spacing w:line="560" w:lineRule="exact"/>
        <w:jc w:val="center"/>
        <w:rPr>
          <w:rFonts w:hAnsi="宋体" w:eastAsia="仿宋_GB2312" w:cs="宋体"/>
          <w:kern w:val="0"/>
          <w:sz w:val="30"/>
          <w:szCs w:val="30"/>
          <w:highlight w:val="none"/>
        </w:rPr>
      </w:pPr>
    </w:p>
    <w:p w14:paraId="480D058F">
      <w:pPr>
        <w:keepNext w:val="0"/>
        <w:keepLines w:val="0"/>
        <w:pageBreakBefore w:val="0"/>
        <w:kinsoku/>
        <w:wordWrap/>
        <w:overflowPunct/>
        <w:topLinePunct w:val="0"/>
        <w:autoSpaceDE/>
        <w:autoSpaceDN/>
        <w:bidi w:val="0"/>
        <w:spacing w:line="560" w:lineRule="exact"/>
        <w:rPr>
          <w:rStyle w:val="24"/>
          <w:rFonts w:ascii="黑体" w:hAnsi="黑体" w:eastAsia="黑体"/>
          <w:b w:val="0"/>
          <w:spacing w:val="-4"/>
          <w:sz w:val="32"/>
          <w:szCs w:val="32"/>
          <w:highlight w:val="none"/>
        </w:rPr>
      </w:pPr>
    </w:p>
    <w:p w14:paraId="4998F2A4">
      <w:pPr>
        <w:keepNext w:val="0"/>
        <w:keepLines w:val="0"/>
        <w:pageBreakBefore w:val="0"/>
        <w:kinsoku/>
        <w:wordWrap/>
        <w:overflowPunct/>
        <w:topLinePunct w:val="0"/>
        <w:autoSpaceDE/>
        <w:autoSpaceDN/>
        <w:bidi w:val="0"/>
        <w:spacing w:line="560" w:lineRule="exact"/>
        <w:ind w:firstLine="640"/>
        <w:rPr>
          <w:rStyle w:val="24"/>
          <w:rFonts w:ascii="黑体" w:hAnsi="黑体" w:eastAsia="黑体"/>
          <w:b w:val="0"/>
          <w:spacing w:val="-4"/>
          <w:sz w:val="32"/>
          <w:szCs w:val="32"/>
          <w:highlight w:val="none"/>
        </w:rPr>
      </w:pPr>
    </w:p>
    <w:p w14:paraId="5C8932AF">
      <w:pPr>
        <w:keepNext w:val="0"/>
        <w:keepLines w:val="0"/>
        <w:pageBreakBefore w:val="0"/>
        <w:kinsoku/>
        <w:wordWrap/>
        <w:overflowPunct/>
        <w:topLinePunct w:val="0"/>
        <w:autoSpaceDE/>
        <w:autoSpaceDN/>
        <w:bidi w:val="0"/>
        <w:spacing w:line="560" w:lineRule="exact"/>
        <w:rPr>
          <w:rStyle w:val="24"/>
          <w:rFonts w:ascii="黑体" w:hAnsi="黑体" w:eastAsia="黑体"/>
          <w:b w:val="0"/>
          <w:spacing w:val="-4"/>
          <w:sz w:val="32"/>
          <w:szCs w:val="32"/>
          <w:highlight w:val="none"/>
        </w:rPr>
      </w:pPr>
    </w:p>
    <w:p w14:paraId="47E42F76">
      <w:pPr>
        <w:keepNext w:val="0"/>
        <w:keepLines w:val="0"/>
        <w:pageBreakBefore w:val="0"/>
        <w:kinsoku/>
        <w:wordWrap/>
        <w:overflowPunct/>
        <w:topLinePunct w:val="0"/>
        <w:autoSpaceDE/>
        <w:autoSpaceDN/>
        <w:bidi w:val="0"/>
        <w:spacing w:line="560" w:lineRule="exact"/>
        <w:rPr>
          <w:rFonts w:ascii="黑体" w:hAnsi="黑体" w:eastAsia="黑体" w:cs="黑体"/>
          <w:bCs/>
          <w:sz w:val="32"/>
          <w:szCs w:val="32"/>
          <w:highlight w:val="none"/>
        </w:rPr>
      </w:pPr>
    </w:p>
    <w:p w14:paraId="29FC7147">
      <w:pPr>
        <w:keepNext w:val="0"/>
        <w:keepLines w:val="0"/>
        <w:pageBreakBefore w:val="0"/>
        <w:kinsoku/>
        <w:wordWrap/>
        <w:overflowPunct/>
        <w:topLinePunct w:val="0"/>
        <w:autoSpaceDE/>
        <w:autoSpaceDN/>
        <w:bidi w:val="0"/>
        <w:spacing w:line="560" w:lineRule="exact"/>
        <w:ind w:firstLine="640" w:firstLineChars="200"/>
        <w:rPr>
          <w:rFonts w:ascii="黑体" w:hAnsi="黑体" w:eastAsia="黑体" w:cs="黑体"/>
          <w:bCs/>
          <w:sz w:val="32"/>
          <w:szCs w:val="32"/>
          <w:highlight w:val="none"/>
        </w:rPr>
      </w:pPr>
      <w:r>
        <w:rPr>
          <w:rFonts w:hint="eastAsia" w:ascii="黑体" w:hAnsi="黑体" w:eastAsia="黑体" w:cs="黑体"/>
          <w:bCs/>
          <w:sz w:val="32"/>
          <w:szCs w:val="32"/>
          <w:highlight w:val="none"/>
        </w:rPr>
        <w:t>一、基本情况</w:t>
      </w:r>
    </w:p>
    <w:p w14:paraId="3F7A2C6E">
      <w:pPr>
        <w:keepNext w:val="0"/>
        <w:keepLines w:val="0"/>
        <w:pageBreakBefore w:val="0"/>
        <w:kinsoku/>
        <w:wordWrap/>
        <w:overflowPunct/>
        <w:topLinePunct w:val="0"/>
        <w:autoSpaceDE/>
        <w:autoSpaceDN/>
        <w:bidi w:val="0"/>
        <w:spacing w:line="560" w:lineRule="exact"/>
        <w:ind w:firstLine="641"/>
        <w:rPr>
          <w:rFonts w:ascii="楷体_GB2312" w:hAnsi="楷体_GB2312" w:eastAsia="楷体_GB2312" w:cs="楷体_GB2312"/>
          <w:b/>
          <w:bCs/>
          <w:sz w:val="32"/>
          <w:szCs w:val="32"/>
          <w:highlight w:val="none"/>
        </w:rPr>
      </w:pPr>
      <w:r>
        <w:rPr>
          <w:rFonts w:hint="eastAsia" w:ascii="楷体_GB2312" w:hAnsi="楷体_GB2312" w:eastAsia="楷体_GB2312" w:cs="楷体_GB2312"/>
          <w:b/>
          <w:bCs/>
          <w:sz w:val="32"/>
          <w:szCs w:val="32"/>
          <w:highlight w:val="none"/>
        </w:rPr>
        <w:t>（一）项目概况</w:t>
      </w:r>
    </w:p>
    <w:p w14:paraId="1BFE069B">
      <w:pPr>
        <w:keepNext w:val="0"/>
        <w:keepLines w:val="0"/>
        <w:pageBreakBefore w:val="0"/>
        <w:kinsoku/>
        <w:wordWrap/>
        <w:overflowPunct/>
        <w:topLinePunct w:val="0"/>
        <w:autoSpaceDE/>
        <w:autoSpaceDN/>
        <w:bidi w:val="0"/>
        <w:spacing w:line="560" w:lineRule="exact"/>
        <w:ind w:firstLine="641"/>
        <w:rPr>
          <w:rFonts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1、项目背景</w:t>
      </w:r>
    </w:p>
    <w:p w14:paraId="20BA5370">
      <w:pPr>
        <w:keepNext w:val="0"/>
        <w:keepLines w:val="0"/>
        <w:pageBreakBefore w:val="0"/>
        <w:kinsoku/>
        <w:wordWrap/>
        <w:overflowPunct/>
        <w:topLinePunct w:val="0"/>
        <w:autoSpaceDE/>
        <w:autoSpaceDN/>
        <w:bidi w:val="0"/>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kern w:val="0"/>
          <w:sz w:val="32"/>
          <w:szCs w:val="32"/>
          <w:highlight w:val="none"/>
        </w:rPr>
        <w:t>（1）项目实施的政策背景：</w:t>
      </w:r>
      <w:r>
        <w:rPr>
          <w:rFonts w:hint="eastAsia" w:ascii="仿宋_GB2312" w:hAnsi="仿宋_GB2312" w:eastAsia="仿宋_GB2312" w:cs="仿宋_GB2312"/>
          <w:spacing w:val="-4"/>
          <w:sz w:val="32"/>
          <w:szCs w:val="32"/>
          <w:highlight w:val="none"/>
        </w:rPr>
        <w:t>加</w:t>
      </w:r>
      <w:r>
        <w:rPr>
          <w:rFonts w:hint="eastAsia" w:ascii="仿宋_GB2312" w:hAnsi="仿宋_GB2312" w:eastAsia="仿宋_GB2312" w:cs="仿宋_GB2312"/>
          <w:sz w:val="32"/>
          <w:szCs w:val="32"/>
          <w:highlight w:val="none"/>
        </w:rPr>
        <w:t>强塔城地区外办运行费用的投入，进一步加大外事工作力度，确保社会稳定和长治久安具有重要的意义。进一步改善了地区外办办公条件。</w:t>
      </w:r>
    </w:p>
    <w:p w14:paraId="045E5F8E">
      <w:pPr>
        <w:keepNext w:val="0"/>
        <w:keepLines w:val="0"/>
        <w:pageBreakBefore w:val="0"/>
        <w:kinsoku/>
        <w:wordWrap/>
        <w:overflowPunct/>
        <w:topLinePunct w:val="0"/>
        <w:autoSpaceDE/>
        <w:autoSpaceDN/>
        <w:bidi w:val="0"/>
        <w:spacing w:line="560" w:lineRule="exact"/>
        <w:ind w:firstLine="640" w:firstLineChars="200"/>
        <w:rPr>
          <w:rStyle w:val="24"/>
          <w:rFonts w:hint="eastAsia" w:ascii="仿宋_GB2312" w:hAnsi="仿宋_GB2312" w:eastAsia="仿宋_GB2312" w:cs="仿宋_GB2312"/>
          <w:b/>
          <w:bCs w:val="0"/>
          <w:spacing w:val="-4"/>
          <w:sz w:val="32"/>
          <w:szCs w:val="32"/>
          <w:highlight w:val="none"/>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b w:val="0"/>
          <w:bCs w:val="0"/>
          <w:kern w:val="0"/>
          <w:sz w:val="32"/>
          <w:szCs w:val="32"/>
          <w:highlight w:val="none"/>
        </w:rPr>
        <w:t>项目实施的历史概况：</w:t>
      </w:r>
      <w:r>
        <w:rPr>
          <w:rFonts w:hint="eastAsia" w:ascii="仿宋_GB2312" w:hAnsi="仿宋_GB2312" w:eastAsia="仿宋_GB2312" w:cs="仿宋_GB2312"/>
          <w:b w:val="0"/>
          <w:bCs w:val="0"/>
          <w:kern w:val="2"/>
          <w:sz w:val="32"/>
          <w:szCs w:val="32"/>
          <w:highlight w:val="none"/>
        </w:rPr>
        <w:t>随着地区“一带一路”经济建设的推进，地区外办积极与自治区外办、中国驻外使领馆，以及哈萨克斯坦东哈州旅游对外联络局联系沟通，促进地区对经贸、文化、旅游、体育、科技、医疗合作。为了保障地区外事工作顺利完成，地区财政安排外事专项经费4.675万元。</w:t>
      </w:r>
    </w:p>
    <w:p w14:paraId="50274346">
      <w:pPr>
        <w:keepNext w:val="0"/>
        <w:keepLines w:val="0"/>
        <w:pageBreakBefore w:val="0"/>
        <w:numPr>
          <w:ilvl w:val="0"/>
          <w:numId w:val="1"/>
        </w:numPr>
        <w:kinsoku/>
        <w:wordWrap/>
        <w:overflowPunct/>
        <w:topLinePunct w:val="0"/>
        <w:autoSpaceDE/>
        <w:autoSpaceDN/>
        <w:bidi w:val="0"/>
        <w:spacing w:line="560" w:lineRule="exact"/>
        <w:ind w:firstLine="641"/>
        <w:rPr>
          <w:rFonts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项目主要内容及实施情况</w:t>
      </w:r>
    </w:p>
    <w:p w14:paraId="617CEC43">
      <w:pPr>
        <w:keepNext w:val="0"/>
        <w:keepLines w:val="0"/>
        <w:pageBreakBefore w:val="0"/>
        <w:kinsoku/>
        <w:wordWrap/>
        <w:overflowPunct/>
        <w:topLinePunct w:val="0"/>
        <w:autoSpaceDE/>
        <w:autoSpaceDN/>
        <w:bidi w:val="0"/>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项目主要内容：改善地区外办办公条件，支付办公费、差旅费、培训费等。</w:t>
      </w:r>
    </w:p>
    <w:p w14:paraId="5D621B52">
      <w:pPr>
        <w:keepNext w:val="0"/>
        <w:keepLines w:val="0"/>
        <w:pageBreakBefore w:val="0"/>
        <w:kinsoku/>
        <w:wordWrap/>
        <w:overflowPunct/>
        <w:topLinePunct w:val="0"/>
        <w:autoSpaceDE/>
        <w:autoSpaceDN/>
        <w:bidi w:val="0"/>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项目实施情况：项目目前已经完成实际设立的目标，项目在实施过程中严格按照目标设立的各阶段任务进行开展工作，在前期立项过程中严格把质量关，建立安全防护机制，保证项目实施各阶段安全顺利进行。</w:t>
      </w:r>
    </w:p>
    <w:p w14:paraId="270EFCB6">
      <w:pPr>
        <w:keepNext w:val="0"/>
        <w:keepLines w:val="0"/>
        <w:pageBreakBefore w:val="0"/>
        <w:kinsoku/>
        <w:wordWrap/>
        <w:overflowPunct/>
        <w:topLinePunct w:val="0"/>
        <w:autoSpaceDE/>
        <w:autoSpaceDN/>
        <w:bidi w:val="0"/>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本项目总投资</w:t>
      </w:r>
      <w:r>
        <w:rPr>
          <w:rFonts w:hint="eastAsia" w:ascii="仿宋_GB2312" w:hAnsi="仿宋_GB2312" w:eastAsia="仿宋_GB2312" w:cs="仿宋_GB2312"/>
          <w:kern w:val="0"/>
          <w:sz w:val="32"/>
          <w:szCs w:val="32"/>
          <w:highlight w:val="none"/>
          <w:lang w:val="en-US" w:eastAsia="zh-CN"/>
        </w:rPr>
        <w:t>5万元</w:t>
      </w:r>
      <w:r>
        <w:rPr>
          <w:rFonts w:hint="eastAsia" w:ascii="仿宋_GB2312" w:hAnsi="仿宋_GB2312" w:eastAsia="仿宋_GB2312" w:cs="仿宋_GB2312"/>
          <w:kern w:val="0"/>
          <w:sz w:val="32"/>
          <w:szCs w:val="32"/>
          <w:highlight w:val="none"/>
        </w:rPr>
        <w:t>，其中：财政本级资金</w:t>
      </w:r>
      <w:r>
        <w:rPr>
          <w:rFonts w:hint="eastAsia" w:ascii="仿宋_GB2312" w:hAnsi="仿宋_GB2312" w:eastAsia="仿宋_GB2312" w:cs="仿宋_GB2312"/>
          <w:kern w:val="0"/>
          <w:sz w:val="32"/>
          <w:szCs w:val="32"/>
          <w:highlight w:val="none"/>
          <w:lang w:val="en-US" w:eastAsia="zh-CN"/>
        </w:rPr>
        <w:t>5</w:t>
      </w:r>
      <w:r>
        <w:rPr>
          <w:rFonts w:hint="eastAsia" w:ascii="仿宋_GB2312" w:hAnsi="仿宋_GB2312" w:eastAsia="仿宋_GB2312" w:cs="仿宋_GB2312"/>
          <w:kern w:val="0"/>
          <w:sz w:val="32"/>
          <w:szCs w:val="32"/>
          <w:highlight w:val="none"/>
        </w:rPr>
        <w:t>万元。项目实际支出4.675万元， 支出率为</w:t>
      </w:r>
      <w:r>
        <w:rPr>
          <w:rFonts w:hint="eastAsia" w:ascii="仿宋_GB2312" w:hAnsi="仿宋_GB2312" w:eastAsia="仿宋_GB2312" w:cs="仿宋_GB2312"/>
          <w:kern w:val="0"/>
          <w:sz w:val="32"/>
          <w:szCs w:val="32"/>
          <w:highlight w:val="none"/>
          <w:lang w:val="en-US" w:eastAsia="zh-CN"/>
        </w:rPr>
        <w:t>93.5</w:t>
      </w:r>
      <w:r>
        <w:rPr>
          <w:rFonts w:hint="eastAsia" w:ascii="仿宋_GB2312" w:hAnsi="仿宋_GB2312" w:eastAsia="仿宋_GB2312" w:cs="仿宋_GB2312"/>
          <w:kern w:val="0"/>
          <w:sz w:val="32"/>
          <w:szCs w:val="32"/>
          <w:highlight w:val="none"/>
        </w:rPr>
        <w:t>%。</w:t>
      </w:r>
    </w:p>
    <w:p w14:paraId="5211517D">
      <w:pPr>
        <w:keepNext w:val="0"/>
        <w:keepLines w:val="0"/>
        <w:pageBreakBefore w:val="0"/>
        <w:kinsoku/>
        <w:wordWrap/>
        <w:overflowPunct/>
        <w:topLinePunct w:val="0"/>
        <w:autoSpaceDE/>
        <w:autoSpaceDN/>
        <w:bidi w:val="0"/>
        <w:spacing w:line="560" w:lineRule="exact"/>
        <w:ind w:firstLine="581" w:firstLineChars="181"/>
        <w:rPr>
          <w:rFonts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3、资金投入和使用情况</w:t>
      </w:r>
    </w:p>
    <w:p w14:paraId="3677FF2F">
      <w:pPr>
        <w:keepNext w:val="0"/>
        <w:keepLines w:val="0"/>
        <w:pageBreakBefore w:val="0"/>
        <w:kinsoku/>
        <w:wordWrap/>
        <w:overflowPunct/>
        <w:topLinePunct w:val="0"/>
        <w:autoSpaceDE/>
        <w:autoSpaceDN/>
        <w:bidi w:val="0"/>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（1）资金安排</w:t>
      </w:r>
    </w:p>
    <w:p w14:paraId="49E099E2">
      <w:pPr>
        <w:keepNext w:val="0"/>
        <w:keepLines w:val="0"/>
        <w:pageBreakBefore w:val="0"/>
        <w:kinsoku/>
        <w:wordWrap/>
        <w:overflowPunct/>
        <w:topLinePunct w:val="0"/>
        <w:autoSpaceDE/>
        <w:autoSpaceDN/>
        <w:bidi w:val="0"/>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项目总投资</w:t>
      </w:r>
      <w:r>
        <w:rPr>
          <w:rFonts w:hint="eastAsia" w:ascii="仿宋_GB2312" w:hAnsi="仿宋_GB2312" w:eastAsia="仿宋_GB2312" w:cs="仿宋_GB2312"/>
          <w:kern w:val="0"/>
          <w:sz w:val="32"/>
          <w:szCs w:val="32"/>
          <w:highlight w:val="none"/>
          <w:lang w:val="en-US" w:eastAsia="zh-CN"/>
        </w:rPr>
        <w:t>5</w:t>
      </w:r>
      <w:r>
        <w:rPr>
          <w:rFonts w:hint="eastAsia" w:ascii="仿宋_GB2312" w:hAnsi="仿宋_GB2312" w:eastAsia="仿宋_GB2312" w:cs="仿宋_GB2312"/>
          <w:kern w:val="0"/>
          <w:sz w:val="32"/>
          <w:szCs w:val="32"/>
          <w:highlight w:val="none"/>
        </w:rPr>
        <w:t>万元，根据《预算法》、《自治区党委 自治区人民政府关于全面实施预算绩效管理的实施意见》</w:t>
      </w:r>
      <w:r>
        <w:rPr>
          <w:rFonts w:hint="eastAsia" w:ascii="仿宋_GB2312" w:hAnsi="仿宋_GB2312" w:eastAsia="仿宋_GB2312" w:cs="仿宋_GB2312"/>
          <w:kern w:val="0"/>
          <w:sz w:val="32"/>
          <w:szCs w:val="32"/>
          <w:highlight w:val="none"/>
          <w:lang w:val="en-US" w:eastAsia="zh-CN"/>
        </w:rPr>
        <w:t>的</w:t>
      </w:r>
      <w:r>
        <w:rPr>
          <w:rFonts w:hint="eastAsia" w:ascii="仿宋_GB2312" w:hAnsi="仿宋_GB2312" w:eastAsia="仿宋_GB2312" w:cs="仿宋_GB2312"/>
          <w:kern w:val="0"/>
          <w:sz w:val="32"/>
          <w:szCs w:val="32"/>
          <w:highlight w:val="none"/>
        </w:rPr>
        <w:t>要求，结合《自治区全面实施预算绩效管理的工作方案》等有关文件要求及单位财务制度等相关规定，资金支出符合外事项目专项资金费用范围，做到了专款专用。在项目资金拨付和使用过程中，为确保项目资金的安全性，提高项目资金使用效率，严格遵循项目资金的拨付程序，认真审核项目实施各阶段的相关材料和手续，根据项目实施进展情况拨付资金。</w:t>
      </w:r>
    </w:p>
    <w:p w14:paraId="4D46123D">
      <w:pPr>
        <w:keepNext w:val="0"/>
        <w:keepLines w:val="0"/>
        <w:pageBreakBefore w:val="0"/>
        <w:kinsoku/>
        <w:wordWrap/>
        <w:overflowPunct/>
        <w:topLinePunct w:val="0"/>
        <w:autoSpaceDE/>
        <w:autoSpaceDN/>
        <w:bidi w:val="0"/>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（2）预算资金来源及使用情况</w:t>
      </w:r>
      <w:bookmarkStart w:id="0" w:name="page10"/>
      <w:bookmarkEnd w:id="0"/>
    </w:p>
    <w:p w14:paraId="1C9523FD">
      <w:pPr>
        <w:keepNext w:val="0"/>
        <w:keepLines w:val="0"/>
        <w:pageBreakBefore w:val="0"/>
        <w:kinsoku/>
        <w:wordWrap/>
        <w:overflowPunct/>
        <w:topLinePunct w:val="0"/>
        <w:autoSpaceDE/>
        <w:autoSpaceDN/>
        <w:bidi w:val="0"/>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项目预算资金来源于</w:t>
      </w:r>
      <w:r>
        <w:rPr>
          <w:rFonts w:hint="eastAsia" w:ascii="仿宋_GB2312" w:hAnsi="仿宋_GB2312" w:eastAsia="仿宋_GB2312" w:cs="仿宋_GB2312"/>
          <w:kern w:val="0"/>
          <w:sz w:val="32"/>
          <w:szCs w:val="32"/>
          <w:highlight w:val="none"/>
          <w:lang w:val="en-US" w:eastAsia="zh-CN"/>
        </w:rPr>
        <w:t>财政</w:t>
      </w:r>
      <w:r>
        <w:rPr>
          <w:rFonts w:hint="eastAsia" w:ascii="仿宋_GB2312" w:hAnsi="仿宋_GB2312" w:eastAsia="仿宋_GB2312" w:cs="仿宋_GB2312"/>
          <w:kern w:val="0"/>
          <w:sz w:val="32"/>
          <w:szCs w:val="32"/>
          <w:highlight w:val="none"/>
        </w:rPr>
        <w:t>文件中批复的资金，项目资金到位</w:t>
      </w:r>
      <w:r>
        <w:rPr>
          <w:rFonts w:hint="eastAsia" w:ascii="仿宋_GB2312" w:hAnsi="仿宋_GB2312" w:eastAsia="仿宋_GB2312" w:cs="仿宋_GB2312"/>
          <w:kern w:val="0"/>
          <w:sz w:val="32"/>
          <w:szCs w:val="32"/>
          <w:highlight w:val="none"/>
          <w:lang w:val="en-US" w:eastAsia="zh-CN"/>
        </w:rPr>
        <w:t>5</w:t>
      </w:r>
      <w:r>
        <w:rPr>
          <w:rFonts w:hint="eastAsia" w:ascii="仿宋_GB2312" w:hAnsi="仿宋_GB2312" w:eastAsia="仿宋_GB2312" w:cs="仿宋_GB2312"/>
          <w:kern w:val="0"/>
          <w:sz w:val="32"/>
          <w:szCs w:val="32"/>
          <w:highlight w:val="none"/>
        </w:rPr>
        <w:t>万元，用于支付项目实施进程中的各项费用。</w:t>
      </w:r>
    </w:p>
    <w:p w14:paraId="111CA532">
      <w:pPr>
        <w:keepNext w:val="0"/>
        <w:keepLines w:val="0"/>
        <w:pageBreakBefore w:val="0"/>
        <w:kinsoku/>
        <w:wordWrap/>
        <w:overflowPunct/>
        <w:topLinePunct w:val="0"/>
        <w:autoSpaceDE/>
        <w:autoSpaceDN/>
        <w:bidi w:val="0"/>
        <w:spacing w:line="560" w:lineRule="exact"/>
        <w:ind w:firstLine="581" w:firstLineChars="181"/>
        <w:rPr>
          <w:rFonts w:hint="eastAsia" w:ascii="楷体_GB2312" w:hAnsi="楷体_GB2312" w:eastAsia="楷体_GB2312" w:cs="楷体_GB2312"/>
          <w:b/>
          <w:bCs/>
          <w:sz w:val="32"/>
          <w:szCs w:val="32"/>
          <w:highlight w:val="none"/>
        </w:rPr>
      </w:pPr>
      <w:r>
        <w:rPr>
          <w:rFonts w:hint="eastAsia" w:ascii="楷体_GB2312" w:hAnsi="楷体_GB2312" w:eastAsia="楷体_GB2312" w:cs="楷体_GB2312"/>
          <w:b/>
          <w:bCs/>
          <w:sz w:val="32"/>
          <w:szCs w:val="32"/>
          <w:highlight w:val="none"/>
        </w:rPr>
        <w:t>（二）项目绩效目标</w:t>
      </w:r>
    </w:p>
    <w:p w14:paraId="32AFCBAA">
      <w:pPr>
        <w:keepNext w:val="0"/>
        <w:keepLines w:val="0"/>
        <w:pageBreakBefore w:val="0"/>
        <w:kinsoku/>
        <w:wordWrap/>
        <w:overflowPunct/>
        <w:topLinePunct w:val="0"/>
        <w:autoSpaceDE/>
        <w:autoSpaceDN/>
        <w:bidi w:val="0"/>
        <w:spacing w:line="560" w:lineRule="exact"/>
        <w:ind w:firstLine="581" w:firstLineChars="181"/>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1、总体目标</w:t>
      </w:r>
    </w:p>
    <w:p w14:paraId="4130EE5A">
      <w:pPr>
        <w:keepNext w:val="0"/>
        <w:keepLines w:val="0"/>
        <w:pageBreakBefore w:val="0"/>
        <w:kinsoku/>
        <w:wordWrap/>
        <w:overflowPunct/>
        <w:topLinePunct w:val="0"/>
        <w:autoSpaceDE/>
        <w:autoSpaceDN/>
        <w:bidi w:val="0"/>
        <w:spacing w:line="560" w:lineRule="exact"/>
        <w:ind w:firstLine="641"/>
        <w:rPr>
          <w:highlight w:val="none"/>
        </w:rPr>
      </w:pPr>
      <w:r>
        <w:rPr>
          <w:rFonts w:hint="eastAsia" w:ascii="仿宋_GB2312" w:hAnsi="仿宋_GB2312" w:eastAsia="仿宋_GB2312" w:cs="仿宋_GB2312"/>
          <w:kern w:val="1"/>
          <w:sz w:val="32"/>
          <w:szCs w:val="32"/>
          <w:highlight w:val="none"/>
        </w:rPr>
        <w:t>塔城地区外事办公室工作经费</w:t>
      </w:r>
      <w:r>
        <w:rPr>
          <w:rFonts w:hint="eastAsia" w:ascii="仿宋_GB2312" w:hAnsi="仿宋_GB2312" w:eastAsia="仿宋_GB2312" w:cs="仿宋_GB2312"/>
          <w:kern w:val="1"/>
          <w:sz w:val="32"/>
          <w:szCs w:val="32"/>
          <w:highlight w:val="none"/>
          <w:lang w:val="en-US" w:eastAsia="zh-CN"/>
        </w:rPr>
        <w:t>5</w:t>
      </w:r>
      <w:r>
        <w:rPr>
          <w:rFonts w:hint="eastAsia" w:ascii="仿宋_GB2312" w:hAnsi="仿宋_GB2312" w:eastAsia="仿宋_GB2312" w:cs="仿宋_GB2312"/>
          <w:kern w:val="1"/>
          <w:sz w:val="32"/>
          <w:szCs w:val="32"/>
          <w:highlight w:val="none"/>
        </w:rPr>
        <w:t>万元。根据地委、行署工作安排，地区外办积极与自治区外办沟通联系，保障了外事工作的正常开展运行。主要用于保障办公经费的开支。</w:t>
      </w:r>
    </w:p>
    <w:p w14:paraId="2689D6B4">
      <w:pPr>
        <w:keepNext w:val="0"/>
        <w:keepLines w:val="0"/>
        <w:pageBreakBefore w:val="0"/>
        <w:kinsoku/>
        <w:wordWrap/>
        <w:overflowPunct/>
        <w:topLinePunct w:val="0"/>
        <w:autoSpaceDE/>
        <w:autoSpaceDN/>
        <w:bidi w:val="0"/>
        <w:spacing w:line="560" w:lineRule="exact"/>
        <w:ind w:firstLine="581" w:firstLineChars="181"/>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2、阶段性目标</w:t>
      </w:r>
    </w:p>
    <w:p w14:paraId="5E11A7BF">
      <w:pPr>
        <w:keepNext w:val="0"/>
        <w:keepLines w:val="0"/>
        <w:pageBreakBefore w:val="0"/>
        <w:kinsoku/>
        <w:wordWrap/>
        <w:overflowPunct/>
        <w:topLinePunct w:val="0"/>
        <w:autoSpaceDE/>
        <w:autoSpaceDN/>
        <w:bidi w:val="0"/>
        <w:spacing w:line="560" w:lineRule="exact"/>
        <w:ind w:firstLine="641"/>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（1）前期准备：通过制定项目实施方案，经项目负责人审核通过后，有序开展后续工作经费保障。</w:t>
      </w:r>
    </w:p>
    <w:p w14:paraId="30B7174A">
      <w:pPr>
        <w:keepNext w:val="0"/>
        <w:keepLines w:val="0"/>
        <w:pageBreakBefore w:val="0"/>
        <w:kinsoku/>
        <w:wordWrap/>
        <w:overflowPunct/>
        <w:topLinePunct w:val="0"/>
        <w:autoSpaceDE/>
        <w:autoSpaceDN/>
        <w:bidi w:val="0"/>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（2）组织实施：资金一到位，立即根据项目要求实施项目。项目责任人要求逐一进行项目部署安排，提高项目质量及效率性。</w:t>
      </w:r>
    </w:p>
    <w:p w14:paraId="605A9C8C">
      <w:pPr>
        <w:keepNext w:val="0"/>
        <w:keepLines w:val="0"/>
        <w:pageBreakBefore w:val="0"/>
        <w:kinsoku/>
        <w:wordWrap/>
        <w:overflowPunct/>
        <w:topLinePunct w:val="0"/>
        <w:autoSpaceDE/>
        <w:autoSpaceDN/>
        <w:bidi w:val="0"/>
        <w:spacing w:line="560" w:lineRule="exact"/>
        <w:ind w:firstLine="641"/>
        <w:rPr>
          <w:rFonts w:ascii="黑体" w:hAnsi="黑体" w:eastAsia="黑体"/>
          <w:sz w:val="32"/>
          <w:szCs w:val="32"/>
          <w:highlight w:val="none"/>
        </w:rPr>
      </w:pPr>
      <w:r>
        <w:rPr>
          <w:rFonts w:hint="eastAsia" w:ascii="黑体" w:hAnsi="黑体" w:eastAsia="黑体"/>
          <w:sz w:val="32"/>
          <w:szCs w:val="32"/>
          <w:highlight w:val="none"/>
        </w:rPr>
        <w:t>二、绩效评价工作开展情况</w:t>
      </w:r>
    </w:p>
    <w:p w14:paraId="29823344">
      <w:pPr>
        <w:keepNext w:val="0"/>
        <w:keepLines w:val="0"/>
        <w:pageBreakBefore w:val="0"/>
        <w:kinsoku/>
        <w:wordWrap/>
        <w:overflowPunct/>
        <w:topLinePunct w:val="0"/>
        <w:autoSpaceDE/>
        <w:autoSpaceDN/>
        <w:bidi w:val="0"/>
        <w:spacing w:line="560" w:lineRule="exact"/>
        <w:ind w:firstLine="641"/>
        <w:rPr>
          <w:rFonts w:ascii="楷体_GB2312" w:hAnsi="楷体_GB2312" w:eastAsia="楷体_GB2312" w:cs="楷体_GB2312"/>
          <w:b/>
          <w:bCs/>
          <w:sz w:val="32"/>
          <w:szCs w:val="32"/>
          <w:highlight w:val="none"/>
        </w:rPr>
      </w:pPr>
      <w:r>
        <w:rPr>
          <w:rFonts w:hint="eastAsia" w:ascii="楷体_GB2312" w:hAnsi="楷体_GB2312" w:eastAsia="楷体_GB2312" w:cs="楷体_GB2312"/>
          <w:b/>
          <w:bCs/>
          <w:sz w:val="32"/>
          <w:szCs w:val="32"/>
          <w:highlight w:val="none"/>
        </w:rPr>
        <w:t>（一）绩效评价目的、对象和范围</w:t>
      </w:r>
    </w:p>
    <w:p w14:paraId="1ED6A16C">
      <w:pPr>
        <w:pStyle w:val="19"/>
        <w:keepNext w:val="0"/>
        <w:keepLines w:val="0"/>
        <w:pageBreakBefore w:val="0"/>
        <w:widowControl w:val="0"/>
        <w:kinsoku/>
        <w:wordWrap/>
        <w:overflowPunct/>
        <w:topLinePunct w:val="0"/>
        <w:autoSpaceDE/>
        <w:autoSpaceDN/>
        <w:bidi w:val="0"/>
        <w:spacing w:before="0" w:after="0" w:line="560" w:lineRule="exact"/>
        <w:ind w:firstLine="641"/>
        <w:jc w:val="both"/>
        <w:outlineLvl w:val="9"/>
        <w:rPr>
          <w:rFonts w:ascii="仿宋_GB2312" w:hAnsi="仿宋_GB2312" w:eastAsia="仿宋_GB2312" w:cs="仿宋_GB2312"/>
          <w:b/>
          <w:bCs/>
          <w:highlight w:val="none"/>
        </w:rPr>
      </w:pPr>
      <w:r>
        <w:rPr>
          <w:rFonts w:hint="eastAsia" w:ascii="仿宋_GB2312" w:hAnsi="仿宋_GB2312" w:eastAsia="仿宋_GB2312" w:cs="仿宋_GB2312"/>
          <w:b/>
          <w:bCs/>
          <w:highlight w:val="none"/>
        </w:rPr>
        <w:t>1、绩效评价的目的</w:t>
      </w:r>
    </w:p>
    <w:p w14:paraId="7401F055">
      <w:pPr>
        <w:keepNext w:val="0"/>
        <w:keepLines w:val="0"/>
        <w:pageBreakBefore w:val="0"/>
        <w:kinsoku/>
        <w:wordWrap/>
        <w:overflowPunct/>
        <w:topLinePunct w:val="0"/>
        <w:autoSpaceDE/>
        <w:autoSpaceDN/>
        <w:bidi w:val="0"/>
        <w:spacing w:line="560" w:lineRule="exact"/>
        <w:ind w:firstLine="641"/>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61C25C64">
      <w:pPr>
        <w:keepNext w:val="0"/>
        <w:keepLines w:val="0"/>
        <w:pageBreakBefore w:val="0"/>
        <w:numPr>
          <w:ilvl w:val="0"/>
          <w:numId w:val="2"/>
        </w:numPr>
        <w:kinsoku/>
        <w:wordWrap/>
        <w:overflowPunct/>
        <w:topLinePunct w:val="0"/>
        <w:autoSpaceDE/>
        <w:autoSpaceDN/>
        <w:bidi w:val="0"/>
        <w:spacing w:line="560" w:lineRule="exact"/>
        <w:ind w:firstLine="641"/>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项目在实施前向项目负责人提供财政支出绩效方面的资金管理信息，促进项目支出严格按照资金管理规定进行。</w:t>
      </w:r>
    </w:p>
    <w:p w14:paraId="5315A29C">
      <w:pPr>
        <w:keepNext w:val="0"/>
        <w:keepLines w:val="0"/>
        <w:pageBreakBefore w:val="0"/>
        <w:kinsoku/>
        <w:wordWrap/>
        <w:overflowPunct/>
        <w:topLinePunct w:val="0"/>
        <w:autoSpaceDE/>
        <w:autoSpaceDN/>
        <w:bidi w:val="0"/>
        <w:spacing w:line="560" w:lineRule="exact"/>
        <w:ind w:left="641"/>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（2）项目绩效管理财政支出运行提供及时、有效的信息。</w:t>
      </w:r>
    </w:p>
    <w:p w14:paraId="5027D77B">
      <w:pPr>
        <w:keepNext w:val="0"/>
        <w:keepLines w:val="0"/>
        <w:pageBreakBefore w:val="0"/>
        <w:kinsoku/>
        <w:wordWrap/>
        <w:overflowPunct/>
        <w:topLinePunct w:val="0"/>
        <w:autoSpaceDE/>
        <w:autoSpaceDN/>
        <w:bidi w:val="0"/>
        <w:spacing w:line="560" w:lineRule="exact"/>
        <w:ind w:firstLine="641"/>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综合来看，通过开展有效的财政支出绩效评价管理，达到改进预算管理、控制节约成本，提高预算资金使用效益的目的。</w:t>
      </w:r>
    </w:p>
    <w:p w14:paraId="6C2462F0">
      <w:pPr>
        <w:pStyle w:val="19"/>
        <w:keepNext w:val="0"/>
        <w:keepLines w:val="0"/>
        <w:pageBreakBefore w:val="0"/>
        <w:widowControl w:val="0"/>
        <w:kinsoku/>
        <w:wordWrap/>
        <w:overflowPunct/>
        <w:topLinePunct w:val="0"/>
        <w:autoSpaceDE/>
        <w:autoSpaceDN/>
        <w:bidi w:val="0"/>
        <w:spacing w:before="0" w:after="0" w:line="560" w:lineRule="exact"/>
        <w:ind w:firstLine="641"/>
        <w:jc w:val="both"/>
        <w:outlineLvl w:val="9"/>
        <w:rPr>
          <w:rFonts w:ascii="仿宋_GB2312" w:hAnsi="仿宋_GB2312" w:eastAsia="仿宋_GB2312" w:cs="仿宋_GB2312"/>
          <w:b/>
          <w:bCs/>
          <w:highlight w:val="none"/>
        </w:rPr>
      </w:pPr>
      <w:r>
        <w:rPr>
          <w:rFonts w:hint="eastAsia" w:ascii="仿宋_GB2312" w:hAnsi="仿宋_GB2312" w:eastAsia="仿宋_GB2312" w:cs="仿宋_GB2312"/>
          <w:b/>
          <w:bCs/>
          <w:highlight w:val="none"/>
        </w:rPr>
        <w:t>2、绩效评价的对象</w:t>
      </w:r>
    </w:p>
    <w:p w14:paraId="5AF4E504">
      <w:pPr>
        <w:keepNext w:val="0"/>
        <w:keepLines w:val="0"/>
        <w:pageBreakBefore w:val="0"/>
        <w:kinsoku/>
        <w:wordWrap/>
        <w:overflowPunct/>
        <w:topLinePunct w:val="0"/>
        <w:autoSpaceDE/>
        <w:autoSpaceDN/>
        <w:bidi w:val="0"/>
        <w:spacing w:line="560" w:lineRule="exact"/>
        <w:ind w:firstLine="641"/>
        <w:rPr>
          <w:rFonts w:ascii="仿宋_GB2312" w:hAnsi="仿宋_GB2312" w:eastAsia="仿宋_GB2312" w:cs="仿宋_GB2312"/>
          <w:kern w:val="1"/>
          <w:sz w:val="32"/>
          <w:szCs w:val="32"/>
          <w:highlight w:val="none"/>
        </w:rPr>
      </w:pPr>
      <w:r>
        <w:rPr>
          <w:rFonts w:hint="eastAsia" w:ascii="仿宋_GB2312" w:hAnsi="仿宋_GB2312" w:eastAsia="仿宋_GB2312" w:cs="仿宋_GB2312"/>
          <w:kern w:val="1"/>
          <w:sz w:val="32"/>
          <w:szCs w:val="32"/>
          <w:highlight w:val="none"/>
        </w:rPr>
        <w:t>塔城地区外事办公室工作经费</w:t>
      </w:r>
      <w:r>
        <w:rPr>
          <w:rFonts w:hint="eastAsia" w:ascii="仿宋_GB2312" w:hAnsi="仿宋_GB2312" w:eastAsia="仿宋_GB2312" w:cs="仿宋_GB2312"/>
          <w:kern w:val="1"/>
          <w:sz w:val="32"/>
          <w:szCs w:val="32"/>
          <w:highlight w:val="none"/>
          <w:lang w:val="en-US" w:eastAsia="zh-CN"/>
        </w:rPr>
        <w:t>5</w:t>
      </w:r>
      <w:r>
        <w:rPr>
          <w:rFonts w:hint="eastAsia" w:ascii="仿宋_GB2312" w:hAnsi="仿宋_GB2312" w:eastAsia="仿宋_GB2312" w:cs="仿宋_GB2312"/>
          <w:kern w:val="1"/>
          <w:sz w:val="32"/>
          <w:szCs w:val="32"/>
          <w:highlight w:val="none"/>
        </w:rPr>
        <w:t>万元。为科学、公正地评价财政资金使用绩效，根据项目实际进展情况如实填写自评表，严格按照打分标准进行项目自评，撰写绩效自评报告。</w:t>
      </w:r>
    </w:p>
    <w:p w14:paraId="395C5B00">
      <w:pPr>
        <w:pStyle w:val="19"/>
        <w:keepNext w:val="0"/>
        <w:keepLines w:val="0"/>
        <w:pageBreakBefore w:val="0"/>
        <w:widowControl w:val="0"/>
        <w:kinsoku/>
        <w:wordWrap/>
        <w:overflowPunct/>
        <w:topLinePunct w:val="0"/>
        <w:autoSpaceDE/>
        <w:autoSpaceDN/>
        <w:bidi w:val="0"/>
        <w:spacing w:before="0" w:after="0" w:line="560" w:lineRule="exact"/>
        <w:ind w:firstLine="641"/>
        <w:jc w:val="both"/>
        <w:outlineLvl w:val="9"/>
        <w:rPr>
          <w:rFonts w:ascii="仿宋_GB2312" w:hAnsi="仿宋_GB2312" w:eastAsia="仿宋_GB2312" w:cs="仿宋_GB2312"/>
          <w:b/>
          <w:bCs/>
          <w:highlight w:val="none"/>
        </w:rPr>
      </w:pPr>
      <w:r>
        <w:rPr>
          <w:rFonts w:hint="eastAsia" w:ascii="仿宋_GB2312" w:hAnsi="仿宋_GB2312" w:eastAsia="仿宋_GB2312" w:cs="仿宋_GB2312"/>
          <w:b/>
          <w:bCs/>
          <w:highlight w:val="none"/>
        </w:rPr>
        <w:t>3、绩效评价的范围</w:t>
      </w:r>
    </w:p>
    <w:p w14:paraId="2625254B">
      <w:pPr>
        <w:keepNext w:val="0"/>
        <w:keepLines w:val="0"/>
        <w:pageBreakBefore w:val="0"/>
        <w:kinsoku/>
        <w:wordWrap/>
        <w:overflowPunct/>
        <w:topLinePunct w:val="0"/>
        <w:autoSpaceDE/>
        <w:autoSpaceDN/>
        <w:bidi w:val="0"/>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次评价从项目决策、项目管理、项目产出、项目效益四个方面进行评价，评价对象为外办工作经费资金使用的合理性，投入使用后产生的效益，为外办及干部职工服务能力服务水平改善程度的评价，评价核心为专项资金的支出完成情况和效果。</w:t>
      </w:r>
    </w:p>
    <w:p w14:paraId="46F33C45">
      <w:pPr>
        <w:keepNext w:val="0"/>
        <w:keepLines w:val="0"/>
        <w:pageBreakBefore w:val="0"/>
        <w:kinsoku/>
        <w:wordWrap/>
        <w:overflowPunct/>
        <w:topLinePunct w:val="0"/>
        <w:autoSpaceDE/>
        <w:autoSpaceDN/>
        <w:bidi w:val="0"/>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发现项目管理中存在的问题，进一步加强和规范项目资金管理，完善项目和资金管理办法，指导预算编制和申报绩效目标、优化财政支出结构提供决策参考和依据，以保证项目资金使用管理的规范性、安全性和有效性。</w:t>
      </w:r>
    </w:p>
    <w:p w14:paraId="4425C324">
      <w:pPr>
        <w:keepNext w:val="0"/>
        <w:keepLines w:val="0"/>
        <w:pageBreakBefore w:val="0"/>
        <w:kinsoku/>
        <w:wordWrap/>
        <w:overflowPunct/>
        <w:topLinePunct w:val="0"/>
        <w:autoSpaceDE/>
        <w:autoSpaceDN/>
        <w:bidi w:val="0"/>
        <w:spacing w:line="560" w:lineRule="exact"/>
        <w:ind w:firstLine="641"/>
        <w:rPr>
          <w:rFonts w:ascii="仿宋_GB2312"/>
          <w:highlight w:val="none"/>
        </w:rPr>
      </w:pPr>
      <w:r>
        <w:rPr>
          <w:rFonts w:hint="eastAsia" w:ascii="楷体_GB2312" w:hAnsi="楷体_GB2312" w:eastAsia="楷体_GB2312" w:cs="楷体_GB2312"/>
          <w:b/>
          <w:bCs/>
          <w:sz w:val="32"/>
          <w:szCs w:val="32"/>
          <w:highlight w:val="none"/>
        </w:rPr>
        <w:t>（二）绩效评价原则、评价指标体系（详情见表1）、评价方法、评价标准。</w:t>
      </w:r>
    </w:p>
    <w:p w14:paraId="490D39B7">
      <w:pPr>
        <w:pStyle w:val="19"/>
        <w:keepNext w:val="0"/>
        <w:keepLines w:val="0"/>
        <w:pageBreakBefore w:val="0"/>
        <w:widowControl w:val="0"/>
        <w:kinsoku/>
        <w:wordWrap/>
        <w:overflowPunct/>
        <w:topLinePunct w:val="0"/>
        <w:autoSpaceDE/>
        <w:autoSpaceDN/>
        <w:bidi w:val="0"/>
        <w:spacing w:before="0" w:after="0" w:line="560" w:lineRule="exact"/>
        <w:ind w:firstLine="641"/>
        <w:jc w:val="both"/>
        <w:outlineLvl w:val="9"/>
        <w:rPr>
          <w:rFonts w:ascii="仿宋_GB2312" w:hAnsi="仿宋_GB2312" w:eastAsia="仿宋_GB2312" w:cs="仿宋_GB2312"/>
          <w:b/>
          <w:bCs/>
          <w:highlight w:val="none"/>
        </w:rPr>
      </w:pPr>
      <w:r>
        <w:rPr>
          <w:rFonts w:hint="eastAsia" w:ascii="仿宋_GB2312" w:hAnsi="仿宋_GB2312" w:eastAsia="仿宋_GB2312" w:cs="仿宋_GB2312"/>
          <w:b/>
          <w:bCs/>
          <w:highlight w:val="none"/>
        </w:rPr>
        <w:t>1、绩效评价原则</w:t>
      </w:r>
    </w:p>
    <w:p w14:paraId="6295E711">
      <w:pPr>
        <w:keepNext w:val="0"/>
        <w:keepLines w:val="0"/>
        <w:pageBreakBefore w:val="0"/>
        <w:kinsoku/>
        <w:wordWrap/>
        <w:overflowPunct/>
        <w:topLinePunct w:val="0"/>
        <w:autoSpaceDE/>
        <w:autoSpaceDN/>
        <w:bidi w:val="0"/>
        <w:spacing w:line="560" w:lineRule="exact"/>
        <w:ind w:firstLine="641"/>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本次项目绩效评价遵循以下基本原则：</w:t>
      </w:r>
    </w:p>
    <w:p w14:paraId="5F0D400F">
      <w:pPr>
        <w:pStyle w:val="19"/>
        <w:keepNext w:val="0"/>
        <w:keepLines w:val="0"/>
        <w:pageBreakBefore w:val="0"/>
        <w:kinsoku/>
        <w:wordWrap/>
        <w:overflowPunct/>
        <w:topLinePunct w:val="0"/>
        <w:autoSpaceDE/>
        <w:autoSpaceDN/>
        <w:bidi w:val="0"/>
        <w:spacing w:before="0" w:after="0" w:line="560" w:lineRule="exact"/>
        <w:ind w:firstLine="641"/>
        <w:jc w:val="both"/>
        <w:outlineLvl w:val="9"/>
        <w:rPr>
          <w:rFonts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（1）科学公正。绩效评价应当运用科学合理的方法，按照规范的程序，对项目绩效进行客观、公正的反映。</w:t>
      </w:r>
    </w:p>
    <w:p w14:paraId="342C58F7">
      <w:pPr>
        <w:pStyle w:val="19"/>
        <w:keepNext w:val="0"/>
        <w:keepLines w:val="0"/>
        <w:pageBreakBefore w:val="0"/>
        <w:kinsoku/>
        <w:wordWrap/>
        <w:overflowPunct/>
        <w:topLinePunct w:val="0"/>
        <w:autoSpaceDE/>
        <w:autoSpaceDN/>
        <w:bidi w:val="0"/>
        <w:spacing w:before="0" w:after="0" w:line="560" w:lineRule="exact"/>
        <w:ind w:firstLine="641"/>
        <w:jc w:val="both"/>
        <w:outlineLvl w:val="9"/>
        <w:rPr>
          <w:rFonts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（2）统筹兼顾。单位自评、部门评价和财政评价应职责明确，各有侧重，相互衔接。单位自评应由项目单位自主实施，即“谁支出、谁自评”。部门评价和财政评价应在单位自评的基础上开展。</w:t>
      </w:r>
    </w:p>
    <w:p w14:paraId="43491379">
      <w:pPr>
        <w:pStyle w:val="19"/>
        <w:keepNext w:val="0"/>
        <w:keepLines w:val="0"/>
        <w:pageBreakBefore w:val="0"/>
        <w:kinsoku/>
        <w:wordWrap/>
        <w:overflowPunct/>
        <w:topLinePunct w:val="0"/>
        <w:autoSpaceDE/>
        <w:autoSpaceDN/>
        <w:bidi w:val="0"/>
        <w:spacing w:before="0" w:after="0" w:line="560" w:lineRule="exact"/>
        <w:ind w:firstLine="641"/>
        <w:jc w:val="both"/>
        <w:outlineLvl w:val="9"/>
        <w:rPr>
          <w:rFonts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（3）激励约束。绩效评价结果应与预算安排、政策调整、改进管理实质性挂钩，体现奖优罚劣和激励相容导向，有效要安排、低效要压减、无效要问责。</w:t>
      </w:r>
    </w:p>
    <w:p w14:paraId="3192AC8D">
      <w:pPr>
        <w:pStyle w:val="19"/>
        <w:keepNext w:val="0"/>
        <w:keepLines w:val="0"/>
        <w:pageBreakBefore w:val="0"/>
        <w:kinsoku/>
        <w:wordWrap/>
        <w:overflowPunct/>
        <w:topLinePunct w:val="0"/>
        <w:autoSpaceDE/>
        <w:autoSpaceDN/>
        <w:bidi w:val="0"/>
        <w:spacing w:before="0" w:after="0" w:line="560" w:lineRule="exact"/>
        <w:ind w:firstLine="641"/>
        <w:jc w:val="both"/>
        <w:outlineLvl w:val="9"/>
        <w:rPr>
          <w:rFonts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（4）公开透明。绩效评价结果应依法依规公开，并自觉接受社会监督。</w:t>
      </w:r>
    </w:p>
    <w:p w14:paraId="19483B52">
      <w:pPr>
        <w:pStyle w:val="19"/>
        <w:keepNext w:val="0"/>
        <w:keepLines w:val="0"/>
        <w:pageBreakBefore w:val="0"/>
        <w:widowControl w:val="0"/>
        <w:kinsoku/>
        <w:wordWrap/>
        <w:overflowPunct/>
        <w:topLinePunct w:val="0"/>
        <w:autoSpaceDE/>
        <w:autoSpaceDN/>
        <w:bidi w:val="0"/>
        <w:spacing w:before="0" w:after="0" w:line="560" w:lineRule="exact"/>
        <w:ind w:firstLine="641"/>
        <w:jc w:val="both"/>
        <w:outlineLvl w:val="9"/>
        <w:rPr>
          <w:rFonts w:ascii="仿宋_GB2312" w:hAnsi="仿宋_GB2312" w:eastAsia="仿宋_GB2312" w:cs="仿宋_GB2312"/>
          <w:b/>
          <w:bCs/>
          <w:highlight w:val="none"/>
        </w:rPr>
      </w:pPr>
      <w:r>
        <w:rPr>
          <w:rFonts w:hint="eastAsia" w:ascii="仿宋_GB2312" w:hAnsi="仿宋_GB2312" w:eastAsia="仿宋_GB2312" w:cs="仿宋_GB2312"/>
          <w:b/>
          <w:bCs/>
          <w:highlight w:val="none"/>
        </w:rPr>
        <w:t>2、评价指标体系</w:t>
      </w:r>
    </w:p>
    <w:p w14:paraId="4BCC2683">
      <w:pPr>
        <w:keepNext w:val="0"/>
        <w:keepLines w:val="0"/>
        <w:pageBreakBefore w:val="0"/>
        <w:kinsoku/>
        <w:wordWrap/>
        <w:overflowPunct/>
        <w:topLinePunct w:val="0"/>
        <w:autoSpaceDE/>
        <w:autoSpaceDN/>
        <w:bidi w:val="0"/>
        <w:spacing w:line="560" w:lineRule="exact"/>
        <w:ind w:firstLine="641"/>
        <w:rPr>
          <w:rFonts w:ascii="宋体" w:hAnsi="宋体" w:cs="宋体"/>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绩效评价框架是开展绩效评价的核心。绩效评价框架包括评价准则、关键评价问题、评价指标、数据来源、数据收集方法等。指标体系建立过程如下：</w:t>
      </w:r>
    </w:p>
    <w:p w14:paraId="67274EC4">
      <w:pPr>
        <w:keepNext w:val="0"/>
        <w:keepLines w:val="0"/>
        <w:pageBreakBefore w:val="0"/>
        <w:kinsoku/>
        <w:wordWrap/>
        <w:overflowPunct/>
        <w:topLinePunct w:val="0"/>
        <w:autoSpaceDE/>
        <w:autoSpaceDN/>
        <w:bidi w:val="0"/>
        <w:spacing w:line="560" w:lineRule="exact"/>
        <w:ind w:firstLine="641"/>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（1）确定评价指标</w:t>
      </w:r>
    </w:p>
    <w:p w14:paraId="3C8ADA72">
      <w:pPr>
        <w:keepNext w:val="0"/>
        <w:keepLines w:val="0"/>
        <w:pageBreakBefore w:val="0"/>
        <w:kinsoku/>
        <w:wordWrap/>
        <w:overflowPunct/>
        <w:topLinePunct w:val="0"/>
        <w:autoSpaceDE/>
        <w:autoSpaceDN/>
        <w:bidi w:val="0"/>
        <w:spacing w:line="560" w:lineRule="exact"/>
        <w:ind w:firstLine="641"/>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2B13613D">
      <w:pPr>
        <w:keepNext w:val="0"/>
        <w:keepLines w:val="0"/>
        <w:pageBreakBefore w:val="0"/>
        <w:kinsoku/>
        <w:wordWrap/>
        <w:overflowPunct/>
        <w:topLinePunct w:val="0"/>
        <w:autoSpaceDE/>
        <w:autoSpaceDN/>
        <w:bidi w:val="0"/>
        <w:spacing w:line="560" w:lineRule="exact"/>
        <w:ind w:firstLine="641"/>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（2）确定权重</w:t>
      </w:r>
    </w:p>
    <w:p w14:paraId="2A77FB91">
      <w:pPr>
        <w:keepNext w:val="0"/>
        <w:keepLines w:val="0"/>
        <w:pageBreakBefore w:val="0"/>
        <w:kinsoku/>
        <w:wordWrap/>
        <w:overflowPunct/>
        <w:topLinePunct w:val="0"/>
        <w:autoSpaceDE/>
        <w:autoSpaceDN/>
        <w:bidi w:val="0"/>
        <w:spacing w:line="560" w:lineRule="exact"/>
        <w:ind w:firstLine="641"/>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确定各个指标相对于项目总体绩效的权重分值。在绩效评价指标体系中，项目决策权重为5分，项目过程权重值占5分，项目产出权重值占50分，项目效益权重占40分。</w:t>
      </w:r>
    </w:p>
    <w:p w14:paraId="343C0778">
      <w:pPr>
        <w:keepNext w:val="0"/>
        <w:keepLines w:val="0"/>
        <w:pageBreakBefore w:val="0"/>
        <w:kinsoku/>
        <w:wordWrap/>
        <w:overflowPunct/>
        <w:topLinePunct w:val="0"/>
        <w:autoSpaceDE/>
        <w:autoSpaceDN/>
        <w:bidi w:val="0"/>
        <w:spacing w:line="560" w:lineRule="exact"/>
        <w:ind w:firstLine="641"/>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（3）确定指标标准值</w:t>
      </w:r>
    </w:p>
    <w:p w14:paraId="0E0A072B">
      <w:pPr>
        <w:keepNext w:val="0"/>
        <w:keepLines w:val="0"/>
        <w:pageBreakBefore w:val="0"/>
        <w:kinsoku/>
        <w:wordWrap/>
        <w:overflowPunct/>
        <w:topLinePunct w:val="0"/>
        <w:autoSpaceDE/>
        <w:autoSpaceDN/>
        <w:bidi w:val="0"/>
        <w:spacing w:line="560" w:lineRule="exact"/>
        <w:ind w:firstLine="641"/>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14:paraId="025D25F8">
      <w:pPr>
        <w:pStyle w:val="19"/>
        <w:keepNext w:val="0"/>
        <w:keepLines w:val="0"/>
        <w:pageBreakBefore w:val="0"/>
        <w:kinsoku/>
        <w:wordWrap/>
        <w:overflowPunct/>
        <w:topLinePunct w:val="0"/>
        <w:autoSpaceDE/>
        <w:autoSpaceDN/>
        <w:bidi w:val="0"/>
        <w:spacing w:before="0" w:after="0" w:line="560" w:lineRule="exact"/>
        <w:ind w:firstLine="708" w:firstLineChars="200"/>
        <w:jc w:val="both"/>
        <w:rPr>
          <w:rFonts w:ascii="仿宋_GB2312" w:hAnsi="仿宋_GB2312" w:eastAsia="仿宋_GB2312" w:cs="仿宋_GB2312"/>
          <w:b w:val="0"/>
          <w:bCs w:val="0"/>
          <w:color w:val="000000"/>
          <w:spacing w:val="17"/>
          <w:kern w:val="2"/>
          <w:highlight w:val="none"/>
        </w:rPr>
      </w:pPr>
      <w:r>
        <w:rPr>
          <w:rFonts w:hint="eastAsia" w:ascii="仿宋_GB2312" w:hAnsi="仿宋_GB2312" w:eastAsia="仿宋_GB2312" w:cs="仿宋_GB2312"/>
          <w:b w:val="0"/>
          <w:bCs w:val="0"/>
          <w:color w:val="000000"/>
          <w:spacing w:val="17"/>
          <w:kern w:val="2"/>
          <w:highlight w:val="none"/>
        </w:rPr>
        <w:t>绩效评价总分值100分，根据综合评分结果，评价计分90分-100分（含90分）对应的评分结果级别为优，80-90分（含80分）对应的评分结果级别为良，60-80分（含60分）对应的评分结果级别为中，60分以下对应的评分结果级别为差。</w:t>
      </w:r>
    </w:p>
    <w:p w14:paraId="68587578">
      <w:pPr>
        <w:pStyle w:val="19"/>
        <w:keepNext w:val="0"/>
        <w:keepLines w:val="0"/>
        <w:pageBreakBefore w:val="0"/>
        <w:widowControl w:val="0"/>
        <w:kinsoku/>
        <w:wordWrap/>
        <w:overflowPunct/>
        <w:topLinePunct w:val="0"/>
        <w:autoSpaceDE/>
        <w:autoSpaceDN/>
        <w:bidi w:val="0"/>
        <w:spacing w:before="0" w:after="0" w:line="560" w:lineRule="exact"/>
        <w:jc w:val="both"/>
        <w:outlineLvl w:val="9"/>
        <w:rPr>
          <w:rFonts w:ascii="仿宋_GB2312" w:hAnsi="仿宋_GB2312" w:eastAsia="仿宋_GB2312" w:cs="仿宋_GB2312"/>
          <w:b w:val="0"/>
          <w:bCs w:val="0"/>
          <w:color w:val="000000"/>
          <w:spacing w:val="17"/>
          <w:highlight w:val="none"/>
        </w:rPr>
      </w:pPr>
      <w:r>
        <w:rPr>
          <w:rFonts w:hint="eastAsia" w:ascii="仿宋_GB2312" w:hAnsi="仿宋_GB2312" w:eastAsia="仿宋_GB2312" w:cs="仿宋_GB2312"/>
          <w:b w:val="0"/>
          <w:bCs w:val="0"/>
          <w:color w:val="000000"/>
          <w:spacing w:val="17"/>
          <w:highlight w:val="none"/>
        </w:rPr>
        <w:t>具体评价指标体系详情见附件1</w:t>
      </w:r>
    </w:p>
    <w:p w14:paraId="1096BB61">
      <w:pPr>
        <w:pStyle w:val="19"/>
        <w:keepNext w:val="0"/>
        <w:keepLines w:val="0"/>
        <w:pageBreakBefore w:val="0"/>
        <w:widowControl w:val="0"/>
        <w:kinsoku/>
        <w:wordWrap/>
        <w:overflowPunct/>
        <w:topLinePunct w:val="0"/>
        <w:autoSpaceDE/>
        <w:autoSpaceDN/>
        <w:bidi w:val="0"/>
        <w:spacing w:before="0" w:after="0" w:line="560" w:lineRule="exact"/>
        <w:ind w:firstLine="641"/>
        <w:jc w:val="both"/>
        <w:outlineLvl w:val="9"/>
        <w:rPr>
          <w:rFonts w:ascii="仿宋_GB2312" w:hAnsi="仿宋_GB2312" w:eastAsia="仿宋_GB2312" w:cs="仿宋_GB2312"/>
          <w:b/>
          <w:bCs/>
          <w:highlight w:val="none"/>
        </w:rPr>
      </w:pPr>
      <w:r>
        <w:rPr>
          <w:rFonts w:hint="eastAsia" w:ascii="仿宋_GB2312" w:hAnsi="仿宋_GB2312" w:eastAsia="仿宋_GB2312" w:cs="仿宋_GB2312"/>
          <w:b/>
          <w:bCs/>
          <w:highlight w:val="none"/>
        </w:rPr>
        <w:t>3、绩效评价方法</w:t>
      </w:r>
    </w:p>
    <w:p w14:paraId="613C3815">
      <w:pPr>
        <w:keepNext w:val="0"/>
        <w:keepLines w:val="0"/>
        <w:pageBreakBefore w:val="0"/>
        <w:kinsoku/>
        <w:wordWrap/>
        <w:overflowPunct/>
        <w:topLinePunct w:val="0"/>
        <w:autoSpaceDE/>
        <w:autoSpaceDN/>
        <w:bidi w:val="0"/>
        <w:spacing w:line="560" w:lineRule="exact"/>
        <w:ind w:firstLine="641"/>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绩效评价从项目决策、项目过程、项目产出、项目效益四个维度进行评价。评价对象为项目目标实施情况，  评价核心为资金的支出完成情况和项目的产出效益。</w:t>
      </w:r>
    </w:p>
    <w:p w14:paraId="0515323B">
      <w:pPr>
        <w:keepNext w:val="0"/>
        <w:keepLines w:val="0"/>
        <w:pageBreakBefore w:val="0"/>
        <w:kinsoku/>
        <w:wordWrap/>
        <w:overflowPunct/>
        <w:topLinePunct w:val="0"/>
        <w:autoSpaceDE/>
        <w:autoSpaceDN/>
        <w:bidi w:val="0"/>
        <w:spacing w:line="560" w:lineRule="exact"/>
        <w:ind w:firstLine="641"/>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74E06DF5">
      <w:pPr>
        <w:keepNext w:val="0"/>
        <w:keepLines w:val="0"/>
        <w:pageBreakBefore w:val="0"/>
        <w:kinsoku/>
        <w:wordWrap/>
        <w:overflowPunct/>
        <w:topLinePunct w:val="0"/>
        <w:autoSpaceDE/>
        <w:autoSpaceDN/>
        <w:bidi w:val="0"/>
        <w:spacing w:line="560" w:lineRule="exact"/>
        <w:ind w:firstLine="641"/>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（1）比较法</w:t>
      </w:r>
    </w:p>
    <w:p w14:paraId="1A5E992E">
      <w:pPr>
        <w:keepNext w:val="0"/>
        <w:keepLines w:val="0"/>
        <w:pageBreakBefore w:val="0"/>
        <w:kinsoku/>
        <w:wordWrap/>
        <w:overflowPunct/>
        <w:topLinePunct w:val="0"/>
        <w:autoSpaceDE/>
        <w:autoSpaceDN/>
        <w:bidi w:val="0"/>
        <w:spacing w:line="560" w:lineRule="exact"/>
        <w:ind w:firstLine="641"/>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通过对绩效目标与实施效果、历史与当期情况，综合分析绩效目标实现程度。对</w:t>
      </w:r>
      <w:r>
        <w:rPr>
          <w:rFonts w:hint="eastAsia" w:ascii="仿宋_GB2312" w:hAnsi="仿宋_GB2312" w:eastAsia="仿宋_GB2312" w:cs="仿宋_GB2312"/>
          <w:sz w:val="32"/>
          <w:szCs w:val="32"/>
          <w:highlight w:val="none"/>
        </w:rPr>
        <w:t>项目</w:t>
      </w:r>
      <w:r>
        <w:rPr>
          <w:rFonts w:hint="eastAsia" w:ascii="仿宋_GB2312" w:hAnsi="仿宋_GB2312" w:eastAsia="仿宋_GB2312" w:cs="仿宋_GB2312"/>
          <w:color w:val="000000"/>
          <w:spacing w:val="17"/>
          <w:sz w:val="32"/>
          <w:szCs w:val="32"/>
          <w:highlight w:val="none"/>
        </w:rPr>
        <w:t>最终验收情况与年度绩效目标对比、预算资金执行情况等相关因素进行比较。</w:t>
      </w:r>
    </w:p>
    <w:p w14:paraId="3D2D2446">
      <w:pPr>
        <w:keepNext w:val="0"/>
        <w:keepLines w:val="0"/>
        <w:pageBreakBefore w:val="0"/>
        <w:kinsoku/>
        <w:wordWrap/>
        <w:overflowPunct/>
        <w:topLinePunct w:val="0"/>
        <w:autoSpaceDE/>
        <w:autoSpaceDN/>
        <w:bidi w:val="0"/>
        <w:spacing w:line="560" w:lineRule="exact"/>
        <w:ind w:firstLine="641"/>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（2）因素分析法</w:t>
      </w:r>
    </w:p>
    <w:p w14:paraId="6692478D">
      <w:pPr>
        <w:keepNext w:val="0"/>
        <w:keepLines w:val="0"/>
        <w:pageBreakBefore w:val="0"/>
        <w:kinsoku/>
        <w:wordWrap/>
        <w:overflowPunct/>
        <w:topLinePunct w:val="0"/>
        <w:autoSpaceDE/>
        <w:autoSpaceDN/>
        <w:bidi w:val="0"/>
        <w:spacing w:line="560" w:lineRule="exact"/>
        <w:ind w:firstLine="641"/>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通过综合分析影响绩效目标实现、实施效果的内外因素，评价绩效目标实现程度。通过对</w:t>
      </w:r>
      <w:r>
        <w:rPr>
          <w:rFonts w:hint="eastAsia" w:ascii="仿宋_GB2312" w:hAnsi="仿宋_GB2312" w:eastAsia="仿宋_GB2312" w:cs="仿宋_GB2312"/>
          <w:sz w:val="32"/>
          <w:szCs w:val="32"/>
          <w:highlight w:val="none"/>
        </w:rPr>
        <w:t>项目</w:t>
      </w:r>
      <w:r>
        <w:rPr>
          <w:rFonts w:hint="eastAsia" w:ascii="仿宋_GB2312" w:hAnsi="仿宋_GB2312" w:eastAsia="仿宋_GB2312" w:cs="仿宋_GB2312"/>
          <w:color w:val="000000"/>
          <w:spacing w:val="17"/>
          <w:sz w:val="32"/>
          <w:szCs w:val="32"/>
          <w:highlight w:val="none"/>
        </w:rPr>
        <w:t>的开展情况、项目产出数量、成本控制、资金拨付文件及自评报告等相关资料的收集和审核，综合分析各因素对绩效目标实现的影响。</w:t>
      </w:r>
    </w:p>
    <w:p w14:paraId="688E8749">
      <w:pPr>
        <w:keepNext w:val="0"/>
        <w:keepLines w:val="0"/>
        <w:pageBreakBefore w:val="0"/>
        <w:kinsoku/>
        <w:wordWrap/>
        <w:overflowPunct/>
        <w:topLinePunct w:val="0"/>
        <w:autoSpaceDE/>
        <w:autoSpaceDN/>
        <w:bidi w:val="0"/>
        <w:spacing w:line="560" w:lineRule="exact"/>
        <w:ind w:left="641"/>
        <w:rPr>
          <w:rFonts w:ascii="仿宋_GB2312" w:hAnsi="仿宋_GB2312" w:eastAsia="仿宋_GB2312" w:cs="仿宋_GB2312"/>
          <w:b/>
          <w:bCs/>
          <w:color w:val="000000"/>
          <w:spacing w:val="17"/>
          <w:sz w:val="32"/>
          <w:szCs w:val="32"/>
          <w:highlight w:val="none"/>
        </w:rPr>
      </w:pPr>
      <w:r>
        <w:rPr>
          <w:rFonts w:hint="eastAsia" w:ascii="仿宋_GB2312" w:hAnsi="仿宋_GB2312" w:eastAsia="仿宋_GB2312" w:cs="仿宋_GB2312"/>
          <w:b/>
          <w:bCs/>
          <w:color w:val="000000"/>
          <w:spacing w:val="17"/>
          <w:sz w:val="32"/>
          <w:szCs w:val="32"/>
          <w:highlight w:val="none"/>
        </w:rPr>
        <w:t>4、绩效评价标准</w:t>
      </w:r>
    </w:p>
    <w:p w14:paraId="7C2AD614">
      <w:pPr>
        <w:keepNext w:val="0"/>
        <w:keepLines w:val="0"/>
        <w:pageBreakBefore w:val="0"/>
        <w:kinsoku/>
        <w:wordWrap/>
        <w:overflowPunct/>
        <w:topLinePunct w:val="0"/>
        <w:autoSpaceDE/>
        <w:autoSpaceDN/>
        <w:bidi w:val="0"/>
        <w:spacing w:line="560" w:lineRule="exact"/>
        <w:ind w:firstLine="708" w:firstLineChars="200"/>
        <w:rPr>
          <w:highlight w:val="none"/>
        </w:rPr>
      </w:pPr>
      <w:r>
        <w:rPr>
          <w:rFonts w:hint="eastAsia" w:ascii="仿宋_GB2312" w:hAnsi="仿宋_GB2312" w:eastAsia="仿宋_GB2312" w:cs="仿宋_GB2312"/>
          <w:color w:val="000000"/>
          <w:spacing w:val="17"/>
          <w:sz w:val="32"/>
          <w:szCs w:val="32"/>
          <w:highlight w:val="none"/>
        </w:rPr>
        <w:t>绩效评价标准通常包括计划标准、行业标准、历史标准等，用于对绩效指标完成情况进行比较。本次评价主要采用了计划标准和行业标准。</w:t>
      </w:r>
    </w:p>
    <w:p w14:paraId="5F6445BF">
      <w:pPr>
        <w:keepNext w:val="0"/>
        <w:keepLines w:val="0"/>
        <w:pageBreakBefore w:val="0"/>
        <w:numPr>
          <w:ilvl w:val="0"/>
          <w:numId w:val="3"/>
        </w:numPr>
        <w:kinsoku/>
        <w:wordWrap/>
        <w:overflowPunct/>
        <w:topLinePunct w:val="0"/>
        <w:autoSpaceDE/>
        <w:autoSpaceDN/>
        <w:bidi w:val="0"/>
        <w:spacing w:line="560" w:lineRule="exact"/>
        <w:ind w:firstLine="641"/>
        <w:rPr>
          <w:rFonts w:ascii="黑体" w:hAnsi="黑体" w:eastAsia="黑体" w:cs="黑体"/>
          <w:sz w:val="32"/>
          <w:szCs w:val="32"/>
          <w:highlight w:val="none"/>
        </w:rPr>
      </w:pPr>
      <w:r>
        <w:rPr>
          <w:rFonts w:hint="eastAsia" w:ascii="黑体" w:hAnsi="黑体" w:eastAsia="黑体" w:cs="黑体"/>
          <w:sz w:val="32"/>
          <w:szCs w:val="32"/>
          <w:highlight w:val="none"/>
        </w:rPr>
        <w:t>综合评价情况及评价结论（附相关评分表）</w:t>
      </w:r>
    </w:p>
    <w:p w14:paraId="7B9AE009">
      <w:pPr>
        <w:pStyle w:val="19"/>
        <w:keepNext w:val="0"/>
        <w:keepLines w:val="0"/>
        <w:pageBreakBefore w:val="0"/>
        <w:widowControl w:val="0"/>
        <w:kinsoku/>
        <w:wordWrap/>
        <w:overflowPunct/>
        <w:topLinePunct w:val="0"/>
        <w:autoSpaceDE/>
        <w:autoSpaceDN/>
        <w:bidi w:val="0"/>
        <w:spacing w:before="0" w:after="0" w:line="560" w:lineRule="exact"/>
        <w:ind w:firstLine="641"/>
        <w:jc w:val="both"/>
        <w:outlineLvl w:val="9"/>
        <w:rPr>
          <w:rFonts w:ascii="仿宋_GB2312" w:hAnsi="仿宋_GB2312" w:eastAsia="仿宋_GB2312" w:cs="仿宋_GB2312"/>
          <w:b w:val="0"/>
          <w:bCs w:val="0"/>
          <w:color w:val="000000"/>
          <w:spacing w:val="17"/>
          <w:kern w:val="2"/>
          <w:highlight w:val="none"/>
        </w:rPr>
      </w:pPr>
      <w:r>
        <w:rPr>
          <w:rFonts w:hint="eastAsia" w:ascii="仿宋_GB2312" w:hAnsi="仿宋_GB2312" w:eastAsia="仿宋_GB2312" w:cs="仿宋_GB2312"/>
          <w:b w:val="0"/>
          <w:bCs w:val="0"/>
          <w:color w:val="000000"/>
          <w:spacing w:val="17"/>
          <w:kern w:val="2"/>
          <w:highlight w:val="none"/>
        </w:rPr>
        <w:t>对外事业务项目进行客观评价，最终评分结果：总得分为</w:t>
      </w:r>
      <w:r>
        <w:rPr>
          <w:rFonts w:hint="eastAsia" w:ascii="仿宋_GB2312" w:hAnsi="仿宋_GB2312" w:eastAsia="仿宋_GB2312" w:cs="仿宋_GB2312"/>
          <w:b w:val="0"/>
          <w:bCs w:val="0"/>
          <w:color w:val="000000"/>
          <w:spacing w:val="17"/>
          <w:kern w:val="2"/>
          <w:highlight w:val="none"/>
          <w:lang w:val="en-US" w:eastAsia="zh-CN"/>
        </w:rPr>
        <w:t>75.13</w:t>
      </w:r>
      <w:r>
        <w:rPr>
          <w:rFonts w:hint="eastAsia" w:ascii="仿宋_GB2312" w:hAnsi="仿宋_GB2312" w:eastAsia="仿宋_GB2312" w:cs="仿宋_GB2312"/>
          <w:b w:val="0"/>
          <w:bCs w:val="0"/>
          <w:color w:val="000000"/>
          <w:spacing w:val="17"/>
          <w:kern w:val="2"/>
          <w:highlight w:val="none"/>
        </w:rPr>
        <w:t>分，属于“中”。其中，项目决策类指标权重为5分，得分为 5分，得分率为 100%。项目过程类指标权重为5分，得分为</w:t>
      </w:r>
      <w:r>
        <w:rPr>
          <w:rFonts w:hint="eastAsia" w:ascii="仿宋_GB2312" w:hAnsi="仿宋_GB2312" w:eastAsia="仿宋_GB2312" w:cs="仿宋_GB2312"/>
          <w:b w:val="0"/>
          <w:bCs w:val="0"/>
          <w:color w:val="000000"/>
          <w:spacing w:val="17"/>
          <w:kern w:val="2"/>
          <w:highlight w:val="none"/>
          <w:lang w:val="en-US" w:eastAsia="zh-CN"/>
        </w:rPr>
        <w:t>4.93</w:t>
      </w:r>
      <w:r>
        <w:rPr>
          <w:rFonts w:hint="eastAsia" w:ascii="仿宋_GB2312" w:hAnsi="仿宋_GB2312" w:eastAsia="仿宋_GB2312" w:cs="仿宋_GB2312"/>
          <w:b w:val="0"/>
          <w:bCs w:val="0"/>
          <w:color w:val="000000"/>
          <w:spacing w:val="17"/>
          <w:kern w:val="2"/>
          <w:highlight w:val="none"/>
        </w:rPr>
        <w:t xml:space="preserve"> 分，得分率为 </w:t>
      </w:r>
      <w:r>
        <w:rPr>
          <w:rFonts w:hint="eastAsia" w:ascii="仿宋_GB2312" w:hAnsi="仿宋_GB2312" w:eastAsia="仿宋_GB2312" w:cs="仿宋_GB2312"/>
          <w:b w:val="0"/>
          <w:bCs w:val="0"/>
          <w:color w:val="000000"/>
          <w:spacing w:val="17"/>
          <w:kern w:val="2"/>
          <w:highlight w:val="none"/>
          <w:lang w:val="en-US" w:eastAsia="zh-CN"/>
        </w:rPr>
        <w:t>98.4</w:t>
      </w:r>
      <w:r>
        <w:rPr>
          <w:rFonts w:hint="eastAsia" w:ascii="仿宋_GB2312" w:hAnsi="仿宋_GB2312" w:eastAsia="仿宋_GB2312" w:cs="仿宋_GB2312"/>
          <w:b w:val="0"/>
          <w:bCs w:val="0"/>
          <w:color w:val="000000"/>
          <w:spacing w:val="17"/>
          <w:kern w:val="2"/>
          <w:highlight w:val="none"/>
        </w:rPr>
        <w:t>%。项目产出类指标权重为50分，得分为</w:t>
      </w:r>
      <w:r>
        <w:rPr>
          <w:rFonts w:hint="eastAsia" w:ascii="仿宋_GB2312" w:hAnsi="仿宋_GB2312" w:eastAsia="仿宋_GB2312" w:cs="仿宋_GB2312"/>
          <w:b w:val="0"/>
          <w:bCs w:val="0"/>
          <w:color w:val="000000"/>
          <w:spacing w:val="17"/>
          <w:kern w:val="2"/>
          <w:highlight w:val="none"/>
          <w:lang w:val="en-US" w:eastAsia="zh-CN"/>
        </w:rPr>
        <w:t>25.2</w:t>
      </w:r>
      <w:r>
        <w:rPr>
          <w:rFonts w:hint="eastAsia" w:ascii="仿宋_GB2312" w:hAnsi="仿宋_GB2312" w:eastAsia="仿宋_GB2312" w:cs="仿宋_GB2312"/>
          <w:b w:val="0"/>
          <w:bCs w:val="0"/>
          <w:color w:val="000000"/>
          <w:spacing w:val="17"/>
          <w:kern w:val="2"/>
          <w:highlight w:val="none"/>
        </w:rPr>
        <w:t xml:space="preserve">分，得分率为 </w:t>
      </w:r>
      <w:r>
        <w:rPr>
          <w:rFonts w:hint="eastAsia" w:ascii="仿宋_GB2312" w:hAnsi="仿宋_GB2312" w:eastAsia="仿宋_GB2312" w:cs="仿宋_GB2312"/>
          <w:b w:val="0"/>
          <w:bCs w:val="0"/>
          <w:color w:val="000000"/>
          <w:spacing w:val="17"/>
          <w:kern w:val="2"/>
          <w:highlight w:val="none"/>
          <w:lang w:val="en-US" w:eastAsia="zh-CN"/>
        </w:rPr>
        <w:t>50.4</w:t>
      </w:r>
      <w:r>
        <w:rPr>
          <w:rFonts w:hint="eastAsia" w:ascii="仿宋_GB2312" w:hAnsi="仿宋_GB2312" w:eastAsia="仿宋_GB2312" w:cs="仿宋_GB2312"/>
          <w:b w:val="0"/>
          <w:bCs w:val="0"/>
          <w:color w:val="000000"/>
          <w:spacing w:val="17"/>
          <w:kern w:val="2"/>
          <w:highlight w:val="none"/>
        </w:rPr>
        <w:t>%。项目效益类指标权重为40分，得分为</w:t>
      </w:r>
      <w:r>
        <w:rPr>
          <w:rFonts w:hint="eastAsia" w:ascii="仿宋_GB2312" w:hAnsi="仿宋_GB2312" w:eastAsia="仿宋_GB2312" w:cs="仿宋_GB2312"/>
          <w:b w:val="0"/>
          <w:bCs w:val="0"/>
          <w:color w:val="000000"/>
          <w:spacing w:val="17"/>
          <w:kern w:val="2"/>
          <w:highlight w:val="none"/>
          <w:lang w:val="en-US" w:eastAsia="zh-CN"/>
        </w:rPr>
        <w:t>40</w:t>
      </w:r>
      <w:r>
        <w:rPr>
          <w:rFonts w:hint="eastAsia" w:ascii="仿宋_GB2312" w:hAnsi="仿宋_GB2312" w:eastAsia="仿宋_GB2312" w:cs="仿宋_GB2312"/>
          <w:b w:val="0"/>
          <w:bCs w:val="0"/>
          <w:color w:val="000000"/>
          <w:spacing w:val="17"/>
          <w:kern w:val="2"/>
          <w:highlight w:val="none"/>
        </w:rPr>
        <w:t>分，得分率为</w:t>
      </w:r>
      <w:r>
        <w:rPr>
          <w:rFonts w:hint="eastAsia" w:ascii="仿宋_GB2312" w:hAnsi="仿宋_GB2312" w:eastAsia="仿宋_GB2312" w:cs="仿宋_GB2312"/>
          <w:b w:val="0"/>
          <w:bCs w:val="0"/>
          <w:color w:val="000000"/>
          <w:spacing w:val="17"/>
          <w:kern w:val="2"/>
          <w:highlight w:val="none"/>
          <w:lang w:val="en-US" w:eastAsia="zh-CN"/>
        </w:rPr>
        <w:t>100</w:t>
      </w:r>
      <w:r>
        <w:rPr>
          <w:rFonts w:hint="eastAsia" w:ascii="仿宋_GB2312" w:hAnsi="仿宋_GB2312" w:eastAsia="仿宋_GB2312" w:cs="仿宋_GB2312"/>
          <w:b w:val="0"/>
          <w:bCs w:val="0"/>
          <w:color w:val="000000"/>
          <w:spacing w:val="17"/>
          <w:kern w:val="2"/>
          <w:highlight w:val="none"/>
        </w:rPr>
        <w:t>%。</w:t>
      </w:r>
    </w:p>
    <w:p w14:paraId="6D127C2A">
      <w:pPr>
        <w:pStyle w:val="19"/>
        <w:keepNext w:val="0"/>
        <w:keepLines w:val="0"/>
        <w:pageBreakBefore w:val="0"/>
        <w:kinsoku/>
        <w:wordWrap/>
        <w:overflowPunct/>
        <w:topLinePunct w:val="0"/>
        <w:autoSpaceDE/>
        <w:autoSpaceDN/>
        <w:bidi w:val="0"/>
        <w:spacing w:before="0" w:after="0" w:line="560" w:lineRule="exact"/>
        <w:rPr>
          <w:rFonts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表1综合评分表</w:t>
      </w:r>
    </w:p>
    <w:p w14:paraId="4EB02DF0">
      <w:pPr>
        <w:keepNext w:val="0"/>
        <w:keepLines w:val="0"/>
        <w:pageBreakBefore w:val="0"/>
        <w:kinsoku/>
        <w:wordWrap/>
        <w:overflowPunct/>
        <w:topLinePunct w:val="0"/>
        <w:autoSpaceDE/>
        <w:autoSpaceDN/>
        <w:bidi w:val="0"/>
        <w:spacing w:line="560" w:lineRule="exact"/>
        <w:rPr>
          <w:highlight w:val="none"/>
        </w:rPr>
      </w:pPr>
    </w:p>
    <w:tbl>
      <w:tblPr>
        <w:tblStyle w:val="22"/>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14:paraId="65C528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14:paraId="5C0F4FBA">
            <w:pPr>
              <w:keepNext w:val="0"/>
              <w:keepLines w:val="0"/>
              <w:pageBreakBefore w:val="0"/>
              <w:widowControl/>
              <w:kinsoku/>
              <w:wordWrap/>
              <w:overflowPunct/>
              <w:topLinePunct w:val="0"/>
              <w:autoSpaceDE/>
              <w:autoSpaceDN/>
              <w:bidi w:val="0"/>
              <w:spacing w:line="560" w:lineRule="exac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一级指标</w:t>
            </w:r>
          </w:p>
        </w:tc>
        <w:tc>
          <w:tcPr>
            <w:tcW w:w="990" w:type="dxa"/>
            <w:shd w:val="clear" w:color="auto" w:fill="BFBFBF"/>
            <w:vAlign w:val="center"/>
          </w:tcPr>
          <w:p w14:paraId="65DBCB2C">
            <w:pPr>
              <w:keepNext w:val="0"/>
              <w:keepLines w:val="0"/>
              <w:pageBreakBefore w:val="0"/>
              <w:widowControl/>
              <w:kinsoku/>
              <w:wordWrap/>
              <w:overflowPunct/>
              <w:topLinePunct w:val="0"/>
              <w:autoSpaceDE/>
              <w:autoSpaceDN/>
              <w:bidi w:val="0"/>
              <w:spacing w:line="560" w:lineRule="exact"/>
              <w:jc w:val="center"/>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分值</w:t>
            </w:r>
          </w:p>
        </w:tc>
        <w:tc>
          <w:tcPr>
            <w:tcW w:w="1283" w:type="dxa"/>
            <w:shd w:val="clear" w:color="auto" w:fill="BFBFBF"/>
            <w:vAlign w:val="center"/>
          </w:tcPr>
          <w:p w14:paraId="5BD82591">
            <w:pPr>
              <w:keepNext w:val="0"/>
              <w:keepLines w:val="0"/>
              <w:pageBreakBefore w:val="0"/>
              <w:widowControl/>
              <w:kinsoku/>
              <w:wordWrap/>
              <w:overflowPunct/>
              <w:topLinePunct w:val="0"/>
              <w:autoSpaceDE/>
              <w:autoSpaceDN/>
              <w:bidi w:val="0"/>
              <w:spacing w:line="560" w:lineRule="exact"/>
              <w:jc w:val="center"/>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二级指标</w:t>
            </w:r>
          </w:p>
        </w:tc>
        <w:tc>
          <w:tcPr>
            <w:tcW w:w="1707" w:type="dxa"/>
            <w:shd w:val="clear" w:color="auto" w:fill="BFBFBF"/>
            <w:vAlign w:val="center"/>
          </w:tcPr>
          <w:p w14:paraId="02D78A98">
            <w:pPr>
              <w:keepNext w:val="0"/>
              <w:keepLines w:val="0"/>
              <w:pageBreakBefore w:val="0"/>
              <w:widowControl/>
              <w:kinsoku/>
              <w:wordWrap/>
              <w:overflowPunct/>
              <w:topLinePunct w:val="0"/>
              <w:autoSpaceDE/>
              <w:autoSpaceDN/>
              <w:bidi w:val="0"/>
              <w:spacing w:line="560" w:lineRule="exact"/>
              <w:jc w:val="center"/>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三级指标</w:t>
            </w:r>
          </w:p>
        </w:tc>
        <w:tc>
          <w:tcPr>
            <w:tcW w:w="727" w:type="dxa"/>
            <w:shd w:val="clear" w:color="auto" w:fill="BFBFBF"/>
            <w:vAlign w:val="center"/>
          </w:tcPr>
          <w:p w14:paraId="39174024">
            <w:pPr>
              <w:keepNext w:val="0"/>
              <w:keepLines w:val="0"/>
              <w:pageBreakBefore w:val="0"/>
              <w:widowControl/>
              <w:kinsoku/>
              <w:wordWrap/>
              <w:overflowPunct/>
              <w:topLinePunct w:val="0"/>
              <w:autoSpaceDE/>
              <w:autoSpaceDN/>
              <w:bidi w:val="0"/>
              <w:spacing w:line="560" w:lineRule="exact"/>
              <w:jc w:val="center"/>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权重</w:t>
            </w:r>
          </w:p>
        </w:tc>
        <w:tc>
          <w:tcPr>
            <w:tcW w:w="1044" w:type="dxa"/>
            <w:shd w:val="clear" w:color="auto" w:fill="BFBFBF"/>
            <w:vAlign w:val="center"/>
          </w:tcPr>
          <w:p w14:paraId="25D40A8C">
            <w:pPr>
              <w:keepNext w:val="0"/>
              <w:keepLines w:val="0"/>
              <w:pageBreakBefore w:val="0"/>
              <w:widowControl/>
              <w:tabs>
                <w:tab w:val="left" w:pos="1333"/>
                <w:tab w:val="center" w:pos="3623"/>
              </w:tabs>
              <w:kinsoku/>
              <w:wordWrap/>
              <w:overflowPunct/>
              <w:topLinePunct w:val="0"/>
              <w:autoSpaceDE/>
              <w:autoSpaceDN/>
              <w:bidi w:val="0"/>
              <w:spacing w:line="560" w:lineRule="exact"/>
              <w:jc w:val="center"/>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目标值</w:t>
            </w:r>
          </w:p>
        </w:tc>
        <w:tc>
          <w:tcPr>
            <w:tcW w:w="924" w:type="dxa"/>
            <w:shd w:val="clear" w:color="auto" w:fill="BFBFBF"/>
            <w:vAlign w:val="center"/>
          </w:tcPr>
          <w:p w14:paraId="3A9CE35F">
            <w:pPr>
              <w:keepNext w:val="0"/>
              <w:keepLines w:val="0"/>
              <w:pageBreakBefore w:val="0"/>
              <w:widowControl/>
              <w:tabs>
                <w:tab w:val="left" w:pos="1333"/>
                <w:tab w:val="center" w:pos="3623"/>
              </w:tabs>
              <w:kinsoku/>
              <w:wordWrap/>
              <w:overflowPunct/>
              <w:topLinePunct w:val="0"/>
              <w:autoSpaceDE/>
              <w:autoSpaceDN/>
              <w:bidi w:val="0"/>
              <w:spacing w:line="560" w:lineRule="exact"/>
              <w:jc w:val="center"/>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业绩值</w:t>
            </w:r>
          </w:p>
        </w:tc>
        <w:tc>
          <w:tcPr>
            <w:tcW w:w="1215" w:type="dxa"/>
            <w:shd w:val="clear" w:color="auto" w:fill="BFBFBF"/>
            <w:vAlign w:val="center"/>
          </w:tcPr>
          <w:p w14:paraId="506A0358">
            <w:pPr>
              <w:keepNext w:val="0"/>
              <w:keepLines w:val="0"/>
              <w:pageBreakBefore w:val="0"/>
              <w:widowControl/>
              <w:tabs>
                <w:tab w:val="left" w:pos="1333"/>
                <w:tab w:val="center" w:pos="3623"/>
              </w:tabs>
              <w:kinsoku/>
              <w:wordWrap/>
              <w:overflowPunct/>
              <w:topLinePunct w:val="0"/>
              <w:autoSpaceDE/>
              <w:autoSpaceDN/>
              <w:bidi w:val="0"/>
              <w:spacing w:line="560" w:lineRule="exact"/>
              <w:jc w:val="center"/>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得分率</w:t>
            </w:r>
          </w:p>
        </w:tc>
        <w:tc>
          <w:tcPr>
            <w:tcW w:w="960" w:type="dxa"/>
            <w:shd w:val="clear" w:color="auto" w:fill="BFBFBF"/>
            <w:vAlign w:val="center"/>
          </w:tcPr>
          <w:p w14:paraId="66DCEE3D">
            <w:pPr>
              <w:keepNext w:val="0"/>
              <w:keepLines w:val="0"/>
              <w:pageBreakBefore w:val="0"/>
              <w:widowControl/>
              <w:tabs>
                <w:tab w:val="left" w:pos="1333"/>
                <w:tab w:val="center" w:pos="3623"/>
              </w:tabs>
              <w:kinsoku/>
              <w:wordWrap/>
              <w:overflowPunct/>
              <w:topLinePunct w:val="0"/>
              <w:autoSpaceDE/>
              <w:autoSpaceDN/>
              <w:bidi w:val="0"/>
              <w:spacing w:line="560" w:lineRule="exact"/>
              <w:jc w:val="center"/>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得分</w:t>
            </w:r>
          </w:p>
        </w:tc>
      </w:tr>
      <w:tr w14:paraId="5FB934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003097E7">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决策　</w:t>
            </w:r>
          </w:p>
          <w:p w14:paraId="14C6B852">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p w14:paraId="470B097B">
            <w:pPr>
              <w:keepNext w:val="0"/>
              <w:keepLines w:val="0"/>
              <w:pageBreakBefore w:val="0"/>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p w14:paraId="0E604B1F">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990" w:type="dxa"/>
            <w:vMerge w:val="restart"/>
            <w:shd w:val="clear" w:color="auto" w:fill="FFFFFF"/>
            <w:vAlign w:val="center"/>
          </w:tcPr>
          <w:p w14:paraId="11CEF76C">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kern w:val="0"/>
                <w:sz w:val="22"/>
                <w:szCs w:val="22"/>
                <w:highlight w:val="none"/>
              </w:rPr>
              <w:t>5分</w:t>
            </w:r>
          </w:p>
        </w:tc>
        <w:tc>
          <w:tcPr>
            <w:tcW w:w="1283" w:type="dxa"/>
            <w:vMerge w:val="restart"/>
            <w:shd w:val="clear" w:color="auto" w:fill="FFFFFF"/>
            <w:vAlign w:val="center"/>
          </w:tcPr>
          <w:p w14:paraId="11B9D5F7">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项目立项　</w:t>
            </w:r>
          </w:p>
        </w:tc>
        <w:tc>
          <w:tcPr>
            <w:tcW w:w="1707" w:type="dxa"/>
            <w:shd w:val="clear" w:color="auto" w:fill="FFFFFF"/>
            <w:vAlign w:val="center"/>
          </w:tcPr>
          <w:p w14:paraId="5033E629">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立项依据</w:t>
            </w:r>
          </w:p>
          <w:p w14:paraId="13CFC195">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充分性</w:t>
            </w:r>
          </w:p>
        </w:tc>
        <w:tc>
          <w:tcPr>
            <w:tcW w:w="727" w:type="dxa"/>
            <w:shd w:val="clear" w:color="auto" w:fill="FFFFFF"/>
            <w:vAlign w:val="center"/>
          </w:tcPr>
          <w:p w14:paraId="51ADB40D">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0.5</w:t>
            </w:r>
          </w:p>
        </w:tc>
        <w:tc>
          <w:tcPr>
            <w:tcW w:w="1044" w:type="dxa"/>
            <w:shd w:val="clear" w:color="auto" w:fill="FFFFFF"/>
            <w:vAlign w:val="center"/>
          </w:tcPr>
          <w:p w14:paraId="32E8DAFA">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0.5</w:t>
            </w:r>
          </w:p>
        </w:tc>
        <w:tc>
          <w:tcPr>
            <w:tcW w:w="924" w:type="dxa"/>
            <w:shd w:val="clear" w:color="auto" w:fill="FFFFFF"/>
            <w:vAlign w:val="center"/>
          </w:tcPr>
          <w:p w14:paraId="07828819">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0.5</w:t>
            </w:r>
          </w:p>
        </w:tc>
        <w:tc>
          <w:tcPr>
            <w:tcW w:w="1215" w:type="dxa"/>
            <w:shd w:val="clear" w:color="auto" w:fill="FFFFFF"/>
            <w:vAlign w:val="center"/>
          </w:tcPr>
          <w:p w14:paraId="38FC8E44">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100%</w:t>
            </w:r>
          </w:p>
        </w:tc>
        <w:tc>
          <w:tcPr>
            <w:tcW w:w="960" w:type="dxa"/>
            <w:shd w:val="clear" w:color="auto" w:fill="FFFFFF"/>
            <w:vAlign w:val="center"/>
          </w:tcPr>
          <w:p w14:paraId="6EEDA363">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0.5</w:t>
            </w:r>
          </w:p>
        </w:tc>
      </w:tr>
      <w:tr w14:paraId="7C6EA4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1F0BD4DF">
            <w:pPr>
              <w:keepNext w:val="0"/>
              <w:keepLines w:val="0"/>
              <w:pageBreakBefore w:val="0"/>
              <w:kinsoku/>
              <w:wordWrap/>
              <w:overflowPunct/>
              <w:topLinePunct w:val="0"/>
              <w:autoSpaceDE/>
              <w:autoSpaceDN/>
              <w:bidi w:val="0"/>
              <w:spacing w:line="560" w:lineRule="exact"/>
              <w:jc w:val="center"/>
              <w:rPr>
                <w:rFonts w:ascii="宋体" w:hAnsi="宋体" w:cs="宋体"/>
                <w:color w:val="000000"/>
                <w:kern w:val="0"/>
                <w:sz w:val="22"/>
                <w:szCs w:val="22"/>
                <w:highlight w:val="none"/>
              </w:rPr>
            </w:pPr>
          </w:p>
        </w:tc>
        <w:tc>
          <w:tcPr>
            <w:tcW w:w="990" w:type="dxa"/>
            <w:vMerge w:val="continue"/>
            <w:shd w:val="clear" w:color="auto" w:fill="FFFFFF"/>
            <w:vAlign w:val="center"/>
          </w:tcPr>
          <w:p w14:paraId="70066EE8">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p>
        </w:tc>
        <w:tc>
          <w:tcPr>
            <w:tcW w:w="1283" w:type="dxa"/>
            <w:vMerge w:val="continue"/>
            <w:shd w:val="clear" w:color="auto" w:fill="FFFFFF"/>
            <w:vAlign w:val="center"/>
          </w:tcPr>
          <w:p w14:paraId="100394FC">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p>
        </w:tc>
        <w:tc>
          <w:tcPr>
            <w:tcW w:w="1707" w:type="dxa"/>
            <w:shd w:val="clear" w:color="auto" w:fill="FFFFFF"/>
            <w:vAlign w:val="center"/>
          </w:tcPr>
          <w:p w14:paraId="0D5CAA22">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立项程序</w:t>
            </w:r>
          </w:p>
          <w:p w14:paraId="3DACCF78">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规范性</w:t>
            </w:r>
          </w:p>
        </w:tc>
        <w:tc>
          <w:tcPr>
            <w:tcW w:w="727" w:type="dxa"/>
            <w:shd w:val="clear" w:color="auto" w:fill="FFFFFF"/>
            <w:vAlign w:val="center"/>
          </w:tcPr>
          <w:p w14:paraId="35A5C9E1">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0.5</w:t>
            </w:r>
          </w:p>
        </w:tc>
        <w:tc>
          <w:tcPr>
            <w:tcW w:w="1044" w:type="dxa"/>
            <w:shd w:val="clear" w:color="auto" w:fill="FFFFFF"/>
            <w:vAlign w:val="center"/>
          </w:tcPr>
          <w:p w14:paraId="41D7B7C1">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0.5</w:t>
            </w:r>
          </w:p>
        </w:tc>
        <w:tc>
          <w:tcPr>
            <w:tcW w:w="924" w:type="dxa"/>
            <w:shd w:val="clear" w:color="auto" w:fill="FFFFFF"/>
            <w:vAlign w:val="center"/>
          </w:tcPr>
          <w:p w14:paraId="0FB0917F">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0.5</w:t>
            </w:r>
          </w:p>
        </w:tc>
        <w:tc>
          <w:tcPr>
            <w:tcW w:w="1215" w:type="dxa"/>
            <w:shd w:val="clear" w:color="auto" w:fill="FFFFFF"/>
            <w:vAlign w:val="center"/>
          </w:tcPr>
          <w:p w14:paraId="16A5558B">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100%</w:t>
            </w:r>
          </w:p>
        </w:tc>
        <w:tc>
          <w:tcPr>
            <w:tcW w:w="960" w:type="dxa"/>
            <w:shd w:val="clear" w:color="auto" w:fill="FFFFFF"/>
            <w:vAlign w:val="center"/>
          </w:tcPr>
          <w:p w14:paraId="0A5CB7CF">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0.5</w:t>
            </w:r>
          </w:p>
        </w:tc>
      </w:tr>
      <w:tr w14:paraId="1790EF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5F3C6AFA">
            <w:pPr>
              <w:keepNext w:val="0"/>
              <w:keepLines w:val="0"/>
              <w:pageBreakBefore w:val="0"/>
              <w:kinsoku/>
              <w:wordWrap/>
              <w:overflowPunct/>
              <w:topLinePunct w:val="0"/>
              <w:autoSpaceDE/>
              <w:autoSpaceDN/>
              <w:bidi w:val="0"/>
              <w:spacing w:line="560" w:lineRule="exact"/>
              <w:jc w:val="center"/>
              <w:rPr>
                <w:rFonts w:ascii="宋体" w:hAnsi="宋体" w:cs="宋体"/>
                <w:color w:val="000000"/>
                <w:kern w:val="0"/>
                <w:sz w:val="22"/>
                <w:szCs w:val="22"/>
                <w:highlight w:val="none"/>
              </w:rPr>
            </w:pPr>
          </w:p>
        </w:tc>
        <w:tc>
          <w:tcPr>
            <w:tcW w:w="990" w:type="dxa"/>
            <w:vMerge w:val="continue"/>
            <w:shd w:val="clear" w:color="auto" w:fill="FFFFFF"/>
            <w:vAlign w:val="center"/>
          </w:tcPr>
          <w:p w14:paraId="1D5DB4D1">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p>
        </w:tc>
        <w:tc>
          <w:tcPr>
            <w:tcW w:w="1283" w:type="dxa"/>
            <w:vMerge w:val="restart"/>
            <w:shd w:val="clear" w:color="auto" w:fill="FFFFFF"/>
            <w:vAlign w:val="center"/>
          </w:tcPr>
          <w:p w14:paraId="6588E8DE">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绩效目标　</w:t>
            </w:r>
          </w:p>
        </w:tc>
        <w:tc>
          <w:tcPr>
            <w:tcW w:w="1707" w:type="dxa"/>
            <w:shd w:val="clear" w:color="auto" w:fill="FFFFFF"/>
            <w:vAlign w:val="center"/>
          </w:tcPr>
          <w:p w14:paraId="6DB02974">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绩效目标</w:t>
            </w:r>
          </w:p>
          <w:p w14:paraId="22743E7F">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合理性</w:t>
            </w:r>
          </w:p>
        </w:tc>
        <w:tc>
          <w:tcPr>
            <w:tcW w:w="727" w:type="dxa"/>
            <w:shd w:val="clear" w:color="000000" w:fill="FFFFFF"/>
            <w:vAlign w:val="center"/>
          </w:tcPr>
          <w:p w14:paraId="1E087FA5">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044" w:type="dxa"/>
            <w:shd w:val="clear" w:color="000000" w:fill="FFFFFF"/>
            <w:vAlign w:val="center"/>
          </w:tcPr>
          <w:p w14:paraId="260A1D3B">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924" w:type="dxa"/>
            <w:shd w:val="clear" w:color="000000" w:fill="FFFFFF"/>
            <w:vAlign w:val="center"/>
          </w:tcPr>
          <w:p w14:paraId="1BCD0901">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215" w:type="dxa"/>
            <w:shd w:val="clear" w:color="000000" w:fill="FFFFFF"/>
            <w:vAlign w:val="center"/>
          </w:tcPr>
          <w:p w14:paraId="1DE05777">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100%</w:t>
            </w:r>
          </w:p>
        </w:tc>
        <w:tc>
          <w:tcPr>
            <w:tcW w:w="960" w:type="dxa"/>
            <w:shd w:val="clear" w:color="000000" w:fill="FFFFFF"/>
            <w:vAlign w:val="center"/>
          </w:tcPr>
          <w:p w14:paraId="672B4377">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r>
      <w:tr w14:paraId="69BEEB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6053EEEE">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p>
        </w:tc>
        <w:tc>
          <w:tcPr>
            <w:tcW w:w="990" w:type="dxa"/>
            <w:vMerge w:val="continue"/>
            <w:shd w:val="clear" w:color="auto" w:fill="FFFFFF"/>
            <w:vAlign w:val="center"/>
          </w:tcPr>
          <w:p w14:paraId="33A391C3">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p>
        </w:tc>
        <w:tc>
          <w:tcPr>
            <w:tcW w:w="1283" w:type="dxa"/>
            <w:vMerge w:val="continue"/>
            <w:shd w:val="clear" w:color="auto" w:fill="FFFFFF"/>
            <w:vAlign w:val="center"/>
          </w:tcPr>
          <w:p w14:paraId="087E8EEA">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p>
        </w:tc>
        <w:tc>
          <w:tcPr>
            <w:tcW w:w="1707" w:type="dxa"/>
            <w:shd w:val="clear" w:color="auto" w:fill="FFFFFF"/>
            <w:vAlign w:val="center"/>
          </w:tcPr>
          <w:p w14:paraId="5C692F3E">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绩效指标</w:t>
            </w:r>
          </w:p>
          <w:p w14:paraId="22FDC7EF">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明确性</w:t>
            </w:r>
          </w:p>
        </w:tc>
        <w:tc>
          <w:tcPr>
            <w:tcW w:w="727" w:type="dxa"/>
            <w:shd w:val="clear" w:color="000000" w:fill="FFFFFF"/>
            <w:vAlign w:val="center"/>
          </w:tcPr>
          <w:p w14:paraId="0E215EE6">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044" w:type="dxa"/>
            <w:shd w:val="clear" w:color="000000" w:fill="FFFFFF"/>
            <w:vAlign w:val="center"/>
          </w:tcPr>
          <w:p w14:paraId="7446C0A2">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924" w:type="dxa"/>
            <w:shd w:val="clear" w:color="000000" w:fill="FFFFFF"/>
            <w:vAlign w:val="center"/>
          </w:tcPr>
          <w:p w14:paraId="63BF0A64">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215" w:type="dxa"/>
            <w:shd w:val="clear" w:color="000000" w:fill="FFFFFF"/>
            <w:vAlign w:val="center"/>
          </w:tcPr>
          <w:p w14:paraId="52CF8232">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100%</w:t>
            </w:r>
          </w:p>
        </w:tc>
        <w:tc>
          <w:tcPr>
            <w:tcW w:w="960" w:type="dxa"/>
            <w:shd w:val="clear" w:color="000000" w:fill="FFFFFF"/>
            <w:vAlign w:val="center"/>
          </w:tcPr>
          <w:p w14:paraId="6D38C9AF">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r>
      <w:tr w14:paraId="0F7FB3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512E10BC">
            <w:pPr>
              <w:keepNext w:val="0"/>
              <w:keepLines w:val="0"/>
              <w:pageBreakBefore w:val="0"/>
              <w:kinsoku/>
              <w:wordWrap/>
              <w:overflowPunct/>
              <w:topLinePunct w:val="0"/>
              <w:autoSpaceDE/>
              <w:autoSpaceDN/>
              <w:bidi w:val="0"/>
              <w:spacing w:line="560" w:lineRule="exact"/>
              <w:jc w:val="center"/>
              <w:rPr>
                <w:rFonts w:ascii="宋体" w:hAnsi="宋体" w:cs="宋体"/>
                <w:color w:val="000000"/>
                <w:kern w:val="0"/>
                <w:sz w:val="22"/>
                <w:szCs w:val="22"/>
                <w:highlight w:val="none"/>
              </w:rPr>
            </w:pPr>
          </w:p>
        </w:tc>
        <w:tc>
          <w:tcPr>
            <w:tcW w:w="990" w:type="dxa"/>
            <w:vMerge w:val="continue"/>
            <w:shd w:val="clear" w:color="auto" w:fill="FFFFFF"/>
            <w:vAlign w:val="center"/>
          </w:tcPr>
          <w:p w14:paraId="5D9EE19C">
            <w:pPr>
              <w:keepNext w:val="0"/>
              <w:keepLines w:val="0"/>
              <w:pageBreakBefore w:val="0"/>
              <w:kinsoku/>
              <w:wordWrap/>
              <w:overflowPunct/>
              <w:topLinePunct w:val="0"/>
              <w:autoSpaceDE/>
              <w:autoSpaceDN/>
              <w:bidi w:val="0"/>
              <w:spacing w:line="560" w:lineRule="exact"/>
              <w:jc w:val="center"/>
              <w:rPr>
                <w:rFonts w:ascii="宋体" w:hAnsi="宋体" w:cs="宋体"/>
                <w:color w:val="000000"/>
                <w:kern w:val="0"/>
                <w:sz w:val="22"/>
                <w:szCs w:val="22"/>
                <w:highlight w:val="none"/>
              </w:rPr>
            </w:pPr>
          </w:p>
        </w:tc>
        <w:tc>
          <w:tcPr>
            <w:tcW w:w="1283" w:type="dxa"/>
            <w:vMerge w:val="restart"/>
            <w:shd w:val="clear" w:color="auto" w:fill="FFFFFF"/>
            <w:vAlign w:val="center"/>
          </w:tcPr>
          <w:p w14:paraId="2E596884">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资金投入</w:t>
            </w:r>
          </w:p>
        </w:tc>
        <w:tc>
          <w:tcPr>
            <w:tcW w:w="1707" w:type="dxa"/>
            <w:shd w:val="clear" w:color="auto" w:fill="FFFFFF"/>
            <w:vAlign w:val="center"/>
          </w:tcPr>
          <w:p w14:paraId="4B23CC0A">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预算编制</w:t>
            </w:r>
          </w:p>
          <w:p w14:paraId="3A68F97B">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科学性</w:t>
            </w:r>
          </w:p>
        </w:tc>
        <w:tc>
          <w:tcPr>
            <w:tcW w:w="727" w:type="dxa"/>
            <w:shd w:val="clear" w:color="auto" w:fill="FFFFFF"/>
            <w:vAlign w:val="center"/>
          </w:tcPr>
          <w:p w14:paraId="2E83D29A">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044" w:type="dxa"/>
            <w:shd w:val="clear" w:color="auto" w:fill="FFFFFF"/>
            <w:vAlign w:val="center"/>
          </w:tcPr>
          <w:p w14:paraId="6AC20158">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924" w:type="dxa"/>
            <w:shd w:val="clear" w:color="auto" w:fill="FFFFFF"/>
            <w:vAlign w:val="center"/>
          </w:tcPr>
          <w:p w14:paraId="0C5F9868">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215" w:type="dxa"/>
            <w:shd w:val="clear" w:color="auto" w:fill="FFFFFF"/>
            <w:vAlign w:val="center"/>
          </w:tcPr>
          <w:p w14:paraId="31E1595A">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100%</w:t>
            </w:r>
          </w:p>
        </w:tc>
        <w:tc>
          <w:tcPr>
            <w:tcW w:w="960" w:type="dxa"/>
            <w:shd w:val="clear" w:color="auto" w:fill="FFFFFF"/>
            <w:vAlign w:val="center"/>
          </w:tcPr>
          <w:p w14:paraId="5F7E77C3">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r>
      <w:tr w14:paraId="6FCC58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62C575C7">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p>
        </w:tc>
        <w:tc>
          <w:tcPr>
            <w:tcW w:w="990" w:type="dxa"/>
            <w:vMerge w:val="continue"/>
            <w:shd w:val="clear" w:color="auto" w:fill="FFFFFF"/>
            <w:vAlign w:val="center"/>
          </w:tcPr>
          <w:p w14:paraId="38DAE35E">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p>
        </w:tc>
        <w:tc>
          <w:tcPr>
            <w:tcW w:w="1283" w:type="dxa"/>
            <w:vMerge w:val="continue"/>
            <w:shd w:val="clear" w:color="auto" w:fill="FFFFFF"/>
            <w:vAlign w:val="center"/>
          </w:tcPr>
          <w:p w14:paraId="13CB7539">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p>
        </w:tc>
        <w:tc>
          <w:tcPr>
            <w:tcW w:w="1707" w:type="dxa"/>
            <w:shd w:val="clear" w:color="auto" w:fill="FFFFFF"/>
            <w:vAlign w:val="center"/>
          </w:tcPr>
          <w:p w14:paraId="35B94DBC">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资金分配</w:t>
            </w:r>
          </w:p>
          <w:p w14:paraId="6CFD77FD">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合理性</w:t>
            </w:r>
          </w:p>
        </w:tc>
        <w:tc>
          <w:tcPr>
            <w:tcW w:w="727" w:type="dxa"/>
            <w:shd w:val="clear" w:color="auto" w:fill="FFFFFF"/>
            <w:vAlign w:val="center"/>
          </w:tcPr>
          <w:p w14:paraId="46183406">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044" w:type="dxa"/>
            <w:shd w:val="clear" w:color="auto" w:fill="FFFFFF"/>
            <w:vAlign w:val="center"/>
          </w:tcPr>
          <w:p w14:paraId="5A14496F">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924" w:type="dxa"/>
            <w:shd w:val="clear" w:color="auto" w:fill="FFFFFF"/>
            <w:vAlign w:val="center"/>
          </w:tcPr>
          <w:p w14:paraId="73D5C438">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215" w:type="dxa"/>
            <w:shd w:val="clear" w:color="auto" w:fill="FFFFFF"/>
            <w:vAlign w:val="center"/>
          </w:tcPr>
          <w:p w14:paraId="15F101F8">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100%</w:t>
            </w:r>
          </w:p>
        </w:tc>
        <w:tc>
          <w:tcPr>
            <w:tcW w:w="960" w:type="dxa"/>
            <w:shd w:val="clear" w:color="auto" w:fill="FFFFFF"/>
            <w:vAlign w:val="center"/>
          </w:tcPr>
          <w:p w14:paraId="21E01E36">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r>
      <w:tr w14:paraId="42EF69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47B89107">
            <w:pPr>
              <w:keepNext w:val="0"/>
              <w:keepLines w:val="0"/>
              <w:pageBreakBefore w:val="0"/>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过程</w:t>
            </w:r>
          </w:p>
          <w:p w14:paraId="1A6EAFD4">
            <w:pPr>
              <w:keepNext w:val="0"/>
              <w:keepLines w:val="0"/>
              <w:pageBreakBefore w:val="0"/>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990" w:type="dxa"/>
            <w:vMerge w:val="restart"/>
            <w:shd w:val="clear" w:color="auto" w:fill="FFFFFF"/>
            <w:vAlign w:val="center"/>
          </w:tcPr>
          <w:p w14:paraId="39FA1FD9">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kern w:val="0"/>
                <w:sz w:val="22"/>
                <w:szCs w:val="22"/>
                <w:highlight w:val="none"/>
              </w:rPr>
              <w:t>5分</w:t>
            </w:r>
          </w:p>
        </w:tc>
        <w:tc>
          <w:tcPr>
            <w:tcW w:w="1283" w:type="dxa"/>
            <w:vMerge w:val="restart"/>
            <w:shd w:val="clear" w:color="auto" w:fill="FFFFFF"/>
            <w:vAlign w:val="center"/>
          </w:tcPr>
          <w:p w14:paraId="40A88A0E">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资金管理</w:t>
            </w:r>
          </w:p>
        </w:tc>
        <w:tc>
          <w:tcPr>
            <w:tcW w:w="1707" w:type="dxa"/>
            <w:shd w:val="clear" w:color="auto" w:fill="FFFFFF"/>
            <w:vAlign w:val="center"/>
          </w:tcPr>
          <w:p w14:paraId="5D90AAA7">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资金到位率</w:t>
            </w:r>
          </w:p>
        </w:tc>
        <w:tc>
          <w:tcPr>
            <w:tcW w:w="727" w:type="dxa"/>
            <w:shd w:val="clear" w:color="000000" w:fill="FFFFFF"/>
            <w:vAlign w:val="center"/>
          </w:tcPr>
          <w:p w14:paraId="05515845">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044" w:type="dxa"/>
            <w:shd w:val="clear" w:color="000000" w:fill="FFFFFF"/>
            <w:vAlign w:val="center"/>
          </w:tcPr>
          <w:p w14:paraId="182892F4">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924" w:type="dxa"/>
            <w:shd w:val="clear" w:color="000000" w:fill="FFFFFF"/>
            <w:vAlign w:val="center"/>
          </w:tcPr>
          <w:p w14:paraId="7C614BF4">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215" w:type="dxa"/>
            <w:shd w:val="clear" w:color="000000" w:fill="FFFFFF"/>
            <w:vAlign w:val="center"/>
          </w:tcPr>
          <w:p w14:paraId="0A2DB838">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ascii="宋体" w:hAnsi="宋体" w:cs="宋体"/>
                <w:color w:val="000000"/>
                <w:kern w:val="0"/>
                <w:sz w:val="22"/>
                <w:szCs w:val="22"/>
                <w:highlight w:val="none"/>
              </w:rPr>
            </w:pPr>
            <w:r>
              <w:rPr>
                <w:rFonts w:hint="eastAsia" w:ascii="仿宋" w:hAnsi="仿宋" w:eastAsia="仿宋" w:cs="仿宋"/>
                <w:color w:val="000000"/>
                <w:kern w:val="0"/>
                <w:sz w:val="24"/>
                <w:szCs w:val="24"/>
                <w:highlight w:val="none"/>
              </w:rPr>
              <w:t>100%</w:t>
            </w:r>
          </w:p>
        </w:tc>
        <w:tc>
          <w:tcPr>
            <w:tcW w:w="960" w:type="dxa"/>
            <w:shd w:val="clear" w:color="000000" w:fill="FFFFFF"/>
            <w:vAlign w:val="center"/>
          </w:tcPr>
          <w:p w14:paraId="7D1C3930">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r>
      <w:tr w14:paraId="13D780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5C1B7CC7">
            <w:pPr>
              <w:keepNext w:val="0"/>
              <w:keepLines w:val="0"/>
              <w:pageBreakBefore w:val="0"/>
              <w:kinsoku/>
              <w:wordWrap/>
              <w:overflowPunct/>
              <w:topLinePunct w:val="0"/>
              <w:autoSpaceDE/>
              <w:autoSpaceDN/>
              <w:bidi w:val="0"/>
              <w:spacing w:line="560" w:lineRule="exact"/>
              <w:jc w:val="center"/>
              <w:rPr>
                <w:rFonts w:ascii="宋体" w:hAnsi="宋体" w:cs="宋体"/>
                <w:color w:val="000000"/>
                <w:kern w:val="0"/>
                <w:sz w:val="22"/>
                <w:szCs w:val="22"/>
                <w:highlight w:val="none"/>
              </w:rPr>
            </w:pPr>
          </w:p>
        </w:tc>
        <w:tc>
          <w:tcPr>
            <w:tcW w:w="990" w:type="dxa"/>
            <w:vMerge w:val="continue"/>
            <w:shd w:val="clear" w:color="auto" w:fill="FFFFFF"/>
            <w:vAlign w:val="center"/>
          </w:tcPr>
          <w:p w14:paraId="781DDE1C">
            <w:pPr>
              <w:keepNext w:val="0"/>
              <w:keepLines w:val="0"/>
              <w:pageBreakBefore w:val="0"/>
              <w:kinsoku/>
              <w:wordWrap/>
              <w:overflowPunct/>
              <w:topLinePunct w:val="0"/>
              <w:autoSpaceDE/>
              <w:autoSpaceDN/>
              <w:bidi w:val="0"/>
              <w:spacing w:line="560" w:lineRule="exact"/>
              <w:jc w:val="center"/>
              <w:rPr>
                <w:rFonts w:ascii="宋体" w:hAnsi="宋体" w:cs="宋体"/>
                <w:color w:val="000000"/>
                <w:kern w:val="0"/>
                <w:sz w:val="22"/>
                <w:szCs w:val="22"/>
                <w:highlight w:val="none"/>
              </w:rPr>
            </w:pPr>
          </w:p>
        </w:tc>
        <w:tc>
          <w:tcPr>
            <w:tcW w:w="1283" w:type="dxa"/>
            <w:vMerge w:val="continue"/>
            <w:shd w:val="clear" w:color="auto" w:fill="FFFFFF"/>
            <w:vAlign w:val="center"/>
          </w:tcPr>
          <w:p w14:paraId="765BEB21">
            <w:pPr>
              <w:keepNext w:val="0"/>
              <w:keepLines w:val="0"/>
              <w:pageBreakBefore w:val="0"/>
              <w:kinsoku/>
              <w:wordWrap/>
              <w:overflowPunct/>
              <w:topLinePunct w:val="0"/>
              <w:autoSpaceDE/>
              <w:autoSpaceDN/>
              <w:bidi w:val="0"/>
              <w:spacing w:line="560" w:lineRule="exact"/>
              <w:jc w:val="center"/>
              <w:rPr>
                <w:rFonts w:ascii="宋体" w:hAnsi="宋体" w:cs="宋体"/>
                <w:color w:val="000000"/>
                <w:kern w:val="0"/>
                <w:sz w:val="22"/>
                <w:szCs w:val="22"/>
                <w:highlight w:val="none"/>
              </w:rPr>
            </w:pPr>
          </w:p>
        </w:tc>
        <w:tc>
          <w:tcPr>
            <w:tcW w:w="1707" w:type="dxa"/>
            <w:shd w:val="clear" w:color="auto" w:fill="FFFFFF"/>
            <w:vAlign w:val="center"/>
          </w:tcPr>
          <w:p w14:paraId="534BBB9B">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预算执行率</w:t>
            </w:r>
          </w:p>
        </w:tc>
        <w:tc>
          <w:tcPr>
            <w:tcW w:w="727" w:type="dxa"/>
            <w:shd w:val="clear" w:color="auto" w:fill="FFFFFF"/>
            <w:vAlign w:val="center"/>
          </w:tcPr>
          <w:p w14:paraId="0EF49CC2">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044" w:type="dxa"/>
            <w:shd w:val="clear" w:color="auto" w:fill="FFFFFF"/>
            <w:vAlign w:val="center"/>
          </w:tcPr>
          <w:p w14:paraId="485231F0">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924" w:type="dxa"/>
            <w:shd w:val="clear" w:color="auto" w:fill="FFFFFF"/>
            <w:vAlign w:val="center"/>
          </w:tcPr>
          <w:p w14:paraId="775AA083">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215" w:type="dxa"/>
            <w:shd w:val="clear" w:color="auto" w:fill="FFFFFF"/>
            <w:vAlign w:val="center"/>
          </w:tcPr>
          <w:p w14:paraId="70579E99">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ascii="宋体" w:hAnsi="宋体" w:cs="宋体"/>
                <w:color w:val="000000"/>
                <w:kern w:val="0"/>
                <w:sz w:val="22"/>
                <w:szCs w:val="22"/>
                <w:highlight w:val="none"/>
              </w:rPr>
            </w:pPr>
            <w:r>
              <w:rPr>
                <w:rFonts w:hint="eastAsia" w:ascii="仿宋" w:hAnsi="仿宋" w:eastAsia="仿宋" w:cs="仿宋"/>
                <w:color w:val="000000"/>
                <w:kern w:val="0"/>
                <w:sz w:val="24"/>
                <w:szCs w:val="24"/>
                <w:highlight w:val="none"/>
                <w:lang w:val="en-US" w:eastAsia="zh-CN"/>
              </w:rPr>
              <w:t>93.5</w:t>
            </w:r>
            <w:r>
              <w:rPr>
                <w:rFonts w:hint="eastAsia" w:ascii="仿宋" w:hAnsi="仿宋" w:eastAsia="仿宋" w:cs="仿宋"/>
                <w:color w:val="000000"/>
                <w:kern w:val="0"/>
                <w:sz w:val="24"/>
                <w:szCs w:val="24"/>
                <w:highlight w:val="none"/>
              </w:rPr>
              <w:t>%</w:t>
            </w:r>
          </w:p>
        </w:tc>
        <w:tc>
          <w:tcPr>
            <w:tcW w:w="960" w:type="dxa"/>
            <w:shd w:val="clear" w:color="auto" w:fill="FFFFFF"/>
            <w:vAlign w:val="center"/>
          </w:tcPr>
          <w:p w14:paraId="75BD2E35">
            <w:pPr>
              <w:keepNext w:val="0"/>
              <w:keepLines w:val="0"/>
              <w:pageBreakBefore w:val="0"/>
              <w:widowControl/>
              <w:kinsoku/>
              <w:wordWrap/>
              <w:overflowPunct/>
              <w:topLinePunct w:val="0"/>
              <w:autoSpaceDE/>
              <w:autoSpaceDN/>
              <w:bidi w:val="0"/>
              <w:spacing w:line="560" w:lineRule="exact"/>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0.93</w:t>
            </w:r>
          </w:p>
        </w:tc>
      </w:tr>
      <w:tr w14:paraId="30DB6D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46EA392F">
            <w:pPr>
              <w:keepNext w:val="0"/>
              <w:keepLines w:val="0"/>
              <w:pageBreakBefore w:val="0"/>
              <w:kinsoku/>
              <w:wordWrap/>
              <w:overflowPunct/>
              <w:topLinePunct w:val="0"/>
              <w:autoSpaceDE/>
              <w:autoSpaceDN/>
              <w:bidi w:val="0"/>
              <w:spacing w:line="560" w:lineRule="exact"/>
              <w:jc w:val="center"/>
              <w:rPr>
                <w:rFonts w:ascii="宋体" w:hAnsi="宋体" w:cs="宋体"/>
                <w:color w:val="000000"/>
                <w:kern w:val="0"/>
                <w:sz w:val="22"/>
                <w:szCs w:val="22"/>
                <w:highlight w:val="none"/>
              </w:rPr>
            </w:pPr>
          </w:p>
        </w:tc>
        <w:tc>
          <w:tcPr>
            <w:tcW w:w="990" w:type="dxa"/>
            <w:vMerge w:val="continue"/>
            <w:shd w:val="clear" w:color="auto" w:fill="FFFFFF"/>
            <w:vAlign w:val="center"/>
          </w:tcPr>
          <w:p w14:paraId="152DDD2B">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p>
        </w:tc>
        <w:tc>
          <w:tcPr>
            <w:tcW w:w="1283" w:type="dxa"/>
            <w:shd w:val="clear" w:color="auto" w:fill="FFFFFF"/>
            <w:vAlign w:val="center"/>
          </w:tcPr>
          <w:p w14:paraId="08888038">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资金管理</w:t>
            </w:r>
          </w:p>
        </w:tc>
        <w:tc>
          <w:tcPr>
            <w:tcW w:w="1707" w:type="dxa"/>
            <w:shd w:val="clear" w:color="auto" w:fill="FFFFFF"/>
            <w:vAlign w:val="center"/>
          </w:tcPr>
          <w:p w14:paraId="12BABC41">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资金使用</w:t>
            </w:r>
          </w:p>
          <w:p w14:paraId="7B704899">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合规性</w:t>
            </w:r>
          </w:p>
        </w:tc>
        <w:tc>
          <w:tcPr>
            <w:tcW w:w="727" w:type="dxa"/>
            <w:shd w:val="clear" w:color="000000" w:fill="FFFFFF"/>
            <w:vAlign w:val="center"/>
          </w:tcPr>
          <w:p w14:paraId="76BC2711">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044" w:type="dxa"/>
            <w:shd w:val="clear" w:color="000000" w:fill="FFFFFF"/>
            <w:vAlign w:val="center"/>
          </w:tcPr>
          <w:p w14:paraId="34FE5D78">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924" w:type="dxa"/>
            <w:shd w:val="clear" w:color="000000" w:fill="FFFFFF"/>
            <w:vAlign w:val="center"/>
          </w:tcPr>
          <w:p w14:paraId="342C954F">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215" w:type="dxa"/>
            <w:shd w:val="clear" w:color="000000" w:fill="FFFFFF"/>
            <w:vAlign w:val="center"/>
          </w:tcPr>
          <w:p w14:paraId="19779440">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ascii="宋体" w:hAnsi="宋体" w:cs="宋体"/>
                <w:color w:val="000000"/>
                <w:kern w:val="0"/>
                <w:sz w:val="22"/>
                <w:szCs w:val="22"/>
                <w:highlight w:val="none"/>
              </w:rPr>
            </w:pPr>
            <w:r>
              <w:rPr>
                <w:rFonts w:hint="eastAsia" w:ascii="仿宋" w:hAnsi="仿宋" w:eastAsia="仿宋" w:cs="仿宋"/>
                <w:color w:val="000000"/>
                <w:kern w:val="0"/>
                <w:sz w:val="24"/>
                <w:szCs w:val="24"/>
                <w:highlight w:val="none"/>
              </w:rPr>
              <w:t>100%</w:t>
            </w:r>
          </w:p>
        </w:tc>
        <w:tc>
          <w:tcPr>
            <w:tcW w:w="960" w:type="dxa"/>
            <w:shd w:val="clear" w:color="000000" w:fill="FFFFFF"/>
            <w:vAlign w:val="center"/>
          </w:tcPr>
          <w:p w14:paraId="0FF16320">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r>
      <w:tr w14:paraId="41BFFE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2BBD1F70">
            <w:pPr>
              <w:keepNext w:val="0"/>
              <w:keepLines w:val="0"/>
              <w:pageBreakBefore w:val="0"/>
              <w:kinsoku/>
              <w:wordWrap/>
              <w:overflowPunct/>
              <w:topLinePunct w:val="0"/>
              <w:autoSpaceDE/>
              <w:autoSpaceDN/>
              <w:bidi w:val="0"/>
              <w:spacing w:line="560" w:lineRule="exact"/>
              <w:jc w:val="center"/>
              <w:rPr>
                <w:rFonts w:ascii="宋体" w:hAnsi="宋体" w:cs="宋体"/>
                <w:color w:val="000000"/>
                <w:kern w:val="0"/>
                <w:sz w:val="22"/>
                <w:szCs w:val="22"/>
                <w:highlight w:val="none"/>
              </w:rPr>
            </w:pPr>
          </w:p>
        </w:tc>
        <w:tc>
          <w:tcPr>
            <w:tcW w:w="990" w:type="dxa"/>
            <w:vMerge w:val="continue"/>
            <w:shd w:val="clear" w:color="auto" w:fill="FFFFFF"/>
            <w:vAlign w:val="center"/>
          </w:tcPr>
          <w:p w14:paraId="0C117A6F">
            <w:pPr>
              <w:keepNext w:val="0"/>
              <w:keepLines w:val="0"/>
              <w:pageBreakBefore w:val="0"/>
              <w:kinsoku/>
              <w:wordWrap/>
              <w:overflowPunct/>
              <w:topLinePunct w:val="0"/>
              <w:autoSpaceDE/>
              <w:autoSpaceDN/>
              <w:bidi w:val="0"/>
              <w:spacing w:line="560" w:lineRule="exact"/>
              <w:jc w:val="center"/>
              <w:rPr>
                <w:rFonts w:ascii="宋体" w:hAnsi="宋体" w:cs="宋体"/>
                <w:color w:val="000000"/>
                <w:kern w:val="0"/>
                <w:sz w:val="22"/>
                <w:szCs w:val="22"/>
                <w:highlight w:val="none"/>
              </w:rPr>
            </w:pPr>
          </w:p>
        </w:tc>
        <w:tc>
          <w:tcPr>
            <w:tcW w:w="1283" w:type="dxa"/>
            <w:vMerge w:val="restart"/>
            <w:shd w:val="clear" w:color="auto" w:fill="FFFFFF"/>
            <w:vAlign w:val="center"/>
          </w:tcPr>
          <w:p w14:paraId="1A7CB5E6">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组织实施</w:t>
            </w:r>
          </w:p>
        </w:tc>
        <w:tc>
          <w:tcPr>
            <w:tcW w:w="1707" w:type="dxa"/>
            <w:shd w:val="clear" w:color="auto" w:fill="FFFFFF"/>
            <w:vAlign w:val="center"/>
          </w:tcPr>
          <w:p w14:paraId="6BFF7FB1">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管理制度</w:t>
            </w:r>
          </w:p>
          <w:p w14:paraId="78ADEA1A">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健全性</w:t>
            </w:r>
          </w:p>
        </w:tc>
        <w:tc>
          <w:tcPr>
            <w:tcW w:w="727" w:type="dxa"/>
            <w:shd w:val="clear" w:color="000000" w:fill="FFFFFF"/>
            <w:vAlign w:val="center"/>
          </w:tcPr>
          <w:p w14:paraId="4A70080D">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044" w:type="dxa"/>
            <w:shd w:val="clear" w:color="000000" w:fill="FFFFFF"/>
            <w:vAlign w:val="center"/>
          </w:tcPr>
          <w:p w14:paraId="1007225B">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924" w:type="dxa"/>
            <w:shd w:val="clear" w:color="000000" w:fill="FFFFFF"/>
            <w:vAlign w:val="center"/>
          </w:tcPr>
          <w:p w14:paraId="6427A006">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215" w:type="dxa"/>
            <w:shd w:val="clear" w:color="000000" w:fill="FFFFFF"/>
            <w:vAlign w:val="center"/>
          </w:tcPr>
          <w:p w14:paraId="57D61317">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ascii="宋体" w:hAnsi="宋体" w:cs="宋体"/>
                <w:color w:val="000000"/>
                <w:kern w:val="0"/>
                <w:sz w:val="22"/>
                <w:szCs w:val="22"/>
                <w:highlight w:val="none"/>
              </w:rPr>
            </w:pPr>
            <w:r>
              <w:rPr>
                <w:rFonts w:hint="eastAsia" w:ascii="仿宋" w:hAnsi="仿宋" w:eastAsia="仿宋" w:cs="仿宋"/>
                <w:color w:val="000000"/>
                <w:kern w:val="0"/>
                <w:sz w:val="24"/>
                <w:szCs w:val="24"/>
                <w:highlight w:val="none"/>
              </w:rPr>
              <w:t>100%</w:t>
            </w:r>
          </w:p>
        </w:tc>
        <w:tc>
          <w:tcPr>
            <w:tcW w:w="960" w:type="dxa"/>
            <w:shd w:val="clear" w:color="000000" w:fill="FFFFFF"/>
            <w:vAlign w:val="center"/>
          </w:tcPr>
          <w:p w14:paraId="0AABCA59">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r>
      <w:tr w14:paraId="69D5EC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7948E242">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p>
        </w:tc>
        <w:tc>
          <w:tcPr>
            <w:tcW w:w="990" w:type="dxa"/>
            <w:vMerge w:val="continue"/>
            <w:shd w:val="clear" w:color="auto" w:fill="FFFFFF"/>
            <w:vAlign w:val="center"/>
          </w:tcPr>
          <w:p w14:paraId="42369E3C">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p>
        </w:tc>
        <w:tc>
          <w:tcPr>
            <w:tcW w:w="1283" w:type="dxa"/>
            <w:vMerge w:val="continue"/>
            <w:shd w:val="clear" w:color="auto" w:fill="FFFFFF"/>
            <w:vAlign w:val="center"/>
          </w:tcPr>
          <w:p w14:paraId="1056A166">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p>
        </w:tc>
        <w:tc>
          <w:tcPr>
            <w:tcW w:w="1707" w:type="dxa"/>
            <w:shd w:val="clear" w:color="auto" w:fill="FFFFFF"/>
            <w:vAlign w:val="center"/>
          </w:tcPr>
          <w:p w14:paraId="650A1B9A">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制度执行</w:t>
            </w:r>
          </w:p>
          <w:p w14:paraId="694F7DE2">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有效性</w:t>
            </w:r>
          </w:p>
        </w:tc>
        <w:tc>
          <w:tcPr>
            <w:tcW w:w="727" w:type="dxa"/>
            <w:shd w:val="clear" w:color="000000" w:fill="FFFFFF"/>
            <w:vAlign w:val="center"/>
          </w:tcPr>
          <w:p w14:paraId="18D9C5FB">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044" w:type="dxa"/>
            <w:shd w:val="clear" w:color="000000" w:fill="FFFFFF"/>
            <w:vAlign w:val="center"/>
          </w:tcPr>
          <w:p w14:paraId="095C0FBC">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924" w:type="dxa"/>
            <w:shd w:val="clear" w:color="000000" w:fill="FFFFFF"/>
            <w:vAlign w:val="center"/>
          </w:tcPr>
          <w:p w14:paraId="7A4EC215">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215" w:type="dxa"/>
            <w:shd w:val="clear" w:color="000000" w:fill="FFFFFF"/>
            <w:vAlign w:val="center"/>
          </w:tcPr>
          <w:p w14:paraId="07E428A8">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ascii="宋体" w:hAnsi="宋体" w:cs="宋体"/>
                <w:color w:val="000000"/>
                <w:kern w:val="0"/>
                <w:sz w:val="22"/>
                <w:szCs w:val="22"/>
                <w:highlight w:val="none"/>
              </w:rPr>
            </w:pPr>
            <w:r>
              <w:rPr>
                <w:rFonts w:hint="eastAsia" w:ascii="仿宋" w:hAnsi="仿宋" w:eastAsia="仿宋" w:cs="仿宋"/>
                <w:color w:val="000000"/>
                <w:kern w:val="0"/>
                <w:sz w:val="24"/>
                <w:szCs w:val="24"/>
                <w:highlight w:val="none"/>
              </w:rPr>
              <w:t>100%</w:t>
            </w:r>
          </w:p>
        </w:tc>
        <w:tc>
          <w:tcPr>
            <w:tcW w:w="960" w:type="dxa"/>
            <w:shd w:val="clear" w:color="000000" w:fill="FFFFFF"/>
            <w:vAlign w:val="center"/>
          </w:tcPr>
          <w:p w14:paraId="0AC9BC57">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r>
      <w:tr w14:paraId="3F0786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61188DBF">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产出</w:t>
            </w:r>
          </w:p>
        </w:tc>
        <w:tc>
          <w:tcPr>
            <w:tcW w:w="990" w:type="dxa"/>
            <w:vMerge w:val="restart"/>
            <w:shd w:val="clear" w:color="auto" w:fill="FFFFFF"/>
            <w:vAlign w:val="center"/>
          </w:tcPr>
          <w:p w14:paraId="6F30C71C">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kern w:val="0"/>
                <w:sz w:val="22"/>
                <w:szCs w:val="22"/>
                <w:highlight w:val="none"/>
              </w:rPr>
              <w:t>50分</w:t>
            </w:r>
          </w:p>
        </w:tc>
        <w:tc>
          <w:tcPr>
            <w:tcW w:w="1283" w:type="dxa"/>
            <w:shd w:val="clear" w:color="auto" w:fill="FFFFFF"/>
            <w:vAlign w:val="center"/>
          </w:tcPr>
          <w:p w14:paraId="52FEA6D6">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产出数量</w:t>
            </w:r>
          </w:p>
        </w:tc>
        <w:tc>
          <w:tcPr>
            <w:tcW w:w="1707" w:type="dxa"/>
            <w:shd w:val="clear" w:color="auto" w:fill="FFFFFF"/>
            <w:vAlign w:val="center"/>
          </w:tcPr>
          <w:p w14:paraId="79453B5E">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实际完成率</w:t>
            </w:r>
          </w:p>
        </w:tc>
        <w:tc>
          <w:tcPr>
            <w:tcW w:w="727" w:type="dxa"/>
            <w:shd w:val="clear" w:color="000000" w:fill="FFFFFF"/>
            <w:vAlign w:val="center"/>
          </w:tcPr>
          <w:p w14:paraId="3A20C41A">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15</w:t>
            </w:r>
          </w:p>
        </w:tc>
        <w:tc>
          <w:tcPr>
            <w:tcW w:w="1044" w:type="dxa"/>
            <w:shd w:val="clear" w:color="000000" w:fill="FFFFFF"/>
            <w:vAlign w:val="center"/>
          </w:tcPr>
          <w:p w14:paraId="5857B898">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15</w:t>
            </w:r>
          </w:p>
        </w:tc>
        <w:tc>
          <w:tcPr>
            <w:tcW w:w="924" w:type="dxa"/>
            <w:shd w:val="clear" w:color="000000" w:fill="FFFFFF"/>
            <w:vAlign w:val="center"/>
          </w:tcPr>
          <w:p w14:paraId="0AD12E90">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15</w:t>
            </w:r>
          </w:p>
        </w:tc>
        <w:tc>
          <w:tcPr>
            <w:tcW w:w="1215" w:type="dxa"/>
            <w:shd w:val="clear" w:color="000000" w:fill="FFFFFF"/>
            <w:vAlign w:val="center"/>
          </w:tcPr>
          <w:p w14:paraId="396ACEA3">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仿宋" w:hAnsi="仿宋" w:eastAsia="仿宋" w:cs="仿宋"/>
                <w:color w:val="000000"/>
                <w:kern w:val="0"/>
                <w:sz w:val="24"/>
                <w:szCs w:val="24"/>
                <w:highlight w:val="none"/>
                <w:lang w:val="en-US" w:eastAsia="zh-CN"/>
              </w:rPr>
              <w:t>75%</w:t>
            </w:r>
          </w:p>
        </w:tc>
        <w:tc>
          <w:tcPr>
            <w:tcW w:w="960" w:type="dxa"/>
            <w:shd w:val="clear" w:color="000000" w:fill="FFFFFF"/>
            <w:vAlign w:val="center"/>
          </w:tcPr>
          <w:p w14:paraId="267D5757">
            <w:pPr>
              <w:pageBreakBefore w:val="0"/>
              <w:widowControl/>
              <w:kinsoku/>
              <w:wordWrap/>
              <w:overflowPunct/>
              <w:topLinePunct w:val="0"/>
              <w:autoSpaceDE/>
              <w:autoSpaceDN/>
              <w:bidi w:val="0"/>
              <w:adjustRightInd/>
              <w:snapToGrid/>
              <w:spacing w:line="560" w:lineRule="exact"/>
              <w:jc w:val="both"/>
              <w:rPr>
                <w:rFonts w:ascii="宋体" w:hAnsi="宋体" w:cs="宋体"/>
                <w:color w:val="000000"/>
                <w:kern w:val="0"/>
                <w:sz w:val="22"/>
                <w:szCs w:val="22"/>
                <w:highlight w:val="none"/>
              </w:rPr>
            </w:pPr>
            <w:r>
              <w:rPr>
                <w:rFonts w:hint="eastAsia" w:ascii="仿宋" w:hAnsi="仿宋" w:eastAsia="仿宋" w:cs="仿宋"/>
                <w:color w:val="000000"/>
                <w:kern w:val="0"/>
                <w:sz w:val="24"/>
                <w:szCs w:val="24"/>
                <w:highlight w:val="none"/>
                <w:lang w:val="en-US" w:eastAsia="zh-CN"/>
              </w:rPr>
              <w:t>11.25</w:t>
            </w:r>
          </w:p>
        </w:tc>
      </w:tr>
      <w:tr w14:paraId="14556D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29ADA3A2">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p>
        </w:tc>
        <w:tc>
          <w:tcPr>
            <w:tcW w:w="990" w:type="dxa"/>
            <w:vMerge w:val="continue"/>
            <w:shd w:val="clear" w:color="auto" w:fill="FFFFFF"/>
            <w:vAlign w:val="center"/>
          </w:tcPr>
          <w:p w14:paraId="01E8A8CD">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p>
        </w:tc>
        <w:tc>
          <w:tcPr>
            <w:tcW w:w="1283" w:type="dxa"/>
            <w:shd w:val="clear" w:color="auto" w:fill="FFFFFF"/>
            <w:vAlign w:val="center"/>
          </w:tcPr>
          <w:p w14:paraId="7BE25CD9">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产出质量</w:t>
            </w:r>
          </w:p>
        </w:tc>
        <w:tc>
          <w:tcPr>
            <w:tcW w:w="1707" w:type="dxa"/>
            <w:shd w:val="clear" w:color="auto" w:fill="FFFFFF"/>
            <w:vAlign w:val="center"/>
          </w:tcPr>
          <w:p w14:paraId="3E5B147A">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质量达标率</w:t>
            </w:r>
          </w:p>
        </w:tc>
        <w:tc>
          <w:tcPr>
            <w:tcW w:w="727" w:type="dxa"/>
            <w:shd w:val="clear" w:color="000000" w:fill="FFFFFF"/>
            <w:vAlign w:val="center"/>
          </w:tcPr>
          <w:p w14:paraId="1B6FF3B8">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w:t>
            </w:r>
          </w:p>
        </w:tc>
        <w:tc>
          <w:tcPr>
            <w:tcW w:w="1044" w:type="dxa"/>
            <w:shd w:val="clear" w:color="000000" w:fill="FFFFFF"/>
            <w:vAlign w:val="center"/>
          </w:tcPr>
          <w:p w14:paraId="51D0F795">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w:t>
            </w:r>
          </w:p>
        </w:tc>
        <w:tc>
          <w:tcPr>
            <w:tcW w:w="924" w:type="dxa"/>
            <w:shd w:val="clear" w:color="000000" w:fill="FFFFFF"/>
            <w:vAlign w:val="center"/>
          </w:tcPr>
          <w:p w14:paraId="635F61D2">
            <w:pPr>
              <w:keepNext w:val="0"/>
              <w:keepLines w:val="0"/>
              <w:pageBreakBefore w:val="0"/>
              <w:widowControl/>
              <w:kinsoku/>
              <w:wordWrap/>
              <w:overflowPunct/>
              <w:topLinePunct w:val="0"/>
              <w:autoSpaceDE/>
              <w:autoSpaceDN/>
              <w:bidi w:val="0"/>
              <w:spacing w:line="560" w:lineRule="exact"/>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w:t>
            </w:r>
          </w:p>
        </w:tc>
        <w:tc>
          <w:tcPr>
            <w:tcW w:w="1215" w:type="dxa"/>
            <w:shd w:val="clear" w:color="000000" w:fill="FFFFFF"/>
            <w:vAlign w:val="center"/>
          </w:tcPr>
          <w:p w14:paraId="01654541">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仿宋" w:hAnsi="仿宋" w:eastAsia="仿宋" w:cs="仿宋"/>
                <w:color w:val="000000"/>
                <w:kern w:val="0"/>
                <w:sz w:val="24"/>
                <w:szCs w:val="24"/>
                <w:highlight w:val="none"/>
                <w:lang w:val="en-US" w:eastAsia="zh-CN"/>
              </w:rPr>
              <w:t>50%</w:t>
            </w:r>
          </w:p>
        </w:tc>
        <w:tc>
          <w:tcPr>
            <w:tcW w:w="960" w:type="dxa"/>
            <w:shd w:val="clear" w:color="000000" w:fill="FFFFFF"/>
            <w:vAlign w:val="center"/>
          </w:tcPr>
          <w:p w14:paraId="1629D826">
            <w:pPr>
              <w:pageBreakBefore w:val="0"/>
              <w:widowControl/>
              <w:kinsoku/>
              <w:wordWrap/>
              <w:overflowPunct/>
              <w:topLinePunct w:val="0"/>
              <w:autoSpaceDE/>
              <w:autoSpaceDN/>
              <w:bidi w:val="0"/>
              <w:adjustRightInd/>
              <w:snapToGrid/>
              <w:spacing w:line="560" w:lineRule="exact"/>
              <w:jc w:val="both"/>
              <w:rPr>
                <w:rFonts w:ascii="宋体" w:hAnsi="宋体" w:cs="宋体"/>
                <w:color w:val="000000"/>
                <w:kern w:val="0"/>
                <w:sz w:val="22"/>
                <w:szCs w:val="22"/>
                <w:highlight w:val="none"/>
              </w:rPr>
            </w:pPr>
            <w:r>
              <w:rPr>
                <w:rFonts w:hint="eastAsia" w:ascii="仿宋" w:hAnsi="仿宋" w:eastAsia="仿宋" w:cs="仿宋"/>
                <w:color w:val="000000"/>
                <w:kern w:val="0"/>
                <w:sz w:val="24"/>
                <w:szCs w:val="24"/>
                <w:highlight w:val="none"/>
                <w:lang w:val="en-US" w:eastAsia="zh-CN"/>
              </w:rPr>
              <w:t>5</w:t>
            </w:r>
          </w:p>
        </w:tc>
      </w:tr>
      <w:tr w14:paraId="688C27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0A14CB2D">
            <w:pPr>
              <w:keepNext w:val="0"/>
              <w:keepLines w:val="0"/>
              <w:pageBreakBefore w:val="0"/>
              <w:kinsoku/>
              <w:wordWrap/>
              <w:overflowPunct/>
              <w:topLinePunct w:val="0"/>
              <w:autoSpaceDE/>
              <w:autoSpaceDN/>
              <w:bidi w:val="0"/>
              <w:spacing w:line="560" w:lineRule="exact"/>
              <w:jc w:val="center"/>
              <w:rPr>
                <w:rFonts w:ascii="宋体" w:hAnsi="宋体" w:cs="宋体"/>
                <w:color w:val="000000"/>
                <w:kern w:val="0"/>
                <w:sz w:val="22"/>
                <w:szCs w:val="22"/>
                <w:highlight w:val="none"/>
              </w:rPr>
            </w:pPr>
          </w:p>
        </w:tc>
        <w:tc>
          <w:tcPr>
            <w:tcW w:w="990" w:type="dxa"/>
            <w:vMerge w:val="continue"/>
            <w:shd w:val="clear" w:color="auto" w:fill="FFFFFF"/>
            <w:vAlign w:val="center"/>
          </w:tcPr>
          <w:p w14:paraId="09217FDC">
            <w:pPr>
              <w:keepNext w:val="0"/>
              <w:keepLines w:val="0"/>
              <w:pageBreakBefore w:val="0"/>
              <w:kinsoku/>
              <w:wordWrap/>
              <w:overflowPunct/>
              <w:topLinePunct w:val="0"/>
              <w:autoSpaceDE/>
              <w:autoSpaceDN/>
              <w:bidi w:val="0"/>
              <w:spacing w:line="560" w:lineRule="exact"/>
              <w:jc w:val="center"/>
              <w:rPr>
                <w:rFonts w:ascii="宋体" w:hAnsi="宋体" w:cs="宋体"/>
                <w:color w:val="000000"/>
                <w:kern w:val="0"/>
                <w:sz w:val="22"/>
                <w:szCs w:val="22"/>
                <w:highlight w:val="none"/>
              </w:rPr>
            </w:pPr>
          </w:p>
        </w:tc>
        <w:tc>
          <w:tcPr>
            <w:tcW w:w="1283" w:type="dxa"/>
            <w:shd w:val="clear" w:color="auto" w:fill="FFFFFF"/>
            <w:vAlign w:val="center"/>
          </w:tcPr>
          <w:p w14:paraId="4070FC47">
            <w:pPr>
              <w:keepNext w:val="0"/>
              <w:keepLines w:val="0"/>
              <w:pageBreakBefore w:val="0"/>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产出时效</w:t>
            </w:r>
          </w:p>
        </w:tc>
        <w:tc>
          <w:tcPr>
            <w:tcW w:w="1707" w:type="dxa"/>
            <w:shd w:val="clear" w:color="auto" w:fill="FFFFFF"/>
            <w:vAlign w:val="center"/>
          </w:tcPr>
          <w:p w14:paraId="2BCCAB51">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完成及时性</w:t>
            </w:r>
          </w:p>
        </w:tc>
        <w:tc>
          <w:tcPr>
            <w:tcW w:w="727" w:type="dxa"/>
            <w:shd w:val="clear" w:color="000000" w:fill="FFFFFF"/>
            <w:vAlign w:val="center"/>
          </w:tcPr>
          <w:p w14:paraId="12814B54">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15</w:t>
            </w:r>
          </w:p>
        </w:tc>
        <w:tc>
          <w:tcPr>
            <w:tcW w:w="1044" w:type="dxa"/>
            <w:shd w:val="clear" w:color="000000" w:fill="FFFFFF"/>
            <w:vAlign w:val="center"/>
          </w:tcPr>
          <w:p w14:paraId="32E740CF">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15</w:t>
            </w:r>
          </w:p>
        </w:tc>
        <w:tc>
          <w:tcPr>
            <w:tcW w:w="924" w:type="dxa"/>
            <w:shd w:val="clear" w:color="000000" w:fill="FFFFFF"/>
            <w:vAlign w:val="center"/>
          </w:tcPr>
          <w:p w14:paraId="46AEAF44">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15</w:t>
            </w:r>
          </w:p>
        </w:tc>
        <w:tc>
          <w:tcPr>
            <w:tcW w:w="1215" w:type="dxa"/>
            <w:shd w:val="clear" w:color="000000" w:fill="FFFFFF"/>
            <w:vAlign w:val="center"/>
          </w:tcPr>
          <w:p w14:paraId="40DCF900">
            <w:pPr>
              <w:pageBreakBefore w:val="0"/>
              <w:widowControl/>
              <w:kinsoku/>
              <w:wordWrap/>
              <w:overflowPunct/>
              <w:topLinePunct w:val="0"/>
              <w:autoSpaceDE/>
              <w:autoSpaceDN/>
              <w:bidi w:val="0"/>
              <w:adjustRightInd/>
              <w:snapToGrid/>
              <w:spacing w:line="560" w:lineRule="exact"/>
              <w:jc w:val="center"/>
              <w:rPr>
                <w:rFonts w:ascii="宋体" w:hAnsi="宋体" w:cs="宋体"/>
                <w:color w:val="000000"/>
                <w:kern w:val="0"/>
                <w:sz w:val="22"/>
                <w:szCs w:val="22"/>
                <w:highlight w:val="none"/>
              </w:rPr>
            </w:pPr>
            <w:r>
              <w:rPr>
                <w:rFonts w:hint="eastAsia" w:ascii="仿宋" w:hAnsi="仿宋" w:eastAsia="仿宋" w:cs="仿宋"/>
                <w:color w:val="000000"/>
                <w:kern w:val="0"/>
                <w:sz w:val="24"/>
                <w:szCs w:val="24"/>
                <w:highlight w:val="none"/>
                <w:lang w:val="en-US" w:eastAsia="zh-CN"/>
              </w:rPr>
              <w:t>25%</w:t>
            </w:r>
          </w:p>
        </w:tc>
        <w:tc>
          <w:tcPr>
            <w:tcW w:w="960" w:type="dxa"/>
            <w:shd w:val="clear" w:color="000000" w:fill="FFFFFF"/>
            <w:vAlign w:val="center"/>
          </w:tcPr>
          <w:p w14:paraId="2102C960">
            <w:pPr>
              <w:pageBreakBefore w:val="0"/>
              <w:widowControl/>
              <w:kinsoku/>
              <w:wordWrap/>
              <w:overflowPunct/>
              <w:topLinePunct w:val="0"/>
              <w:autoSpaceDE/>
              <w:autoSpaceDN/>
              <w:bidi w:val="0"/>
              <w:adjustRightInd/>
              <w:snapToGrid/>
              <w:spacing w:line="560" w:lineRule="exact"/>
              <w:jc w:val="both"/>
              <w:rPr>
                <w:rFonts w:ascii="宋体" w:hAnsi="宋体" w:cs="宋体"/>
                <w:color w:val="000000"/>
                <w:kern w:val="0"/>
                <w:sz w:val="22"/>
                <w:szCs w:val="22"/>
                <w:highlight w:val="none"/>
              </w:rPr>
            </w:pPr>
            <w:r>
              <w:rPr>
                <w:rFonts w:hint="eastAsia" w:ascii="仿宋" w:hAnsi="仿宋" w:eastAsia="仿宋" w:cs="仿宋"/>
                <w:color w:val="000000"/>
                <w:kern w:val="0"/>
                <w:sz w:val="24"/>
                <w:szCs w:val="24"/>
                <w:highlight w:val="none"/>
                <w:lang w:val="en-US" w:eastAsia="zh-CN"/>
              </w:rPr>
              <w:t>3.75</w:t>
            </w:r>
          </w:p>
        </w:tc>
      </w:tr>
      <w:tr w14:paraId="2BFB98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2E2D6B7C">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p>
        </w:tc>
        <w:tc>
          <w:tcPr>
            <w:tcW w:w="990" w:type="dxa"/>
            <w:vMerge w:val="continue"/>
            <w:shd w:val="clear" w:color="auto" w:fill="FFFFFF"/>
            <w:vAlign w:val="center"/>
          </w:tcPr>
          <w:p w14:paraId="066494FB">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p>
        </w:tc>
        <w:tc>
          <w:tcPr>
            <w:tcW w:w="1283" w:type="dxa"/>
            <w:shd w:val="clear" w:color="auto" w:fill="FFFFFF"/>
            <w:vAlign w:val="center"/>
          </w:tcPr>
          <w:p w14:paraId="22543DB3">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产出成本</w:t>
            </w:r>
          </w:p>
        </w:tc>
        <w:tc>
          <w:tcPr>
            <w:tcW w:w="1707" w:type="dxa"/>
            <w:shd w:val="clear" w:color="auto" w:fill="FFFFFF"/>
            <w:vAlign w:val="center"/>
          </w:tcPr>
          <w:p w14:paraId="1C2DB2EF">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成本节约率</w:t>
            </w:r>
          </w:p>
        </w:tc>
        <w:tc>
          <w:tcPr>
            <w:tcW w:w="727" w:type="dxa"/>
            <w:shd w:val="clear" w:color="000000" w:fill="FFFFFF"/>
            <w:vAlign w:val="center"/>
          </w:tcPr>
          <w:p w14:paraId="5CE77197">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w:t>
            </w:r>
          </w:p>
        </w:tc>
        <w:tc>
          <w:tcPr>
            <w:tcW w:w="1044" w:type="dxa"/>
            <w:shd w:val="clear" w:color="000000" w:fill="FFFFFF"/>
            <w:vAlign w:val="center"/>
          </w:tcPr>
          <w:p w14:paraId="07AB2FA5">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w:t>
            </w:r>
          </w:p>
        </w:tc>
        <w:tc>
          <w:tcPr>
            <w:tcW w:w="924" w:type="dxa"/>
            <w:shd w:val="clear" w:color="000000" w:fill="FFFFFF"/>
            <w:vAlign w:val="center"/>
          </w:tcPr>
          <w:p w14:paraId="44EE0C28">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w:t>
            </w:r>
          </w:p>
        </w:tc>
        <w:tc>
          <w:tcPr>
            <w:tcW w:w="1215" w:type="dxa"/>
            <w:shd w:val="clear" w:color="000000" w:fill="FFFFFF"/>
            <w:vAlign w:val="center"/>
          </w:tcPr>
          <w:p w14:paraId="65C6081C">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仿宋" w:hAnsi="仿宋" w:eastAsia="仿宋" w:cs="仿宋"/>
                <w:color w:val="000000"/>
                <w:kern w:val="0"/>
                <w:sz w:val="24"/>
                <w:szCs w:val="24"/>
                <w:highlight w:val="none"/>
                <w:lang w:val="en-US" w:eastAsia="zh-CN"/>
              </w:rPr>
              <w:t>52%</w:t>
            </w:r>
          </w:p>
        </w:tc>
        <w:tc>
          <w:tcPr>
            <w:tcW w:w="960" w:type="dxa"/>
            <w:shd w:val="clear" w:color="000000" w:fill="FFFFFF"/>
            <w:vAlign w:val="center"/>
          </w:tcPr>
          <w:p w14:paraId="2547DCEF">
            <w:pPr>
              <w:keepNext w:val="0"/>
              <w:keepLines w:val="0"/>
              <w:pageBreakBefore w:val="0"/>
              <w:widowControl/>
              <w:kinsoku/>
              <w:wordWrap/>
              <w:overflowPunct/>
              <w:topLinePunct w:val="0"/>
              <w:autoSpaceDE/>
              <w:autoSpaceDN/>
              <w:bidi w:val="0"/>
              <w:spacing w:line="560" w:lineRule="exact"/>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5.2</w:t>
            </w:r>
          </w:p>
        </w:tc>
      </w:tr>
      <w:tr w14:paraId="3C1DF7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738F276E">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效益　</w:t>
            </w:r>
          </w:p>
        </w:tc>
        <w:tc>
          <w:tcPr>
            <w:tcW w:w="990" w:type="dxa"/>
            <w:vMerge w:val="restart"/>
            <w:shd w:val="clear" w:color="auto" w:fill="FFFFFF"/>
            <w:vAlign w:val="center"/>
          </w:tcPr>
          <w:p w14:paraId="2A4E4F80">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40分</w:t>
            </w:r>
          </w:p>
        </w:tc>
        <w:tc>
          <w:tcPr>
            <w:tcW w:w="1283" w:type="dxa"/>
            <w:vMerge w:val="restart"/>
            <w:shd w:val="clear" w:color="auto" w:fill="FFFFFF"/>
            <w:vAlign w:val="center"/>
          </w:tcPr>
          <w:p w14:paraId="52FC6D53">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项目效益　</w:t>
            </w:r>
          </w:p>
        </w:tc>
        <w:tc>
          <w:tcPr>
            <w:tcW w:w="1707" w:type="dxa"/>
            <w:shd w:val="clear" w:color="auto" w:fill="FFFFFF"/>
            <w:vAlign w:val="center"/>
          </w:tcPr>
          <w:p w14:paraId="2AEB23FC">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实施效益</w:t>
            </w:r>
          </w:p>
          <w:p w14:paraId="603010F8">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（社会效益、经济效益、可持续效益）</w:t>
            </w:r>
          </w:p>
        </w:tc>
        <w:tc>
          <w:tcPr>
            <w:tcW w:w="727" w:type="dxa"/>
            <w:shd w:val="clear" w:color="auto" w:fill="FFFFFF"/>
            <w:vAlign w:val="center"/>
          </w:tcPr>
          <w:p w14:paraId="43F41370">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30</w:t>
            </w:r>
          </w:p>
        </w:tc>
        <w:tc>
          <w:tcPr>
            <w:tcW w:w="1044" w:type="dxa"/>
            <w:shd w:val="clear" w:color="auto" w:fill="FFFFFF"/>
            <w:vAlign w:val="center"/>
          </w:tcPr>
          <w:p w14:paraId="61EF5EA7">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30</w:t>
            </w:r>
          </w:p>
        </w:tc>
        <w:tc>
          <w:tcPr>
            <w:tcW w:w="924" w:type="dxa"/>
            <w:shd w:val="clear" w:color="auto" w:fill="FFFFFF"/>
            <w:vAlign w:val="center"/>
          </w:tcPr>
          <w:p w14:paraId="24A211E7">
            <w:pPr>
              <w:keepNext w:val="0"/>
              <w:keepLines w:val="0"/>
              <w:pageBreakBefore w:val="0"/>
              <w:widowControl/>
              <w:kinsoku/>
              <w:wordWrap/>
              <w:overflowPunct/>
              <w:topLinePunct w:val="0"/>
              <w:autoSpaceDE/>
              <w:autoSpaceDN/>
              <w:bidi w:val="0"/>
              <w:spacing w:line="560" w:lineRule="exact"/>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30</w:t>
            </w:r>
          </w:p>
        </w:tc>
        <w:tc>
          <w:tcPr>
            <w:tcW w:w="1215" w:type="dxa"/>
            <w:shd w:val="clear" w:color="auto" w:fill="FFFFFF"/>
            <w:vAlign w:val="center"/>
          </w:tcPr>
          <w:p w14:paraId="2D624078">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100</w:t>
            </w:r>
            <w:r>
              <w:rPr>
                <w:rFonts w:hint="eastAsia" w:ascii="宋体" w:hAnsi="宋体" w:cs="宋体"/>
                <w:color w:val="000000"/>
                <w:kern w:val="0"/>
                <w:sz w:val="22"/>
                <w:szCs w:val="22"/>
                <w:highlight w:val="none"/>
              </w:rPr>
              <w:t>%</w:t>
            </w:r>
          </w:p>
        </w:tc>
        <w:tc>
          <w:tcPr>
            <w:tcW w:w="960" w:type="dxa"/>
            <w:shd w:val="clear" w:color="auto" w:fill="FFFFFF"/>
            <w:vAlign w:val="center"/>
          </w:tcPr>
          <w:p w14:paraId="3BFCB463">
            <w:pPr>
              <w:keepNext w:val="0"/>
              <w:keepLines w:val="0"/>
              <w:pageBreakBefore w:val="0"/>
              <w:widowControl/>
              <w:kinsoku/>
              <w:wordWrap/>
              <w:overflowPunct/>
              <w:topLinePunct w:val="0"/>
              <w:autoSpaceDE/>
              <w:autoSpaceDN/>
              <w:bidi w:val="0"/>
              <w:spacing w:line="560" w:lineRule="exact"/>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30</w:t>
            </w:r>
          </w:p>
        </w:tc>
      </w:tr>
      <w:tr w14:paraId="488D96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11046D18">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p>
        </w:tc>
        <w:tc>
          <w:tcPr>
            <w:tcW w:w="990" w:type="dxa"/>
            <w:vMerge w:val="continue"/>
            <w:shd w:val="clear" w:color="auto" w:fill="FFFFFF"/>
            <w:vAlign w:val="center"/>
          </w:tcPr>
          <w:p w14:paraId="41E4CE80">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p>
        </w:tc>
        <w:tc>
          <w:tcPr>
            <w:tcW w:w="1283" w:type="dxa"/>
            <w:vMerge w:val="continue"/>
            <w:shd w:val="clear" w:color="auto" w:fill="FFFFFF"/>
            <w:vAlign w:val="center"/>
          </w:tcPr>
          <w:p w14:paraId="6EE1B306">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p>
        </w:tc>
        <w:tc>
          <w:tcPr>
            <w:tcW w:w="1707" w:type="dxa"/>
            <w:shd w:val="clear" w:color="auto" w:fill="FFFFFF"/>
            <w:vAlign w:val="center"/>
          </w:tcPr>
          <w:p w14:paraId="0B34B464">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满意度</w:t>
            </w:r>
          </w:p>
        </w:tc>
        <w:tc>
          <w:tcPr>
            <w:tcW w:w="727" w:type="dxa"/>
            <w:shd w:val="clear" w:color="000000" w:fill="FFFFFF"/>
            <w:vAlign w:val="center"/>
          </w:tcPr>
          <w:p w14:paraId="18F4AD20">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w:t>
            </w:r>
          </w:p>
        </w:tc>
        <w:tc>
          <w:tcPr>
            <w:tcW w:w="1044" w:type="dxa"/>
            <w:shd w:val="clear" w:color="000000" w:fill="FFFFFF"/>
            <w:vAlign w:val="center"/>
          </w:tcPr>
          <w:p w14:paraId="68947EB4">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w:t>
            </w:r>
          </w:p>
        </w:tc>
        <w:tc>
          <w:tcPr>
            <w:tcW w:w="924" w:type="dxa"/>
            <w:shd w:val="clear" w:color="000000" w:fill="FFFFFF"/>
            <w:vAlign w:val="center"/>
          </w:tcPr>
          <w:p w14:paraId="4B719DF8">
            <w:pPr>
              <w:keepNext w:val="0"/>
              <w:keepLines w:val="0"/>
              <w:pageBreakBefore w:val="0"/>
              <w:widowControl/>
              <w:kinsoku/>
              <w:wordWrap/>
              <w:overflowPunct/>
              <w:topLinePunct w:val="0"/>
              <w:autoSpaceDE/>
              <w:autoSpaceDN/>
              <w:bidi w:val="0"/>
              <w:spacing w:line="560" w:lineRule="exact"/>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w:t>
            </w:r>
          </w:p>
        </w:tc>
        <w:tc>
          <w:tcPr>
            <w:tcW w:w="1215" w:type="dxa"/>
            <w:shd w:val="clear" w:color="000000" w:fill="FFFFFF"/>
            <w:vAlign w:val="center"/>
          </w:tcPr>
          <w:p w14:paraId="40CC39AD">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100</w:t>
            </w:r>
            <w:r>
              <w:rPr>
                <w:rFonts w:hint="eastAsia" w:ascii="宋体" w:hAnsi="宋体" w:cs="宋体"/>
                <w:color w:val="000000"/>
                <w:kern w:val="0"/>
                <w:sz w:val="22"/>
                <w:szCs w:val="22"/>
                <w:highlight w:val="none"/>
              </w:rPr>
              <w:t>%</w:t>
            </w:r>
          </w:p>
        </w:tc>
        <w:tc>
          <w:tcPr>
            <w:tcW w:w="960" w:type="dxa"/>
            <w:shd w:val="clear" w:color="000000" w:fill="FFFFFF"/>
            <w:vAlign w:val="center"/>
          </w:tcPr>
          <w:p w14:paraId="409CB434">
            <w:pPr>
              <w:keepNext w:val="0"/>
              <w:keepLines w:val="0"/>
              <w:pageBreakBefore w:val="0"/>
              <w:widowControl/>
              <w:kinsoku/>
              <w:wordWrap/>
              <w:overflowPunct/>
              <w:topLinePunct w:val="0"/>
              <w:autoSpaceDE/>
              <w:autoSpaceDN/>
              <w:bidi w:val="0"/>
              <w:spacing w:line="560" w:lineRule="exact"/>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w:t>
            </w:r>
          </w:p>
        </w:tc>
      </w:tr>
    </w:tbl>
    <w:p w14:paraId="618A438E">
      <w:pPr>
        <w:keepNext w:val="0"/>
        <w:keepLines w:val="0"/>
        <w:pageBreakBefore w:val="0"/>
        <w:kinsoku/>
        <w:wordWrap/>
        <w:overflowPunct/>
        <w:topLinePunct w:val="0"/>
        <w:autoSpaceDE/>
        <w:autoSpaceDN/>
        <w:bidi w:val="0"/>
        <w:spacing w:line="560" w:lineRule="exact"/>
        <w:rPr>
          <w:rFonts w:ascii="黑体" w:hAnsi="黑体" w:eastAsia="黑体"/>
          <w:sz w:val="32"/>
          <w:szCs w:val="32"/>
          <w:highlight w:val="none"/>
        </w:rPr>
      </w:pPr>
    </w:p>
    <w:p w14:paraId="54FA9106">
      <w:pPr>
        <w:keepNext w:val="0"/>
        <w:keepLines w:val="0"/>
        <w:pageBreakBefore w:val="0"/>
        <w:kinsoku/>
        <w:wordWrap/>
        <w:overflowPunct/>
        <w:topLinePunct w:val="0"/>
        <w:autoSpaceDE/>
        <w:autoSpaceDN/>
        <w:bidi w:val="0"/>
        <w:spacing w:line="560" w:lineRule="exact"/>
        <w:ind w:firstLine="320" w:firstLineChars="100"/>
        <w:rPr>
          <w:rFonts w:ascii="黑体" w:hAnsi="黑体" w:eastAsia="黑体"/>
          <w:sz w:val="32"/>
          <w:szCs w:val="32"/>
          <w:highlight w:val="none"/>
        </w:rPr>
      </w:pPr>
      <w:r>
        <w:rPr>
          <w:rFonts w:hint="eastAsia" w:ascii="黑体" w:hAnsi="黑体" w:eastAsia="黑体"/>
          <w:sz w:val="32"/>
          <w:szCs w:val="32"/>
          <w:highlight w:val="none"/>
        </w:rPr>
        <w:t>四、绩效评价指标分析</w:t>
      </w:r>
    </w:p>
    <w:p w14:paraId="4F053AD5">
      <w:pPr>
        <w:keepNext w:val="0"/>
        <w:keepLines w:val="0"/>
        <w:pageBreakBefore w:val="0"/>
        <w:widowControl/>
        <w:kinsoku/>
        <w:wordWrap/>
        <w:overflowPunct/>
        <w:topLinePunct w:val="0"/>
        <w:autoSpaceDE/>
        <w:autoSpaceDN/>
        <w:bidi w:val="0"/>
        <w:spacing w:line="560" w:lineRule="exact"/>
        <w:ind w:firstLine="640" w:firstLineChars="200"/>
        <w:jc w:val="left"/>
        <w:rPr>
          <w:rFonts w:hint="eastAsia" w:ascii="楷体_GB2312" w:hAnsi="楷体_GB2312" w:eastAsia="楷体_GB2312" w:cs="楷体_GB2312"/>
          <w:b/>
          <w:bCs/>
          <w:sz w:val="32"/>
          <w:szCs w:val="32"/>
          <w:highlight w:val="none"/>
        </w:rPr>
      </w:pPr>
      <w:r>
        <w:rPr>
          <w:rFonts w:hint="eastAsia" w:ascii="楷体_GB2312" w:hAnsi="楷体_GB2312" w:eastAsia="楷体_GB2312" w:cs="楷体_GB2312"/>
          <w:sz w:val="32"/>
          <w:szCs w:val="32"/>
          <w:highlight w:val="none"/>
        </w:rPr>
        <w:t>（一）</w:t>
      </w:r>
      <w:r>
        <w:rPr>
          <w:rFonts w:hint="eastAsia" w:ascii="楷体_GB2312" w:hAnsi="楷体_GB2312" w:eastAsia="楷体_GB2312" w:cs="楷体_GB2312"/>
          <w:b/>
          <w:bCs/>
          <w:sz w:val="32"/>
          <w:szCs w:val="32"/>
          <w:highlight w:val="none"/>
        </w:rPr>
        <w:t>项目决策情况。</w:t>
      </w:r>
    </w:p>
    <w:p w14:paraId="6EE9D861">
      <w:pPr>
        <w:keepNext w:val="0"/>
        <w:keepLines w:val="0"/>
        <w:pageBreakBefore w:val="0"/>
        <w:kinsoku/>
        <w:wordWrap/>
        <w:overflowPunct/>
        <w:topLinePunct w:val="0"/>
        <w:autoSpaceDE/>
        <w:autoSpaceDN/>
        <w:bidi w:val="0"/>
        <w:adjustRightInd/>
        <w:snapToGrid/>
        <w:spacing w:line="560" w:lineRule="exact"/>
        <w:ind w:firstLine="640"/>
        <w:jc w:val="center"/>
        <w:rPr>
          <w:rStyle w:val="54"/>
          <w:rFonts w:hint="eastAsia" w:ascii="仿宋_GB2312" w:hAnsi="仿宋_GB2312" w:eastAsia="仿宋_GB2312" w:cs="仿宋_GB2312"/>
          <w:b/>
          <w:bCs/>
          <w:color w:val="auto"/>
          <w:sz w:val="32"/>
          <w:szCs w:val="32"/>
          <w:highlight w:val="none"/>
        </w:rPr>
      </w:pPr>
      <w:r>
        <w:rPr>
          <w:rStyle w:val="54"/>
          <w:rFonts w:hint="eastAsia" w:ascii="仿宋_GB2312" w:hAnsi="仿宋_GB2312" w:eastAsia="仿宋_GB2312" w:cs="仿宋_GB2312"/>
          <w:b/>
          <w:bCs/>
          <w:color w:val="auto"/>
          <w:sz w:val="32"/>
          <w:szCs w:val="32"/>
          <w:highlight w:val="none"/>
        </w:rPr>
        <w:t>项目决策指标得分情况</w:t>
      </w:r>
    </w:p>
    <w:tbl>
      <w:tblPr>
        <w:tblStyle w:val="22"/>
        <w:tblW w:w="8569" w:type="dxa"/>
        <w:tblInd w:w="0" w:type="dxa"/>
        <w:tblLayout w:type="fixed"/>
        <w:tblCellMar>
          <w:top w:w="0" w:type="dxa"/>
          <w:left w:w="0" w:type="dxa"/>
          <w:bottom w:w="0" w:type="dxa"/>
          <w:right w:w="0" w:type="dxa"/>
        </w:tblCellMar>
      </w:tblPr>
      <w:tblGrid>
        <w:gridCol w:w="2141"/>
        <w:gridCol w:w="2142"/>
        <w:gridCol w:w="2142"/>
        <w:gridCol w:w="2144"/>
      </w:tblGrid>
      <w:tr w14:paraId="6EA4DC93">
        <w:tblPrEx>
          <w:tblCellMar>
            <w:top w:w="0" w:type="dxa"/>
            <w:left w:w="0" w:type="dxa"/>
            <w:bottom w:w="0" w:type="dxa"/>
            <w:right w:w="0" w:type="dxa"/>
          </w:tblCellMar>
        </w:tblPrEx>
        <w:trPr>
          <w:trHeight w:val="31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323E47">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bCs/>
                <w:color w:val="000000"/>
                <w:sz w:val="32"/>
                <w:szCs w:val="32"/>
                <w:highlight w:val="none"/>
              </w:rPr>
            </w:pPr>
            <w:r>
              <w:rPr>
                <w:rFonts w:hint="eastAsia" w:ascii="仿宋_GB2312" w:hAnsi="仿宋_GB2312" w:eastAsia="仿宋_GB2312" w:cs="仿宋_GB2312"/>
                <w:b/>
                <w:bCs/>
                <w:color w:val="000000"/>
                <w:kern w:val="0"/>
                <w:sz w:val="32"/>
                <w:szCs w:val="32"/>
                <w:highlight w:val="none"/>
              </w:rPr>
              <w:t>三级指标</w:t>
            </w:r>
          </w:p>
        </w:tc>
        <w:tc>
          <w:tcPr>
            <w:tcW w:w="21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CB9FCB">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bCs/>
                <w:color w:val="000000"/>
                <w:sz w:val="32"/>
                <w:szCs w:val="32"/>
                <w:highlight w:val="none"/>
              </w:rPr>
            </w:pPr>
            <w:r>
              <w:rPr>
                <w:rFonts w:hint="eastAsia" w:ascii="仿宋_GB2312" w:hAnsi="仿宋_GB2312" w:eastAsia="仿宋_GB2312" w:cs="仿宋_GB2312"/>
                <w:b/>
                <w:bCs/>
                <w:color w:val="000000"/>
                <w:kern w:val="0"/>
                <w:sz w:val="32"/>
                <w:szCs w:val="32"/>
                <w:highlight w:val="none"/>
              </w:rPr>
              <w:t>权重</w:t>
            </w:r>
          </w:p>
        </w:tc>
        <w:tc>
          <w:tcPr>
            <w:tcW w:w="21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6E06E9">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bCs/>
                <w:color w:val="000000"/>
                <w:sz w:val="32"/>
                <w:szCs w:val="32"/>
                <w:highlight w:val="none"/>
              </w:rPr>
            </w:pPr>
            <w:r>
              <w:rPr>
                <w:rFonts w:hint="eastAsia" w:ascii="仿宋_GB2312" w:hAnsi="仿宋_GB2312" w:eastAsia="仿宋_GB2312" w:cs="仿宋_GB2312"/>
                <w:b/>
                <w:bCs/>
                <w:color w:val="000000"/>
                <w:kern w:val="0"/>
                <w:sz w:val="32"/>
                <w:szCs w:val="32"/>
                <w:highlight w:val="none"/>
              </w:rPr>
              <w:t>得分率</w:t>
            </w:r>
          </w:p>
        </w:tc>
        <w:tc>
          <w:tcPr>
            <w:tcW w:w="21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671FFB">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bCs/>
                <w:color w:val="000000"/>
                <w:sz w:val="32"/>
                <w:szCs w:val="32"/>
                <w:highlight w:val="none"/>
              </w:rPr>
            </w:pPr>
            <w:r>
              <w:rPr>
                <w:rFonts w:hint="eastAsia" w:ascii="仿宋_GB2312" w:hAnsi="仿宋_GB2312" w:eastAsia="仿宋_GB2312" w:cs="仿宋_GB2312"/>
                <w:b/>
                <w:bCs/>
                <w:color w:val="000000"/>
                <w:kern w:val="0"/>
                <w:sz w:val="32"/>
                <w:szCs w:val="32"/>
                <w:highlight w:val="none"/>
              </w:rPr>
              <w:t>实际得分</w:t>
            </w:r>
          </w:p>
        </w:tc>
      </w:tr>
      <w:tr w14:paraId="4805E8CB">
        <w:tblPrEx>
          <w:tblCellMar>
            <w:top w:w="0" w:type="dxa"/>
            <w:left w:w="0" w:type="dxa"/>
            <w:bottom w:w="0" w:type="dxa"/>
            <w:right w:w="0" w:type="dxa"/>
          </w:tblCellMar>
        </w:tblPrEx>
        <w:trPr>
          <w:trHeight w:val="432" w:hRule="atLeast"/>
        </w:trPr>
        <w:tc>
          <w:tcPr>
            <w:tcW w:w="2141" w:type="dxa"/>
            <w:tcBorders>
              <w:top w:val="single" w:color="000000" w:sz="4" w:space="0"/>
              <w:left w:val="single" w:color="000000" w:sz="4" w:space="0"/>
              <w:bottom w:val="nil"/>
              <w:right w:val="single" w:color="000000" w:sz="4" w:space="0"/>
            </w:tcBorders>
            <w:shd w:val="clear" w:color="auto" w:fill="FFFFFF"/>
            <w:tcMar>
              <w:top w:w="12" w:type="dxa"/>
              <w:left w:w="12" w:type="dxa"/>
              <w:right w:w="12" w:type="dxa"/>
            </w:tcMar>
            <w:vAlign w:val="center"/>
          </w:tcPr>
          <w:p w14:paraId="6240D224">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立项依据充性</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750E0F41">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0.5</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0E447C3E">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34278273">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0.5</w:t>
            </w:r>
          </w:p>
        </w:tc>
      </w:tr>
      <w:tr w14:paraId="1689121B">
        <w:tblPrEx>
          <w:tblCellMar>
            <w:top w:w="0" w:type="dxa"/>
            <w:left w:w="0" w:type="dxa"/>
            <w:bottom w:w="0" w:type="dxa"/>
            <w:right w:w="0" w:type="dxa"/>
          </w:tblCellMar>
        </w:tblPrEx>
        <w:trPr>
          <w:trHeight w:val="31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35F7BB0D">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立项程序</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1149B327">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0.5</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6FF4A6C0">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31C2707D">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0.5</w:t>
            </w:r>
          </w:p>
        </w:tc>
      </w:tr>
      <w:tr w14:paraId="0189C7F1">
        <w:tblPrEx>
          <w:tblCellMar>
            <w:top w:w="0" w:type="dxa"/>
            <w:left w:w="0" w:type="dxa"/>
            <w:bottom w:w="0" w:type="dxa"/>
            <w:right w:w="0" w:type="dxa"/>
          </w:tblCellMar>
        </w:tblPrEx>
        <w:trPr>
          <w:trHeight w:val="31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215703FB">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绩效目标</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3505F40B">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1</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450930EC">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29D91F55">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1</w:t>
            </w:r>
          </w:p>
        </w:tc>
      </w:tr>
      <w:tr w14:paraId="4F9C932D">
        <w:tblPrEx>
          <w:tblCellMar>
            <w:top w:w="0" w:type="dxa"/>
            <w:left w:w="0" w:type="dxa"/>
            <w:bottom w:w="0" w:type="dxa"/>
            <w:right w:w="0" w:type="dxa"/>
          </w:tblCellMar>
        </w:tblPrEx>
        <w:trPr>
          <w:trHeight w:val="31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5792E28E">
            <w:pPr>
              <w:keepNext w:val="0"/>
              <w:keepLines w:val="0"/>
              <w:pageBreakBefore w:val="0"/>
              <w:widowControl/>
              <w:kinsoku/>
              <w:wordWrap/>
              <w:overflowPunct/>
              <w:topLinePunct w:val="0"/>
              <w:autoSpaceDE/>
              <w:autoSpaceDN/>
              <w:bidi w:val="0"/>
              <w:adjustRightInd/>
              <w:snapToGrid/>
              <w:spacing w:line="560" w:lineRule="exact"/>
              <w:ind w:firstLine="640" w:firstLineChars="200"/>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绩效指标</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5B9496F9">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1</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7497FCEC">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1A384C7A">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1</w:t>
            </w:r>
          </w:p>
        </w:tc>
      </w:tr>
      <w:tr w14:paraId="6F61269C">
        <w:tblPrEx>
          <w:tblCellMar>
            <w:top w:w="0" w:type="dxa"/>
            <w:left w:w="0" w:type="dxa"/>
            <w:bottom w:w="0" w:type="dxa"/>
            <w:right w:w="0" w:type="dxa"/>
          </w:tblCellMar>
        </w:tblPrEx>
        <w:trPr>
          <w:trHeight w:val="31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7A71AE55">
            <w:pPr>
              <w:keepNext w:val="0"/>
              <w:keepLines w:val="0"/>
              <w:pageBreakBefore w:val="0"/>
              <w:widowControl/>
              <w:kinsoku/>
              <w:wordWrap/>
              <w:overflowPunct/>
              <w:topLinePunct w:val="0"/>
              <w:autoSpaceDE/>
              <w:autoSpaceDN/>
              <w:bidi w:val="0"/>
              <w:adjustRightInd/>
              <w:snapToGrid/>
              <w:spacing w:line="560" w:lineRule="exact"/>
              <w:ind w:firstLine="640" w:firstLineChars="200"/>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预算编制</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302475DF">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1</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3FE5BDA2">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6C25336A">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1</w:t>
            </w:r>
          </w:p>
        </w:tc>
      </w:tr>
      <w:tr w14:paraId="7D836750">
        <w:tblPrEx>
          <w:tblCellMar>
            <w:top w:w="0" w:type="dxa"/>
            <w:left w:w="0" w:type="dxa"/>
            <w:bottom w:w="0" w:type="dxa"/>
            <w:right w:w="0" w:type="dxa"/>
          </w:tblCellMar>
        </w:tblPrEx>
        <w:trPr>
          <w:trHeight w:val="43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20C732C4">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资金分配合理性</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0ACDAD22">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1</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79F6E29B">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462DE3A3">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1</w:t>
            </w:r>
          </w:p>
        </w:tc>
      </w:tr>
      <w:tr w14:paraId="793DFE3D">
        <w:tblPrEx>
          <w:tblCellMar>
            <w:top w:w="0" w:type="dxa"/>
            <w:left w:w="0" w:type="dxa"/>
            <w:bottom w:w="0" w:type="dxa"/>
            <w:right w:w="0" w:type="dxa"/>
          </w:tblCellMar>
        </w:tblPrEx>
        <w:trPr>
          <w:trHeight w:val="31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30390FF5">
            <w:pPr>
              <w:keepNext w:val="0"/>
              <w:keepLines w:val="0"/>
              <w:pageBreakBefore w:val="0"/>
              <w:widowControl/>
              <w:kinsoku/>
              <w:wordWrap/>
              <w:overflowPunct/>
              <w:topLinePunct w:val="0"/>
              <w:autoSpaceDE/>
              <w:autoSpaceDN/>
              <w:bidi w:val="0"/>
              <w:adjustRightInd/>
              <w:snapToGrid/>
              <w:spacing w:line="560" w:lineRule="exact"/>
              <w:ind w:firstLine="640" w:firstLineChars="200"/>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合计</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75A2AC65">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5</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0EED4554">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71F491B6">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5</w:t>
            </w:r>
          </w:p>
        </w:tc>
      </w:tr>
    </w:tbl>
    <w:p w14:paraId="65923710">
      <w:pPr>
        <w:keepNext w:val="0"/>
        <w:keepLines w:val="0"/>
        <w:pageBreakBefore w:val="0"/>
        <w:kinsoku/>
        <w:wordWrap/>
        <w:overflowPunct/>
        <w:topLinePunct w:val="0"/>
        <w:autoSpaceDE/>
        <w:autoSpaceDN/>
        <w:bidi w:val="0"/>
        <w:adjustRightInd/>
        <w:snapToGrid/>
        <w:spacing w:line="560" w:lineRule="exact"/>
        <w:ind w:firstLine="640"/>
        <w:rPr>
          <w:rFonts w:hint="eastAsia" w:ascii="仿宋_GB2312" w:hAnsi="仿宋_GB2312" w:eastAsia="仿宋_GB2312" w:cs="仿宋_GB2312"/>
          <w:bCs/>
          <w:sz w:val="32"/>
          <w:szCs w:val="32"/>
          <w:highlight w:val="none"/>
        </w:rPr>
      </w:pPr>
      <w:r>
        <w:rPr>
          <w:rStyle w:val="54"/>
          <w:rFonts w:hint="eastAsia" w:ascii="仿宋_GB2312" w:hAnsi="仿宋_GB2312" w:eastAsia="仿宋_GB2312" w:cs="仿宋_GB2312"/>
          <w:color w:val="auto"/>
          <w:highlight w:val="none"/>
        </w:rPr>
        <w:t>对于项目决策指标分值5分，实际得分5分，该指标得分率100%，说明立项依据充分性、立项程序、绩效目标、绩效指标、预算编制、资金分配合理性</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rPr>
        <w:t>个方面对项目的决策进行考察，项目决策类指标分值5分，实际得分5分，得分率100%。</w:t>
      </w:r>
    </w:p>
    <w:p w14:paraId="52C9502C">
      <w:pPr>
        <w:keepNext w:val="0"/>
        <w:keepLines w:val="0"/>
        <w:pageBreakBefore w:val="0"/>
        <w:numPr>
          <w:ilvl w:val="0"/>
          <w:numId w:val="4"/>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3" w:firstLineChars="200"/>
        <w:rPr>
          <w:rStyle w:val="54"/>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sz w:val="32"/>
          <w:szCs w:val="32"/>
          <w:highlight w:val="none"/>
        </w:rPr>
        <w:t>项目过程情况。</w:t>
      </w:r>
      <w:r>
        <w:rPr>
          <w:rFonts w:hint="eastAsia" w:ascii="仿宋_GB2312" w:hAnsi="仿宋_GB2312" w:eastAsia="仿宋_GB2312" w:cs="仿宋_GB2312"/>
          <w:sz w:val="32"/>
          <w:szCs w:val="32"/>
          <w:highlight w:val="none"/>
        </w:rPr>
        <w:t>项目过程指标从资金到位率、</w:t>
      </w:r>
      <w:r>
        <w:rPr>
          <w:rFonts w:hint="eastAsia" w:ascii="仿宋_GB2312" w:hAnsi="仿宋_GB2312" w:eastAsia="仿宋_GB2312" w:cs="仿宋_GB2312"/>
          <w:color w:val="000000"/>
          <w:kern w:val="0"/>
          <w:sz w:val="32"/>
          <w:szCs w:val="32"/>
          <w:highlight w:val="none"/>
        </w:rPr>
        <w:t>预算执行率</w:t>
      </w:r>
      <w:r>
        <w:rPr>
          <w:rFonts w:hint="eastAsia" w:ascii="仿宋_GB2312" w:hAnsi="仿宋_GB2312" w:eastAsia="仿宋_GB2312" w:cs="仿宋_GB2312"/>
          <w:color w:val="000000"/>
          <w:kern w:val="0"/>
          <w:sz w:val="32"/>
          <w:szCs w:val="32"/>
          <w:highlight w:val="none"/>
          <w:lang w:eastAsia="zh-CN"/>
        </w:rPr>
        <w:t>、</w:t>
      </w:r>
      <w:r>
        <w:rPr>
          <w:rFonts w:hint="eastAsia" w:ascii="仿宋_GB2312" w:hAnsi="仿宋_GB2312" w:eastAsia="仿宋_GB2312" w:cs="仿宋_GB2312"/>
          <w:sz w:val="32"/>
          <w:szCs w:val="32"/>
          <w:highlight w:val="none"/>
        </w:rPr>
        <w:t>资金使用合规性、管理制度健全性、制度执行有效性</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rPr>
        <w:t>个方面对项目的管理情况进行考察。</w:t>
      </w:r>
    </w:p>
    <w:p w14:paraId="691A5494">
      <w:pPr>
        <w:keepNext w:val="0"/>
        <w:keepLines w:val="0"/>
        <w:pageBreakBefore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2891" w:firstLineChars="900"/>
        <w:rPr>
          <w:rStyle w:val="54"/>
          <w:rFonts w:hint="eastAsia" w:ascii="仿宋_GB2312" w:hAnsi="仿宋_GB2312" w:eastAsia="仿宋_GB2312" w:cs="仿宋_GB2312"/>
          <w:b/>
          <w:bCs/>
          <w:color w:val="auto"/>
          <w:sz w:val="32"/>
          <w:szCs w:val="32"/>
          <w:highlight w:val="none"/>
        </w:rPr>
      </w:pPr>
      <w:r>
        <w:rPr>
          <w:rStyle w:val="54"/>
          <w:rFonts w:hint="eastAsia" w:ascii="仿宋_GB2312" w:hAnsi="仿宋_GB2312" w:eastAsia="仿宋_GB2312" w:cs="仿宋_GB2312"/>
          <w:b/>
          <w:bCs/>
          <w:color w:val="auto"/>
          <w:sz w:val="32"/>
          <w:szCs w:val="32"/>
          <w:highlight w:val="none"/>
        </w:rPr>
        <w:t>项目</w:t>
      </w:r>
      <w:r>
        <w:rPr>
          <w:rStyle w:val="54"/>
          <w:rFonts w:hint="eastAsia" w:ascii="仿宋_GB2312" w:hAnsi="仿宋_GB2312" w:eastAsia="仿宋_GB2312" w:cs="仿宋_GB2312"/>
          <w:b/>
          <w:bCs/>
          <w:color w:val="auto"/>
          <w:sz w:val="32"/>
          <w:szCs w:val="32"/>
          <w:highlight w:val="none"/>
          <w:lang w:eastAsia="zh-CN"/>
        </w:rPr>
        <w:t>过程</w:t>
      </w:r>
      <w:r>
        <w:rPr>
          <w:rStyle w:val="54"/>
          <w:rFonts w:hint="eastAsia" w:ascii="仿宋_GB2312" w:hAnsi="仿宋_GB2312" w:eastAsia="仿宋_GB2312" w:cs="仿宋_GB2312"/>
          <w:b/>
          <w:bCs/>
          <w:color w:val="auto"/>
          <w:sz w:val="32"/>
          <w:szCs w:val="32"/>
          <w:highlight w:val="none"/>
        </w:rPr>
        <w:t>指标得分情况</w:t>
      </w:r>
    </w:p>
    <w:tbl>
      <w:tblPr>
        <w:tblStyle w:val="22"/>
        <w:tblW w:w="8567" w:type="dxa"/>
        <w:tblInd w:w="0" w:type="dxa"/>
        <w:tblLayout w:type="fixed"/>
        <w:tblCellMar>
          <w:top w:w="0" w:type="dxa"/>
          <w:left w:w="0" w:type="dxa"/>
          <w:bottom w:w="0" w:type="dxa"/>
          <w:right w:w="0" w:type="dxa"/>
        </w:tblCellMar>
      </w:tblPr>
      <w:tblGrid>
        <w:gridCol w:w="2424"/>
        <w:gridCol w:w="2016"/>
        <w:gridCol w:w="2016"/>
        <w:gridCol w:w="2111"/>
      </w:tblGrid>
      <w:tr w14:paraId="4223ED63">
        <w:tblPrEx>
          <w:tblCellMar>
            <w:top w:w="0" w:type="dxa"/>
            <w:left w:w="0" w:type="dxa"/>
            <w:bottom w:w="0" w:type="dxa"/>
            <w:right w:w="0" w:type="dxa"/>
          </w:tblCellMar>
        </w:tblPrEx>
        <w:trPr>
          <w:trHeight w:val="450"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7CED5D95">
            <w:pPr>
              <w:keepNext w:val="0"/>
              <w:keepLines w:val="0"/>
              <w:pageBreakBefore w:val="0"/>
              <w:widowControl/>
              <w:kinsoku/>
              <w:wordWrap/>
              <w:overflowPunct/>
              <w:topLinePunct w:val="0"/>
              <w:autoSpaceDE/>
              <w:autoSpaceDN/>
              <w:bidi w:val="0"/>
              <w:adjustRightInd/>
              <w:snapToGrid/>
              <w:spacing w:line="560" w:lineRule="exact"/>
              <w:ind w:firstLine="643" w:firstLineChars="200"/>
              <w:jc w:val="center"/>
              <w:textAlignment w:val="center"/>
              <w:rPr>
                <w:rFonts w:hint="eastAsia" w:ascii="仿宋_GB2312" w:hAnsi="仿宋_GB2312" w:eastAsia="仿宋_GB2312" w:cs="仿宋_GB2312"/>
                <w:b/>
                <w:bCs/>
                <w:color w:val="000000"/>
                <w:sz w:val="32"/>
                <w:szCs w:val="32"/>
                <w:highlight w:val="none"/>
              </w:rPr>
            </w:pPr>
            <w:r>
              <w:rPr>
                <w:rFonts w:hint="eastAsia" w:ascii="仿宋_GB2312" w:hAnsi="仿宋_GB2312" w:eastAsia="仿宋_GB2312" w:cs="仿宋_GB2312"/>
                <w:b/>
                <w:bCs/>
                <w:color w:val="000000"/>
                <w:kern w:val="0"/>
                <w:sz w:val="32"/>
                <w:szCs w:val="32"/>
                <w:highlight w:val="none"/>
              </w:rPr>
              <w:t>三级指标</w:t>
            </w:r>
          </w:p>
        </w:tc>
        <w:tc>
          <w:tcPr>
            <w:tcW w:w="20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4604D1">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b/>
                <w:bCs/>
                <w:color w:val="000000"/>
                <w:sz w:val="32"/>
                <w:szCs w:val="32"/>
                <w:highlight w:val="none"/>
              </w:rPr>
            </w:pPr>
            <w:r>
              <w:rPr>
                <w:rFonts w:hint="eastAsia" w:ascii="仿宋_GB2312" w:hAnsi="仿宋_GB2312" w:eastAsia="仿宋_GB2312" w:cs="仿宋_GB2312"/>
                <w:b/>
                <w:bCs/>
                <w:color w:val="000000"/>
                <w:kern w:val="0"/>
                <w:sz w:val="32"/>
                <w:szCs w:val="32"/>
                <w:highlight w:val="none"/>
              </w:rPr>
              <w:t>权重</w:t>
            </w:r>
          </w:p>
        </w:tc>
        <w:tc>
          <w:tcPr>
            <w:tcW w:w="20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549173">
            <w:pPr>
              <w:keepNext w:val="0"/>
              <w:keepLines w:val="0"/>
              <w:pageBreakBefore w:val="0"/>
              <w:widowControl/>
              <w:kinsoku/>
              <w:wordWrap/>
              <w:overflowPunct/>
              <w:topLinePunct w:val="0"/>
              <w:autoSpaceDE/>
              <w:autoSpaceDN/>
              <w:bidi w:val="0"/>
              <w:adjustRightInd/>
              <w:snapToGrid/>
              <w:spacing w:line="560" w:lineRule="exact"/>
              <w:ind w:firstLine="643" w:firstLineChars="200"/>
              <w:jc w:val="center"/>
              <w:textAlignment w:val="center"/>
              <w:rPr>
                <w:rFonts w:hint="eastAsia" w:ascii="仿宋_GB2312" w:hAnsi="仿宋_GB2312" w:eastAsia="仿宋_GB2312" w:cs="仿宋_GB2312"/>
                <w:b/>
                <w:bCs/>
                <w:color w:val="000000"/>
                <w:sz w:val="32"/>
                <w:szCs w:val="32"/>
                <w:highlight w:val="none"/>
              </w:rPr>
            </w:pPr>
            <w:r>
              <w:rPr>
                <w:rFonts w:hint="eastAsia" w:ascii="仿宋_GB2312" w:hAnsi="仿宋_GB2312" w:eastAsia="仿宋_GB2312" w:cs="仿宋_GB2312"/>
                <w:b/>
                <w:bCs/>
                <w:color w:val="000000"/>
                <w:kern w:val="0"/>
                <w:sz w:val="32"/>
                <w:szCs w:val="32"/>
                <w:highlight w:val="none"/>
              </w:rPr>
              <w:t>得分率</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61DE54">
            <w:pPr>
              <w:keepNext w:val="0"/>
              <w:keepLines w:val="0"/>
              <w:pageBreakBefore w:val="0"/>
              <w:widowControl/>
              <w:kinsoku/>
              <w:wordWrap/>
              <w:overflowPunct/>
              <w:topLinePunct w:val="0"/>
              <w:autoSpaceDE/>
              <w:autoSpaceDN/>
              <w:bidi w:val="0"/>
              <w:adjustRightInd/>
              <w:snapToGrid/>
              <w:spacing w:line="560" w:lineRule="exact"/>
              <w:ind w:firstLine="643" w:firstLineChars="200"/>
              <w:jc w:val="left"/>
              <w:textAlignment w:val="center"/>
              <w:rPr>
                <w:rFonts w:hint="eastAsia" w:ascii="仿宋_GB2312" w:hAnsi="仿宋_GB2312" w:eastAsia="仿宋_GB2312" w:cs="仿宋_GB2312"/>
                <w:b/>
                <w:bCs/>
                <w:color w:val="000000"/>
                <w:sz w:val="32"/>
                <w:szCs w:val="32"/>
                <w:highlight w:val="none"/>
              </w:rPr>
            </w:pPr>
            <w:r>
              <w:rPr>
                <w:rFonts w:hint="eastAsia" w:ascii="仿宋_GB2312" w:hAnsi="仿宋_GB2312" w:eastAsia="仿宋_GB2312" w:cs="仿宋_GB2312"/>
                <w:b/>
                <w:bCs/>
                <w:color w:val="000000"/>
                <w:kern w:val="0"/>
                <w:sz w:val="32"/>
                <w:szCs w:val="32"/>
                <w:highlight w:val="none"/>
              </w:rPr>
              <w:t>实际得分</w:t>
            </w:r>
          </w:p>
        </w:tc>
      </w:tr>
      <w:tr w14:paraId="6CF5890A">
        <w:tblPrEx>
          <w:tblCellMar>
            <w:top w:w="0" w:type="dxa"/>
            <w:left w:w="0" w:type="dxa"/>
            <w:bottom w:w="0" w:type="dxa"/>
            <w:right w:w="0" w:type="dxa"/>
          </w:tblCellMar>
        </w:tblPrEx>
        <w:trPr>
          <w:trHeight w:val="312"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0B257B76">
            <w:pPr>
              <w:keepNext w:val="0"/>
              <w:keepLines w:val="0"/>
              <w:pageBreakBefore w:val="0"/>
              <w:widowControl/>
              <w:kinsoku/>
              <w:wordWrap/>
              <w:overflowPunct/>
              <w:topLinePunct w:val="0"/>
              <w:autoSpaceDE/>
              <w:autoSpaceDN/>
              <w:bidi w:val="0"/>
              <w:adjustRightInd/>
              <w:snapToGrid/>
              <w:spacing w:line="560" w:lineRule="exact"/>
              <w:ind w:firstLine="640" w:firstLineChars="200"/>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资金到位率</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582945C8">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7B10A409">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100%</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9AAB18">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1</w:t>
            </w:r>
          </w:p>
        </w:tc>
      </w:tr>
      <w:tr w14:paraId="2C71BC05">
        <w:tblPrEx>
          <w:tblCellMar>
            <w:top w:w="0" w:type="dxa"/>
            <w:left w:w="0" w:type="dxa"/>
            <w:bottom w:w="0" w:type="dxa"/>
            <w:right w:w="0" w:type="dxa"/>
          </w:tblCellMar>
        </w:tblPrEx>
        <w:trPr>
          <w:trHeight w:val="615"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50F61875">
            <w:pPr>
              <w:keepNext w:val="0"/>
              <w:keepLines w:val="0"/>
              <w:pageBreakBefore w:val="0"/>
              <w:widowControl/>
              <w:kinsoku/>
              <w:wordWrap/>
              <w:overflowPunct/>
              <w:topLinePunct w:val="0"/>
              <w:autoSpaceDE/>
              <w:autoSpaceDN/>
              <w:bidi w:val="0"/>
              <w:adjustRightInd/>
              <w:snapToGrid/>
              <w:spacing w:line="560" w:lineRule="exact"/>
              <w:ind w:firstLine="640" w:firstLineChars="200"/>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预算执行率</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0B8C59F8">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19FD0F0E">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lang w:val="en-US" w:eastAsia="zh-CN"/>
              </w:rPr>
              <w:t>93.5</w:t>
            </w:r>
            <w:r>
              <w:rPr>
                <w:rFonts w:hint="eastAsia" w:ascii="仿宋_GB2312" w:hAnsi="仿宋_GB2312" w:eastAsia="仿宋_GB2312" w:cs="仿宋_GB2312"/>
                <w:color w:val="000000"/>
                <w:kern w:val="0"/>
                <w:sz w:val="32"/>
                <w:szCs w:val="32"/>
                <w:highlight w:val="none"/>
              </w:rPr>
              <w:t>%</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455F35">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0.93</w:t>
            </w:r>
          </w:p>
        </w:tc>
      </w:tr>
      <w:tr w14:paraId="0A2ED035">
        <w:tblPrEx>
          <w:tblCellMar>
            <w:top w:w="0" w:type="dxa"/>
            <w:left w:w="0" w:type="dxa"/>
            <w:bottom w:w="0" w:type="dxa"/>
            <w:right w:w="0" w:type="dxa"/>
          </w:tblCellMar>
        </w:tblPrEx>
        <w:trPr>
          <w:trHeight w:val="432"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08F4069B">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资金使用合规性</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44798BC9">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723FD91A">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100%</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4BE64A">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1</w:t>
            </w:r>
          </w:p>
        </w:tc>
      </w:tr>
      <w:tr w14:paraId="4C5C8537">
        <w:tblPrEx>
          <w:tblCellMar>
            <w:top w:w="0" w:type="dxa"/>
            <w:left w:w="0" w:type="dxa"/>
            <w:bottom w:w="0" w:type="dxa"/>
            <w:right w:w="0" w:type="dxa"/>
          </w:tblCellMar>
        </w:tblPrEx>
        <w:trPr>
          <w:trHeight w:val="432"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7423A894">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管理制度健全性</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2DE59785">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1ACAF896">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100%</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984415">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1</w:t>
            </w:r>
          </w:p>
        </w:tc>
      </w:tr>
      <w:tr w14:paraId="02BC4826">
        <w:tblPrEx>
          <w:tblCellMar>
            <w:top w:w="0" w:type="dxa"/>
            <w:left w:w="0" w:type="dxa"/>
            <w:bottom w:w="0" w:type="dxa"/>
            <w:right w:w="0" w:type="dxa"/>
          </w:tblCellMar>
        </w:tblPrEx>
        <w:trPr>
          <w:trHeight w:val="432"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61C908DD">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制度执行</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49746B1F">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6F11252A">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100%</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0E4B04">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1</w:t>
            </w:r>
          </w:p>
        </w:tc>
      </w:tr>
      <w:tr w14:paraId="64955122">
        <w:tblPrEx>
          <w:tblCellMar>
            <w:top w:w="0" w:type="dxa"/>
            <w:left w:w="0" w:type="dxa"/>
            <w:bottom w:w="0" w:type="dxa"/>
            <w:right w:w="0" w:type="dxa"/>
          </w:tblCellMar>
        </w:tblPrEx>
        <w:trPr>
          <w:trHeight w:val="432" w:hRule="atLeast"/>
        </w:trPr>
        <w:tc>
          <w:tcPr>
            <w:tcW w:w="242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8038C8">
            <w:pPr>
              <w:keepNext w:val="0"/>
              <w:keepLines w:val="0"/>
              <w:pageBreakBefore w:val="0"/>
              <w:widowControl/>
              <w:kinsoku/>
              <w:wordWrap/>
              <w:overflowPunct/>
              <w:topLinePunct w:val="0"/>
              <w:autoSpaceDE/>
              <w:autoSpaceDN/>
              <w:bidi w:val="0"/>
              <w:adjustRightInd/>
              <w:snapToGrid/>
              <w:spacing w:line="560" w:lineRule="exact"/>
              <w:ind w:firstLine="640" w:firstLineChars="200"/>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合计</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014FEE21">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439F6D73">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9</w:t>
            </w:r>
            <w:r>
              <w:rPr>
                <w:rFonts w:hint="eastAsia" w:ascii="仿宋_GB2312" w:hAnsi="仿宋_GB2312" w:eastAsia="仿宋_GB2312" w:cs="仿宋_GB2312"/>
                <w:color w:val="000000"/>
                <w:kern w:val="0"/>
                <w:sz w:val="32"/>
                <w:szCs w:val="32"/>
                <w:highlight w:val="none"/>
                <w:lang w:val="en-US" w:eastAsia="zh-CN"/>
              </w:rPr>
              <w:t>8.7</w:t>
            </w:r>
            <w:r>
              <w:rPr>
                <w:rFonts w:hint="eastAsia" w:ascii="仿宋_GB2312" w:hAnsi="仿宋_GB2312" w:eastAsia="仿宋_GB2312" w:cs="仿宋_GB2312"/>
                <w:color w:val="000000"/>
                <w:kern w:val="0"/>
                <w:sz w:val="32"/>
                <w:szCs w:val="32"/>
                <w:highlight w:val="none"/>
              </w:rPr>
              <w:t>%</w:t>
            </w:r>
          </w:p>
        </w:tc>
        <w:tc>
          <w:tcPr>
            <w:tcW w:w="211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3AF2C9B1">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4.93</w:t>
            </w:r>
          </w:p>
        </w:tc>
      </w:tr>
    </w:tbl>
    <w:p w14:paraId="4472987C">
      <w:pPr>
        <w:keepNext w:val="0"/>
        <w:keepLines w:val="0"/>
        <w:pageBreakBefore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320" w:firstLineChars="1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项目管理类指标分值5分，实际得分</w:t>
      </w:r>
      <w:r>
        <w:rPr>
          <w:rFonts w:hint="eastAsia" w:ascii="仿宋_GB2312" w:hAnsi="仿宋_GB2312" w:eastAsia="仿宋_GB2312" w:cs="仿宋_GB2312"/>
          <w:sz w:val="32"/>
          <w:szCs w:val="32"/>
          <w:highlight w:val="none"/>
          <w:lang w:val="en-US" w:eastAsia="zh-CN"/>
        </w:rPr>
        <w:t>4.93</w:t>
      </w:r>
      <w:r>
        <w:rPr>
          <w:rFonts w:hint="eastAsia" w:ascii="仿宋_GB2312" w:hAnsi="仿宋_GB2312" w:eastAsia="仿宋_GB2312" w:cs="仿宋_GB2312"/>
          <w:sz w:val="32"/>
          <w:szCs w:val="32"/>
          <w:highlight w:val="none"/>
        </w:rPr>
        <w:t>分，得分率为9</w:t>
      </w:r>
      <w:r>
        <w:rPr>
          <w:rFonts w:hint="eastAsia" w:ascii="仿宋_GB2312" w:hAnsi="仿宋_GB2312" w:eastAsia="仿宋_GB2312" w:cs="仿宋_GB2312"/>
          <w:sz w:val="32"/>
          <w:szCs w:val="32"/>
          <w:highlight w:val="none"/>
          <w:lang w:val="en-US" w:eastAsia="zh-CN"/>
        </w:rPr>
        <w:t>8.7</w:t>
      </w:r>
      <w:r>
        <w:rPr>
          <w:rFonts w:hint="eastAsia" w:ascii="仿宋_GB2312" w:hAnsi="仿宋_GB2312" w:eastAsia="仿宋_GB2312" w:cs="仿宋_GB2312"/>
          <w:sz w:val="32"/>
          <w:szCs w:val="32"/>
          <w:highlight w:val="none"/>
        </w:rPr>
        <w:t>%。由综合科、外事科根据职责分工，落实好相关项目资金</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加强日常支出管理，确保项目资金科学合理使用。</w:t>
      </w:r>
    </w:p>
    <w:p w14:paraId="659FCD3F">
      <w:pPr>
        <w:keepNext w:val="0"/>
        <w:keepLines w:val="0"/>
        <w:pageBreakBefore w:val="0"/>
        <w:numPr>
          <w:ilvl w:val="0"/>
          <w:numId w:val="4"/>
        </w:numPr>
        <w:pBdr>
          <w:bottom w:val="single" w:color="FFFFFF" w:sz="4" w:space="31"/>
        </w:pBdr>
        <w:tabs>
          <w:tab w:val="left" w:pos="1440"/>
        </w:tabs>
        <w:kinsoku/>
        <w:wordWrap/>
        <w:overflowPunct/>
        <w:topLinePunct w:val="0"/>
        <w:autoSpaceDE/>
        <w:autoSpaceDN/>
        <w:bidi w:val="0"/>
        <w:adjustRightInd w:val="0"/>
        <w:snapToGrid w:val="0"/>
        <w:spacing w:line="560" w:lineRule="exact"/>
        <w:ind w:left="0" w:leftChars="0" w:firstLine="643" w:firstLineChars="200"/>
        <w:rPr>
          <w:rFonts w:hint="eastAsia" w:ascii="仿宋" w:hAnsi="仿宋" w:eastAsia="仿宋" w:cs="楷体_GB2312"/>
          <w:b/>
          <w:bCs/>
          <w:sz w:val="32"/>
          <w:szCs w:val="32"/>
          <w:highlight w:val="none"/>
        </w:rPr>
      </w:pPr>
      <w:r>
        <w:rPr>
          <w:rFonts w:hint="eastAsia" w:ascii="仿宋" w:hAnsi="仿宋" w:eastAsia="仿宋" w:cs="楷体_GB2312"/>
          <w:b/>
          <w:bCs/>
          <w:sz w:val="32"/>
          <w:szCs w:val="32"/>
          <w:highlight w:val="none"/>
        </w:rPr>
        <w:t>项目产出情况。</w:t>
      </w:r>
    </w:p>
    <w:p w14:paraId="4D1A9DDB">
      <w:pPr>
        <w:keepNext w:val="0"/>
        <w:keepLines w:val="0"/>
        <w:pageBreakBefore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项目产出的产出数量、产出质量、产出时效、成本情况4个方面对项目的绩效情况进行评价。项目绩效类指标分值50分，实际得分</w:t>
      </w:r>
      <w:r>
        <w:rPr>
          <w:rFonts w:hint="eastAsia" w:ascii="仿宋_GB2312" w:hAnsi="仿宋_GB2312" w:eastAsia="仿宋_GB2312" w:cs="仿宋_GB2312"/>
          <w:color w:val="auto"/>
          <w:sz w:val="32"/>
          <w:szCs w:val="32"/>
          <w:highlight w:val="none"/>
          <w:lang w:val="en-US" w:eastAsia="zh-CN"/>
        </w:rPr>
        <w:t>25.2</w:t>
      </w:r>
      <w:r>
        <w:rPr>
          <w:rFonts w:hint="eastAsia" w:ascii="仿宋_GB2312" w:hAnsi="仿宋_GB2312" w:eastAsia="仿宋_GB2312" w:cs="仿宋_GB2312"/>
          <w:color w:val="auto"/>
          <w:sz w:val="32"/>
          <w:szCs w:val="32"/>
          <w:highlight w:val="none"/>
        </w:rPr>
        <w:t>分，得分率为</w:t>
      </w:r>
      <w:r>
        <w:rPr>
          <w:rFonts w:hint="eastAsia" w:ascii="仿宋_GB2312" w:hAnsi="仿宋_GB2312" w:eastAsia="仿宋_GB2312" w:cs="仿宋_GB2312"/>
          <w:color w:val="auto"/>
          <w:sz w:val="32"/>
          <w:szCs w:val="32"/>
          <w:highlight w:val="none"/>
          <w:lang w:val="en-US" w:eastAsia="zh-CN"/>
        </w:rPr>
        <w:t>50.5</w:t>
      </w:r>
      <w:r>
        <w:rPr>
          <w:rFonts w:hint="eastAsia" w:ascii="仿宋_GB2312" w:hAnsi="仿宋_GB2312" w:eastAsia="仿宋_GB2312" w:cs="仿宋_GB2312"/>
          <w:color w:val="auto"/>
          <w:sz w:val="32"/>
          <w:szCs w:val="32"/>
          <w:highlight w:val="none"/>
        </w:rPr>
        <w:t>%。</w:t>
      </w:r>
    </w:p>
    <w:p w14:paraId="6DDF0613">
      <w:pPr>
        <w:keepNext w:val="0"/>
        <w:keepLines w:val="0"/>
        <w:pageBreakBefore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2570" w:firstLineChars="800"/>
        <w:rPr>
          <w:rFonts w:hint="eastAsia"/>
        </w:rPr>
      </w:pPr>
      <w:r>
        <w:rPr>
          <w:rStyle w:val="54"/>
          <w:rFonts w:hint="eastAsia" w:ascii="仿宋" w:hAnsi="仿宋" w:eastAsia="仿宋" w:cs="仿宋"/>
          <w:b/>
          <w:bCs/>
          <w:color w:val="auto"/>
          <w:highlight w:val="none"/>
        </w:rPr>
        <w:t>项目</w:t>
      </w:r>
      <w:r>
        <w:rPr>
          <w:rStyle w:val="54"/>
          <w:rFonts w:hint="eastAsia" w:ascii="仿宋" w:hAnsi="仿宋" w:eastAsia="仿宋" w:cs="仿宋"/>
          <w:b/>
          <w:bCs/>
          <w:color w:val="auto"/>
          <w:highlight w:val="none"/>
          <w:lang w:eastAsia="zh-CN"/>
        </w:rPr>
        <w:t>产出</w:t>
      </w:r>
      <w:r>
        <w:rPr>
          <w:rStyle w:val="54"/>
          <w:rFonts w:hint="eastAsia" w:ascii="仿宋" w:hAnsi="仿宋" w:eastAsia="仿宋" w:cs="仿宋"/>
          <w:b/>
          <w:bCs/>
          <w:color w:val="auto"/>
          <w:highlight w:val="none"/>
        </w:rPr>
        <w:t>指标得分情况</w:t>
      </w:r>
    </w:p>
    <w:tbl>
      <w:tblPr>
        <w:tblStyle w:val="22"/>
        <w:tblW w:w="87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88"/>
        <w:gridCol w:w="2042"/>
        <w:gridCol w:w="2041"/>
        <w:gridCol w:w="2042"/>
      </w:tblGrid>
      <w:tr w14:paraId="24CA4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88" w:type="dxa"/>
            <w:shd w:val="clear" w:color="auto" w:fill="auto"/>
            <w:vAlign w:val="center"/>
          </w:tcPr>
          <w:p w14:paraId="705A43B3">
            <w:pPr>
              <w:pageBreakBefore w:val="0"/>
              <w:widowControl/>
              <w:kinsoku/>
              <w:wordWrap/>
              <w:overflowPunct/>
              <w:topLinePunct w:val="0"/>
              <w:autoSpaceDE/>
              <w:autoSpaceDN/>
              <w:bidi w:val="0"/>
              <w:adjustRightInd/>
              <w:snapToGrid/>
              <w:spacing w:line="560" w:lineRule="exact"/>
              <w:ind w:firstLine="643" w:firstLineChars="200"/>
              <w:jc w:val="both"/>
              <w:textAlignment w:val="center"/>
              <w:rPr>
                <w:rFonts w:hint="eastAsia" w:ascii="仿宋" w:hAnsi="仿宋" w:eastAsia="仿宋" w:cs="仿宋"/>
                <w:b/>
                <w:bCs/>
                <w:color w:val="000000"/>
                <w:sz w:val="32"/>
                <w:szCs w:val="32"/>
                <w:highlight w:val="none"/>
              </w:rPr>
            </w:pPr>
            <w:r>
              <w:rPr>
                <w:rFonts w:hint="eastAsia" w:ascii="仿宋" w:hAnsi="仿宋" w:eastAsia="仿宋" w:cs="仿宋"/>
                <w:b/>
                <w:bCs/>
                <w:color w:val="000000"/>
                <w:kern w:val="0"/>
                <w:sz w:val="32"/>
                <w:szCs w:val="32"/>
                <w:highlight w:val="none"/>
              </w:rPr>
              <w:t>三级指标</w:t>
            </w:r>
          </w:p>
        </w:tc>
        <w:tc>
          <w:tcPr>
            <w:tcW w:w="2042" w:type="dxa"/>
            <w:shd w:val="clear" w:color="auto" w:fill="auto"/>
            <w:vAlign w:val="center"/>
          </w:tcPr>
          <w:p w14:paraId="739B006C">
            <w:pPr>
              <w:pageBreakBefore w:val="0"/>
              <w:widowControl/>
              <w:kinsoku/>
              <w:wordWrap/>
              <w:overflowPunct/>
              <w:topLinePunct w:val="0"/>
              <w:autoSpaceDE/>
              <w:autoSpaceDN/>
              <w:bidi w:val="0"/>
              <w:adjustRightInd/>
              <w:snapToGrid/>
              <w:spacing w:line="560" w:lineRule="exact"/>
              <w:ind w:firstLine="643" w:firstLineChars="200"/>
              <w:jc w:val="left"/>
              <w:textAlignment w:val="center"/>
              <w:rPr>
                <w:rFonts w:hint="eastAsia" w:ascii="仿宋" w:hAnsi="仿宋" w:eastAsia="仿宋" w:cs="仿宋"/>
                <w:b/>
                <w:bCs/>
                <w:color w:val="000000"/>
                <w:sz w:val="32"/>
                <w:szCs w:val="32"/>
                <w:highlight w:val="none"/>
              </w:rPr>
            </w:pPr>
            <w:r>
              <w:rPr>
                <w:rFonts w:hint="eastAsia" w:ascii="仿宋" w:hAnsi="仿宋" w:eastAsia="仿宋" w:cs="仿宋"/>
                <w:b/>
                <w:bCs/>
                <w:color w:val="000000"/>
                <w:kern w:val="0"/>
                <w:sz w:val="32"/>
                <w:szCs w:val="32"/>
                <w:highlight w:val="none"/>
              </w:rPr>
              <w:t>权重</w:t>
            </w:r>
          </w:p>
        </w:tc>
        <w:tc>
          <w:tcPr>
            <w:tcW w:w="2041" w:type="dxa"/>
            <w:shd w:val="clear" w:color="auto" w:fill="auto"/>
            <w:vAlign w:val="center"/>
          </w:tcPr>
          <w:p w14:paraId="37FDB6CE">
            <w:pPr>
              <w:pageBreakBefore w:val="0"/>
              <w:widowControl/>
              <w:kinsoku/>
              <w:wordWrap/>
              <w:overflowPunct/>
              <w:topLinePunct w:val="0"/>
              <w:autoSpaceDE/>
              <w:autoSpaceDN/>
              <w:bidi w:val="0"/>
              <w:adjustRightInd/>
              <w:snapToGrid/>
              <w:spacing w:line="560" w:lineRule="exact"/>
              <w:ind w:firstLine="643" w:firstLineChars="200"/>
              <w:jc w:val="both"/>
              <w:textAlignment w:val="center"/>
              <w:rPr>
                <w:rFonts w:hint="eastAsia" w:ascii="仿宋" w:hAnsi="仿宋" w:eastAsia="仿宋" w:cs="仿宋"/>
                <w:b/>
                <w:bCs/>
                <w:color w:val="000000"/>
                <w:sz w:val="32"/>
                <w:szCs w:val="32"/>
                <w:highlight w:val="none"/>
              </w:rPr>
            </w:pPr>
            <w:r>
              <w:rPr>
                <w:rFonts w:hint="eastAsia" w:ascii="仿宋" w:hAnsi="仿宋" w:eastAsia="仿宋" w:cs="仿宋"/>
                <w:b/>
                <w:bCs/>
                <w:color w:val="000000"/>
                <w:kern w:val="0"/>
                <w:sz w:val="32"/>
                <w:szCs w:val="32"/>
                <w:highlight w:val="none"/>
              </w:rPr>
              <w:t>得分率</w:t>
            </w:r>
          </w:p>
        </w:tc>
        <w:tc>
          <w:tcPr>
            <w:tcW w:w="2042" w:type="dxa"/>
            <w:shd w:val="clear" w:color="auto" w:fill="auto"/>
            <w:vAlign w:val="center"/>
          </w:tcPr>
          <w:p w14:paraId="75690E66">
            <w:pPr>
              <w:pageBreakBefore w:val="0"/>
              <w:widowControl/>
              <w:kinsoku/>
              <w:wordWrap/>
              <w:overflowPunct/>
              <w:topLinePunct w:val="0"/>
              <w:autoSpaceDE/>
              <w:autoSpaceDN/>
              <w:bidi w:val="0"/>
              <w:adjustRightInd/>
              <w:snapToGrid/>
              <w:spacing w:line="560" w:lineRule="exact"/>
              <w:ind w:firstLine="643" w:firstLineChars="200"/>
              <w:jc w:val="left"/>
              <w:textAlignment w:val="center"/>
              <w:rPr>
                <w:rFonts w:hint="eastAsia" w:ascii="仿宋" w:hAnsi="仿宋" w:eastAsia="仿宋" w:cs="仿宋"/>
                <w:b/>
                <w:bCs/>
                <w:color w:val="000000"/>
                <w:sz w:val="32"/>
                <w:szCs w:val="32"/>
                <w:highlight w:val="none"/>
              </w:rPr>
            </w:pPr>
            <w:r>
              <w:rPr>
                <w:rFonts w:hint="eastAsia" w:ascii="仿宋" w:hAnsi="仿宋" w:eastAsia="仿宋" w:cs="仿宋"/>
                <w:b/>
                <w:bCs/>
                <w:color w:val="000000"/>
                <w:kern w:val="0"/>
                <w:sz w:val="32"/>
                <w:szCs w:val="32"/>
                <w:highlight w:val="none"/>
              </w:rPr>
              <w:t>实际得分</w:t>
            </w:r>
          </w:p>
        </w:tc>
      </w:tr>
      <w:tr w14:paraId="6757E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88" w:type="dxa"/>
            <w:shd w:val="clear" w:color="auto" w:fill="auto"/>
            <w:vAlign w:val="center"/>
          </w:tcPr>
          <w:p w14:paraId="32817CC1">
            <w:pPr>
              <w:pageBreakBefore w:val="0"/>
              <w:widowControl/>
              <w:kinsoku/>
              <w:wordWrap/>
              <w:overflowPunct/>
              <w:topLinePunct w:val="0"/>
              <w:autoSpaceDE/>
              <w:autoSpaceDN/>
              <w:bidi w:val="0"/>
              <w:adjustRightInd/>
              <w:snapToGrid/>
              <w:spacing w:line="560" w:lineRule="exact"/>
              <w:ind w:firstLine="640" w:firstLineChars="200"/>
              <w:jc w:val="left"/>
              <w:rPr>
                <w:rFonts w:hint="eastAsia" w:ascii="仿宋" w:hAnsi="仿宋" w:eastAsia="仿宋" w:cs="仿宋"/>
                <w:color w:val="000000"/>
                <w:kern w:val="0"/>
                <w:sz w:val="32"/>
                <w:szCs w:val="32"/>
                <w:highlight w:val="none"/>
              </w:rPr>
            </w:pPr>
            <w:r>
              <w:rPr>
                <w:rFonts w:hint="eastAsia" w:ascii="仿宋" w:hAnsi="仿宋" w:eastAsia="仿宋" w:cs="仿宋"/>
                <w:color w:val="000000"/>
                <w:kern w:val="0"/>
                <w:sz w:val="32"/>
                <w:szCs w:val="32"/>
                <w:highlight w:val="none"/>
              </w:rPr>
              <w:t>产出数量</w:t>
            </w:r>
          </w:p>
        </w:tc>
        <w:tc>
          <w:tcPr>
            <w:tcW w:w="2042" w:type="dxa"/>
            <w:shd w:val="clear" w:color="auto" w:fill="auto"/>
            <w:vAlign w:val="center"/>
          </w:tcPr>
          <w:p w14:paraId="43774430">
            <w:pPr>
              <w:pageBreakBefore w:val="0"/>
              <w:widowControl/>
              <w:kinsoku/>
              <w:wordWrap/>
              <w:overflowPunct/>
              <w:topLinePunct w:val="0"/>
              <w:autoSpaceDE/>
              <w:autoSpaceDN/>
              <w:bidi w:val="0"/>
              <w:adjustRightInd/>
              <w:snapToGrid/>
              <w:spacing w:line="560" w:lineRule="exact"/>
              <w:ind w:firstLine="640" w:firstLineChars="200"/>
              <w:jc w:val="both"/>
              <w:rPr>
                <w:rFonts w:hint="eastAsia" w:ascii="仿宋" w:hAnsi="仿宋" w:eastAsia="仿宋" w:cs="仿宋"/>
                <w:color w:val="000000"/>
                <w:kern w:val="0"/>
                <w:sz w:val="32"/>
                <w:szCs w:val="32"/>
                <w:highlight w:val="none"/>
              </w:rPr>
            </w:pPr>
            <w:r>
              <w:rPr>
                <w:rFonts w:hint="eastAsia" w:ascii="仿宋" w:hAnsi="仿宋" w:eastAsia="仿宋" w:cs="仿宋"/>
                <w:color w:val="000000"/>
                <w:kern w:val="0"/>
                <w:sz w:val="32"/>
                <w:szCs w:val="32"/>
                <w:highlight w:val="none"/>
              </w:rPr>
              <w:t>15</w:t>
            </w:r>
          </w:p>
        </w:tc>
        <w:tc>
          <w:tcPr>
            <w:tcW w:w="2041" w:type="dxa"/>
            <w:shd w:val="clear" w:color="auto" w:fill="auto"/>
            <w:vAlign w:val="center"/>
          </w:tcPr>
          <w:p w14:paraId="35670F98">
            <w:pPr>
              <w:pageBreakBefore w:val="0"/>
              <w:widowControl/>
              <w:kinsoku/>
              <w:wordWrap/>
              <w:overflowPunct/>
              <w:topLinePunct w:val="0"/>
              <w:autoSpaceDE/>
              <w:autoSpaceDN/>
              <w:bidi w:val="0"/>
              <w:adjustRightInd/>
              <w:snapToGrid/>
              <w:spacing w:line="560" w:lineRule="exact"/>
              <w:jc w:val="center"/>
              <w:rPr>
                <w:rFonts w:hint="default" w:ascii="仿宋" w:hAnsi="仿宋" w:eastAsia="仿宋" w:cs="仿宋"/>
                <w:color w:val="000000"/>
                <w:kern w:val="0"/>
                <w:sz w:val="32"/>
                <w:szCs w:val="32"/>
                <w:highlight w:val="none"/>
                <w:lang w:val="en-US" w:eastAsia="zh-CN"/>
              </w:rPr>
            </w:pPr>
            <w:r>
              <w:rPr>
                <w:rFonts w:hint="eastAsia" w:ascii="仿宋" w:hAnsi="仿宋" w:eastAsia="仿宋" w:cs="仿宋"/>
                <w:color w:val="000000"/>
                <w:kern w:val="0"/>
                <w:sz w:val="32"/>
                <w:szCs w:val="32"/>
                <w:highlight w:val="none"/>
                <w:lang w:val="en-US" w:eastAsia="zh-CN"/>
              </w:rPr>
              <w:t>75%</w:t>
            </w:r>
          </w:p>
        </w:tc>
        <w:tc>
          <w:tcPr>
            <w:tcW w:w="2042" w:type="dxa"/>
            <w:shd w:val="clear" w:color="auto" w:fill="auto"/>
            <w:vAlign w:val="center"/>
          </w:tcPr>
          <w:p w14:paraId="1D21FC74">
            <w:pPr>
              <w:pageBreakBefore w:val="0"/>
              <w:widowControl/>
              <w:kinsoku/>
              <w:wordWrap/>
              <w:overflowPunct/>
              <w:topLinePunct w:val="0"/>
              <w:autoSpaceDE/>
              <w:autoSpaceDN/>
              <w:bidi w:val="0"/>
              <w:adjustRightInd/>
              <w:snapToGrid/>
              <w:spacing w:line="560" w:lineRule="exact"/>
              <w:ind w:firstLine="640" w:firstLineChars="200"/>
              <w:jc w:val="both"/>
              <w:rPr>
                <w:rFonts w:hint="default" w:ascii="仿宋" w:hAnsi="仿宋" w:eastAsia="仿宋" w:cs="仿宋"/>
                <w:color w:val="000000"/>
                <w:kern w:val="0"/>
                <w:sz w:val="32"/>
                <w:szCs w:val="32"/>
                <w:highlight w:val="none"/>
                <w:lang w:val="en-US" w:eastAsia="zh-CN"/>
              </w:rPr>
            </w:pPr>
            <w:r>
              <w:rPr>
                <w:rFonts w:hint="eastAsia" w:ascii="仿宋" w:hAnsi="仿宋" w:eastAsia="仿宋" w:cs="仿宋"/>
                <w:color w:val="000000"/>
                <w:kern w:val="0"/>
                <w:sz w:val="32"/>
                <w:szCs w:val="32"/>
                <w:highlight w:val="none"/>
                <w:lang w:val="en-US" w:eastAsia="zh-CN"/>
              </w:rPr>
              <w:t>11.25</w:t>
            </w:r>
          </w:p>
        </w:tc>
      </w:tr>
      <w:tr w14:paraId="2EEC4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88" w:type="dxa"/>
            <w:shd w:val="clear" w:color="auto" w:fill="auto"/>
            <w:vAlign w:val="center"/>
          </w:tcPr>
          <w:p w14:paraId="55943839">
            <w:pPr>
              <w:pageBreakBefore w:val="0"/>
              <w:widowControl/>
              <w:kinsoku/>
              <w:wordWrap/>
              <w:overflowPunct/>
              <w:topLinePunct w:val="0"/>
              <w:autoSpaceDE/>
              <w:autoSpaceDN/>
              <w:bidi w:val="0"/>
              <w:adjustRightInd/>
              <w:snapToGrid/>
              <w:spacing w:line="560" w:lineRule="exact"/>
              <w:ind w:firstLine="640" w:firstLineChars="200"/>
              <w:jc w:val="left"/>
              <w:rPr>
                <w:rFonts w:hint="eastAsia" w:ascii="仿宋" w:hAnsi="仿宋" w:eastAsia="仿宋" w:cs="仿宋"/>
                <w:color w:val="000000"/>
                <w:kern w:val="0"/>
                <w:sz w:val="32"/>
                <w:szCs w:val="32"/>
                <w:highlight w:val="none"/>
              </w:rPr>
            </w:pPr>
            <w:r>
              <w:rPr>
                <w:rFonts w:hint="eastAsia" w:ascii="仿宋" w:hAnsi="仿宋" w:eastAsia="仿宋" w:cs="仿宋"/>
                <w:color w:val="000000"/>
                <w:kern w:val="0"/>
                <w:sz w:val="32"/>
                <w:szCs w:val="32"/>
                <w:highlight w:val="none"/>
              </w:rPr>
              <w:t>产出质量</w:t>
            </w:r>
          </w:p>
        </w:tc>
        <w:tc>
          <w:tcPr>
            <w:tcW w:w="2042" w:type="dxa"/>
            <w:shd w:val="clear" w:color="auto" w:fill="auto"/>
            <w:vAlign w:val="center"/>
          </w:tcPr>
          <w:p w14:paraId="4D7CAB5F">
            <w:pPr>
              <w:pageBreakBefore w:val="0"/>
              <w:widowControl/>
              <w:kinsoku/>
              <w:wordWrap/>
              <w:overflowPunct/>
              <w:topLinePunct w:val="0"/>
              <w:autoSpaceDE/>
              <w:autoSpaceDN/>
              <w:bidi w:val="0"/>
              <w:adjustRightInd/>
              <w:snapToGrid/>
              <w:spacing w:line="560" w:lineRule="exact"/>
              <w:ind w:firstLine="640" w:firstLineChars="200"/>
              <w:jc w:val="both"/>
              <w:rPr>
                <w:rFonts w:hint="eastAsia" w:ascii="仿宋" w:hAnsi="仿宋" w:eastAsia="仿宋" w:cs="仿宋"/>
                <w:color w:val="000000"/>
                <w:kern w:val="0"/>
                <w:sz w:val="32"/>
                <w:szCs w:val="32"/>
                <w:highlight w:val="none"/>
              </w:rPr>
            </w:pPr>
            <w:r>
              <w:rPr>
                <w:rFonts w:hint="eastAsia" w:ascii="仿宋" w:hAnsi="仿宋" w:eastAsia="仿宋" w:cs="仿宋"/>
                <w:color w:val="000000"/>
                <w:kern w:val="0"/>
                <w:sz w:val="32"/>
                <w:szCs w:val="32"/>
                <w:highlight w:val="none"/>
              </w:rPr>
              <w:t>10</w:t>
            </w:r>
          </w:p>
        </w:tc>
        <w:tc>
          <w:tcPr>
            <w:tcW w:w="2041" w:type="dxa"/>
            <w:shd w:val="clear" w:color="auto" w:fill="auto"/>
            <w:vAlign w:val="center"/>
          </w:tcPr>
          <w:p w14:paraId="41C372FE">
            <w:pPr>
              <w:pageBreakBefore w:val="0"/>
              <w:widowControl/>
              <w:kinsoku/>
              <w:wordWrap/>
              <w:overflowPunct/>
              <w:topLinePunct w:val="0"/>
              <w:autoSpaceDE/>
              <w:autoSpaceDN/>
              <w:bidi w:val="0"/>
              <w:adjustRightInd/>
              <w:snapToGrid/>
              <w:spacing w:line="560" w:lineRule="exact"/>
              <w:jc w:val="center"/>
              <w:rPr>
                <w:rFonts w:hint="default" w:ascii="仿宋" w:hAnsi="仿宋" w:eastAsia="仿宋" w:cs="仿宋"/>
                <w:color w:val="000000"/>
                <w:kern w:val="0"/>
                <w:sz w:val="32"/>
                <w:szCs w:val="32"/>
                <w:highlight w:val="none"/>
                <w:lang w:val="en-US" w:eastAsia="zh-CN"/>
              </w:rPr>
            </w:pPr>
            <w:r>
              <w:rPr>
                <w:rFonts w:hint="eastAsia" w:ascii="仿宋" w:hAnsi="仿宋" w:eastAsia="仿宋" w:cs="仿宋"/>
                <w:color w:val="000000"/>
                <w:kern w:val="0"/>
                <w:sz w:val="32"/>
                <w:szCs w:val="32"/>
                <w:highlight w:val="none"/>
                <w:lang w:val="en-US" w:eastAsia="zh-CN"/>
              </w:rPr>
              <w:t>50%</w:t>
            </w:r>
          </w:p>
        </w:tc>
        <w:tc>
          <w:tcPr>
            <w:tcW w:w="2042" w:type="dxa"/>
            <w:shd w:val="clear" w:color="auto" w:fill="auto"/>
            <w:vAlign w:val="center"/>
          </w:tcPr>
          <w:p w14:paraId="73EA1839">
            <w:pPr>
              <w:pageBreakBefore w:val="0"/>
              <w:widowControl/>
              <w:kinsoku/>
              <w:wordWrap/>
              <w:overflowPunct/>
              <w:topLinePunct w:val="0"/>
              <w:autoSpaceDE/>
              <w:autoSpaceDN/>
              <w:bidi w:val="0"/>
              <w:adjustRightInd/>
              <w:snapToGrid/>
              <w:spacing w:line="560" w:lineRule="exact"/>
              <w:ind w:firstLine="640" w:firstLineChars="200"/>
              <w:jc w:val="both"/>
              <w:rPr>
                <w:rFonts w:hint="eastAsia" w:ascii="仿宋" w:hAnsi="仿宋" w:eastAsia="仿宋" w:cs="仿宋"/>
                <w:color w:val="000000"/>
                <w:kern w:val="0"/>
                <w:sz w:val="32"/>
                <w:szCs w:val="32"/>
                <w:highlight w:val="none"/>
                <w:lang w:val="en-US" w:eastAsia="zh-CN"/>
              </w:rPr>
            </w:pPr>
            <w:r>
              <w:rPr>
                <w:rFonts w:hint="eastAsia" w:ascii="仿宋" w:hAnsi="仿宋" w:eastAsia="仿宋" w:cs="仿宋"/>
                <w:color w:val="000000"/>
                <w:kern w:val="0"/>
                <w:sz w:val="32"/>
                <w:szCs w:val="32"/>
                <w:highlight w:val="none"/>
                <w:lang w:val="en-US" w:eastAsia="zh-CN"/>
              </w:rPr>
              <w:t>5</w:t>
            </w:r>
          </w:p>
        </w:tc>
      </w:tr>
      <w:tr w14:paraId="57B52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88" w:type="dxa"/>
            <w:shd w:val="clear" w:color="auto" w:fill="auto"/>
            <w:vAlign w:val="center"/>
          </w:tcPr>
          <w:p w14:paraId="24368DF8">
            <w:pPr>
              <w:pageBreakBefore w:val="0"/>
              <w:widowControl/>
              <w:kinsoku/>
              <w:wordWrap/>
              <w:overflowPunct/>
              <w:topLinePunct w:val="0"/>
              <w:autoSpaceDE/>
              <w:autoSpaceDN/>
              <w:bidi w:val="0"/>
              <w:adjustRightInd/>
              <w:snapToGrid/>
              <w:spacing w:line="560" w:lineRule="exact"/>
              <w:ind w:firstLine="640" w:firstLineChars="200"/>
              <w:jc w:val="left"/>
              <w:rPr>
                <w:rFonts w:hint="eastAsia" w:ascii="仿宋" w:hAnsi="仿宋" w:eastAsia="仿宋" w:cs="仿宋"/>
                <w:color w:val="000000"/>
                <w:kern w:val="0"/>
                <w:sz w:val="32"/>
                <w:szCs w:val="32"/>
                <w:highlight w:val="none"/>
              </w:rPr>
            </w:pPr>
            <w:r>
              <w:rPr>
                <w:rFonts w:hint="eastAsia" w:ascii="仿宋" w:hAnsi="仿宋" w:eastAsia="仿宋" w:cs="仿宋"/>
                <w:color w:val="000000"/>
                <w:kern w:val="0"/>
                <w:sz w:val="32"/>
                <w:szCs w:val="32"/>
                <w:highlight w:val="none"/>
              </w:rPr>
              <w:t>产出时效</w:t>
            </w:r>
          </w:p>
        </w:tc>
        <w:tc>
          <w:tcPr>
            <w:tcW w:w="2042" w:type="dxa"/>
            <w:shd w:val="clear" w:color="auto" w:fill="auto"/>
            <w:vAlign w:val="center"/>
          </w:tcPr>
          <w:p w14:paraId="65D47DB0">
            <w:pPr>
              <w:pageBreakBefore w:val="0"/>
              <w:widowControl/>
              <w:kinsoku/>
              <w:wordWrap/>
              <w:overflowPunct/>
              <w:topLinePunct w:val="0"/>
              <w:autoSpaceDE/>
              <w:autoSpaceDN/>
              <w:bidi w:val="0"/>
              <w:adjustRightInd/>
              <w:snapToGrid/>
              <w:spacing w:line="560" w:lineRule="exact"/>
              <w:ind w:firstLine="640" w:firstLineChars="200"/>
              <w:jc w:val="both"/>
              <w:rPr>
                <w:rFonts w:hint="eastAsia" w:ascii="仿宋" w:hAnsi="仿宋" w:eastAsia="仿宋" w:cs="仿宋"/>
                <w:color w:val="000000"/>
                <w:kern w:val="0"/>
                <w:sz w:val="32"/>
                <w:szCs w:val="32"/>
                <w:highlight w:val="none"/>
              </w:rPr>
            </w:pPr>
            <w:r>
              <w:rPr>
                <w:rFonts w:hint="eastAsia" w:ascii="仿宋" w:hAnsi="仿宋" w:eastAsia="仿宋" w:cs="仿宋"/>
                <w:color w:val="000000"/>
                <w:kern w:val="0"/>
                <w:sz w:val="32"/>
                <w:szCs w:val="32"/>
                <w:highlight w:val="none"/>
              </w:rPr>
              <w:t>15</w:t>
            </w:r>
          </w:p>
        </w:tc>
        <w:tc>
          <w:tcPr>
            <w:tcW w:w="2041" w:type="dxa"/>
            <w:shd w:val="clear" w:color="auto" w:fill="auto"/>
            <w:vAlign w:val="center"/>
          </w:tcPr>
          <w:p w14:paraId="01E8EC0B">
            <w:pPr>
              <w:pageBreakBefore w:val="0"/>
              <w:widowControl/>
              <w:kinsoku/>
              <w:wordWrap/>
              <w:overflowPunct/>
              <w:topLinePunct w:val="0"/>
              <w:autoSpaceDE/>
              <w:autoSpaceDN/>
              <w:bidi w:val="0"/>
              <w:adjustRightInd/>
              <w:snapToGrid/>
              <w:spacing w:line="560" w:lineRule="exact"/>
              <w:jc w:val="center"/>
              <w:rPr>
                <w:rFonts w:hint="default" w:ascii="仿宋" w:hAnsi="仿宋" w:eastAsia="仿宋" w:cs="仿宋"/>
                <w:color w:val="000000"/>
                <w:kern w:val="0"/>
                <w:sz w:val="32"/>
                <w:szCs w:val="32"/>
                <w:highlight w:val="none"/>
                <w:lang w:val="en-US" w:eastAsia="zh-CN"/>
              </w:rPr>
            </w:pPr>
            <w:r>
              <w:rPr>
                <w:rFonts w:hint="eastAsia" w:ascii="仿宋" w:hAnsi="仿宋" w:eastAsia="仿宋" w:cs="仿宋"/>
                <w:color w:val="000000"/>
                <w:kern w:val="0"/>
                <w:sz w:val="32"/>
                <w:szCs w:val="32"/>
                <w:highlight w:val="none"/>
                <w:lang w:val="en-US" w:eastAsia="zh-CN"/>
              </w:rPr>
              <w:t>25%</w:t>
            </w:r>
          </w:p>
        </w:tc>
        <w:tc>
          <w:tcPr>
            <w:tcW w:w="2042" w:type="dxa"/>
            <w:shd w:val="clear" w:color="auto" w:fill="auto"/>
            <w:vAlign w:val="center"/>
          </w:tcPr>
          <w:p w14:paraId="2251BB9E">
            <w:pPr>
              <w:pageBreakBefore w:val="0"/>
              <w:widowControl/>
              <w:kinsoku/>
              <w:wordWrap/>
              <w:overflowPunct/>
              <w:topLinePunct w:val="0"/>
              <w:autoSpaceDE/>
              <w:autoSpaceDN/>
              <w:bidi w:val="0"/>
              <w:adjustRightInd/>
              <w:snapToGrid/>
              <w:spacing w:line="560" w:lineRule="exact"/>
              <w:ind w:firstLine="640" w:firstLineChars="200"/>
              <w:jc w:val="both"/>
              <w:rPr>
                <w:rFonts w:hint="default" w:ascii="仿宋" w:hAnsi="仿宋" w:eastAsia="仿宋" w:cs="仿宋"/>
                <w:color w:val="000000"/>
                <w:kern w:val="0"/>
                <w:sz w:val="32"/>
                <w:szCs w:val="32"/>
                <w:highlight w:val="none"/>
                <w:lang w:val="en-US" w:eastAsia="zh-CN"/>
              </w:rPr>
            </w:pPr>
            <w:r>
              <w:rPr>
                <w:rFonts w:hint="eastAsia" w:ascii="仿宋" w:hAnsi="仿宋" w:eastAsia="仿宋" w:cs="仿宋"/>
                <w:color w:val="000000"/>
                <w:kern w:val="0"/>
                <w:sz w:val="32"/>
                <w:szCs w:val="32"/>
                <w:highlight w:val="none"/>
                <w:lang w:val="en-US" w:eastAsia="zh-CN"/>
              </w:rPr>
              <w:t>3.75</w:t>
            </w:r>
          </w:p>
        </w:tc>
      </w:tr>
      <w:tr w14:paraId="21D1E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88" w:type="dxa"/>
            <w:shd w:val="clear" w:color="auto" w:fill="auto"/>
            <w:vAlign w:val="center"/>
          </w:tcPr>
          <w:p w14:paraId="7F16A311">
            <w:pPr>
              <w:pageBreakBefore w:val="0"/>
              <w:widowControl/>
              <w:kinsoku/>
              <w:wordWrap/>
              <w:overflowPunct/>
              <w:topLinePunct w:val="0"/>
              <w:autoSpaceDE/>
              <w:autoSpaceDN/>
              <w:bidi w:val="0"/>
              <w:adjustRightInd/>
              <w:snapToGrid/>
              <w:spacing w:line="560" w:lineRule="exact"/>
              <w:ind w:firstLine="640" w:firstLineChars="200"/>
              <w:jc w:val="left"/>
              <w:rPr>
                <w:rFonts w:hint="eastAsia" w:ascii="仿宋" w:hAnsi="仿宋" w:eastAsia="仿宋" w:cs="仿宋"/>
                <w:color w:val="000000"/>
                <w:kern w:val="0"/>
                <w:sz w:val="32"/>
                <w:szCs w:val="32"/>
                <w:highlight w:val="none"/>
              </w:rPr>
            </w:pPr>
            <w:r>
              <w:rPr>
                <w:rFonts w:hint="eastAsia" w:ascii="仿宋" w:hAnsi="仿宋" w:eastAsia="仿宋" w:cs="仿宋"/>
                <w:color w:val="000000"/>
                <w:kern w:val="0"/>
                <w:sz w:val="32"/>
                <w:szCs w:val="32"/>
                <w:highlight w:val="none"/>
              </w:rPr>
              <w:t>成本情况</w:t>
            </w:r>
          </w:p>
        </w:tc>
        <w:tc>
          <w:tcPr>
            <w:tcW w:w="2042" w:type="dxa"/>
            <w:shd w:val="clear" w:color="auto" w:fill="auto"/>
            <w:vAlign w:val="center"/>
          </w:tcPr>
          <w:p w14:paraId="4EB6B8A6">
            <w:pPr>
              <w:pageBreakBefore w:val="0"/>
              <w:widowControl/>
              <w:kinsoku/>
              <w:wordWrap/>
              <w:overflowPunct/>
              <w:topLinePunct w:val="0"/>
              <w:autoSpaceDE/>
              <w:autoSpaceDN/>
              <w:bidi w:val="0"/>
              <w:adjustRightInd/>
              <w:snapToGrid/>
              <w:spacing w:line="560" w:lineRule="exact"/>
              <w:ind w:firstLine="640" w:firstLineChars="200"/>
              <w:jc w:val="both"/>
              <w:rPr>
                <w:rFonts w:hint="eastAsia" w:ascii="仿宋" w:hAnsi="仿宋" w:eastAsia="仿宋" w:cs="仿宋"/>
                <w:color w:val="000000"/>
                <w:kern w:val="0"/>
                <w:sz w:val="32"/>
                <w:szCs w:val="32"/>
                <w:highlight w:val="none"/>
              </w:rPr>
            </w:pPr>
            <w:r>
              <w:rPr>
                <w:rFonts w:hint="eastAsia" w:ascii="仿宋" w:hAnsi="仿宋" w:eastAsia="仿宋" w:cs="仿宋"/>
                <w:color w:val="000000"/>
                <w:kern w:val="0"/>
                <w:sz w:val="32"/>
                <w:szCs w:val="32"/>
                <w:highlight w:val="none"/>
              </w:rPr>
              <w:t>10</w:t>
            </w:r>
          </w:p>
        </w:tc>
        <w:tc>
          <w:tcPr>
            <w:tcW w:w="2041" w:type="dxa"/>
            <w:shd w:val="clear" w:color="auto" w:fill="auto"/>
            <w:vAlign w:val="center"/>
          </w:tcPr>
          <w:p w14:paraId="4D04E6DF">
            <w:pPr>
              <w:pageBreakBefore w:val="0"/>
              <w:widowControl/>
              <w:kinsoku/>
              <w:wordWrap/>
              <w:overflowPunct/>
              <w:topLinePunct w:val="0"/>
              <w:autoSpaceDE/>
              <w:autoSpaceDN/>
              <w:bidi w:val="0"/>
              <w:adjustRightInd/>
              <w:snapToGrid/>
              <w:spacing w:line="560" w:lineRule="exact"/>
              <w:jc w:val="center"/>
              <w:rPr>
                <w:rFonts w:hint="default" w:ascii="仿宋" w:hAnsi="仿宋" w:eastAsia="仿宋" w:cs="仿宋"/>
                <w:color w:val="000000"/>
                <w:kern w:val="0"/>
                <w:sz w:val="32"/>
                <w:szCs w:val="32"/>
                <w:highlight w:val="none"/>
                <w:lang w:val="en-US" w:eastAsia="zh-CN"/>
              </w:rPr>
            </w:pPr>
            <w:r>
              <w:rPr>
                <w:rFonts w:hint="eastAsia" w:ascii="仿宋" w:hAnsi="仿宋" w:eastAsia="仿宋" w:cs="仿宋"/>
                <w:color w:val="000000"/>
                <w:kern w:val="0"/>
                <w:sz w:val="32"/>
                <w:szCs w:val="32"/>
                <w:highlight w:val="none"/>
                <w:lang w:val="en-US" w:eastAsia="zh-CN"/>
              </w:rPr>
              <w:t>52%</w:t>
            </w:r>
          </w:p>
        </w:tc>
        <w:tc>
          <w:tcPr>
            <w:tcW w:w="2042" w:type="dxa"/>
            <w:shd w:val="clear" w:color="auto" w:fill="auto"/>
            <w:vAlign w:val="center"/>
          </w:tcPr>
          <w:p w14:paraId="4A42D964">
            <w:pPr>
              <w:pageBreakBefore w:val="0"/>
              <w:widowControl/>
              <w:kinsoku/>
              <w:wordWrap/>
              <w:overflowPunct/>
              <w:topLinePunct w:val="0"/>
              <w:autoSpaceDE/>
              <w:autoSpaceDN/>
              <w:bidi w:val="0"/>
              <w:adjustRightInd/>
              <w:snapToGrid/>
              <w:spacing w:line="560" w:lineRule="exact"/>
              <w:ind w:firstLine="640" w:firstLineChars="200"/>
              <w:jc w:val="both"/>
              <w:rPr>
                <w:rFonts w:hint="default" w:ascii="仿宋" w:hAnsi="仿宋" w:eastAsia="仿宋" w:cs="仿宋"/>
                <w:color w:val="000000"/>
                <w:kern w:val="0"/>
                <w:sz w:val="32"/>
                <w:szCs w:val="32"/>
                <w:highlight w:val="none"/>
                <w:lang w:val="en-US" w:eastAsia="zh-CN"/>
              </w:rPr>
            </w:pPr>
            <w:r>
              <w:rPr>
                <w:rFonts w:hint="eastAsia" w:ascii="仿宋" w:hAnsi="仿宋" w:eastAsia="仿宋" w:cs="仿宋"/>
                <w:color w:val="000000"/>
                <w:kern w:val="0"/>
                <w:sz w:val="32"/>
                <w:szCs w:val="32"/>
                <w:highlight w:val="none"/>
                <w:lang w:val="en-US" w:eastAsia="zh-CN"/>
              </w:rPr>
              <w:t>5.2</w:t>
            </w:r>
          </w:p>
        </w:tc>
      </w:tr>
      <w:tr w14:paraId="68548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88" w:type="dxa"/>
            <w:shd w:val="clear" w:color="auto" w:fill="auto"/>
            <w:vAlign w:val="center"/>
          </w:tcPr>
          <w:p w14:paraId="78F701CE">
            <w:pPr>
              <w:pageBreakBefore w:val="0"/>
              <w:widowControl/>
              <w:kinsoku/>
              <w:wordWrap/>
              <w:overflowPunct/>
              <w:topLinePunct w:val="0"/>
              <w:autoSpaceDE/>
              <w:autoSpaceDN/>
              <w:bidi w:val="0"/>
              <w:adjustRightInd/>
              <w:snapToGrid/>
              <w:spacing w:line="560" w:lineRule="exact"/>
              <w:ind w:firstLine="640" w:firstLineChars="200"/>
              <w:jc w:val="left"/>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合计</w:t>
            </w:r>
          </w:p>
        </w:tc>
        <w:tc>
          <w:tcPr>
            <w:tcW w:w="2042" w:type="dxa"/>
            <w:shd w:val="clear" w:color="auto" w:fill="auto"/>
            <w:vAlign w:val="center"/>
          </w:tcPr>
          <w:p w14:paraId="78B1F75D">
            <w:pPr>
              <w:pageBreakBefore w:val="0"/>
              <w:widowControl/>
              <w:kinsoku/>
              <w:wordWrap/>
              <w:overflowPunct/>
              <w:topLinePunct w:val="0"/>
              <w:autoSpaceDE/>
              <w:autoSpaceDN/>
              <w:bidi w:val="0"/>
              <w:adjustRightInd/>
              <w:snapToGrid/>
              <w:spacing w:line="560" w:lineRule="exact"/>
              <w:ind w:firstLine="640" w:firstLineChars="200"/>
              <w:jc w:val="both"/>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50</w:t>
            </w:r>
          </w:p>
        </w:tc>
        <w:tc>
          <w:tcPr>
            <w:tcW w:w="2041" w:type="dxa"/>
            <w:shd w:val="clear" w:color="auto" w:fill="auto"/>
            <w:vAlign w:val="center"/>
          </w:tcPr>
          <w:p w14:paraId="2CE3DD7E">
            <w:pPr>
              <w:pageBreakBefore w:val="0"/>
              <w:widowControl/>
              <w:kinsoku/>
              <w:wordWrap/>
              <w:overflowPunct/>
              <w:topLinePunct w:val="0"/>
              <w:autoSpaceDE/>
              <w:autoSpaceDN/>
              <w:bidi w:val="0"/>
              <w:adjustRightInd/>
              <w:snapToGrid/>
              <w:spacing w:line="560" w:lineRule="exact"/>
              <w:ind w:firstLine="640" w:firstLineChars="200"/>
              <w:jc w:val="center"/>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50.5%</w:t>
            </w:r>
          </w:p>
        </w:tc>
        <w:tc>
          <w:tcPr>
            <w:tcW w:w="2042" w:type="dxa"/>
            <w:shd w:val="clear" w:color="auto" w:fill="auto"/>
            <w:vAlign w:val="center"/>
          </w:tcPr>
          <w:p w14:paraId="364B65CB">
            <w:pPr>
              <w:pageBreakBefore w:val="0"/>
              <w:widowControl/>
              <w:kinsoku/>
              <w:wordWrap/>
              <w:overflowPunct/>
              <w:topLinePunct w:val="0"/>
              <w:autoSpaceDE/>
              <w:autoSpaceDN/>
              <w:bidi w:val="0"/>
              <w:adjustRightInd/>
              <w:snapToGrid/>
              <w:spacing w:line="560" w:lineRule="exact"/>
              <w:ind w:firstLine="640" w:firstLineChars="200"/>
              <w:jc w:val="both"/>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25.2</w:t>
            </w:r>
          </w:p>
        </w:tc>
      </w:tr>
    </w:tbl>
    <w:p w14:paraId="2B2E8632">
      <w:pPr>
        <w:keepNext w:val="0"/>
        <w:keepLines w:val="0"/>
        <w:pageBreakBefore w:val="0"/>
        <w:pBdr>
          <w:bottom w:val="single" w:color="FFFFFF" w:sz="4" w:space="31"/>
        </w:pBdr>
        <w:tabs>
          <w:tab w:val="left" w:pos="1440"/>
        </w:tabs>
        <w:kinsoku/>
        <w:wordWrap/>
        <w:overflowPunct/>
        <w:topLinePunct w:val="0"/>
        <w:autoSpaceDE/>
        <w:autoSpaceDN/>
        <w:bidi w:val="0"/>
        <w:adjustRightInd w:val="0"/>
        <w:snapToGrid w:val="0"/>
        <w:spacing w:line="560" w:lineRule="exact"/>
        <w:ind w:firstLine="643" w:firstLineChars="200"/>
        <w:rPr>
          <w:rFonts w:hint="eastAsia" w:ascii="仿宋_GB2312" w:hAnsi="仿宋_GB2312" w:eastAsia="仿宋_GB2312" w:cs="仿宋_GB2312"/>
          <w:b/>
          <w:bCs/>
          <w:color w:val="000000"/>
          <w:kern w:val="0"/>
          <w:sz w:val="32"/>
          <w:szCs w:val="32"/>
          <w:highlight w:val="none"/>
        </w:rPr>
      </w:pPr>
      <w:r>
        <w:rPr>
          <w:rFonts w:hint="eastAsia" w:ascii="仿宋_GB2312" w:hAnsi="仿宋_GB2312" w:eastAsia="仿宋_GB2312" w:cs="仿宋_GB2312"/>
          <w:b/>
          <w:bCs/>
          <w:color w:val="000000"/>
          <w:kern w:val="0"/>
          <w:sz w:val="32"/>
          <w:szCs w:val="32"/>
          <w:highlight w:val="none"/>
        </w:rPr>
        <w:t>产出数量三级指标：</w:t>
      </w:r>
    </w:p>
    <w:p w14:paraId="0C8BA0A5">
      <w:pPr>
        <w:keepNext w:val="0"/>
        <w:keepLines w:val="0"/>
        <w:pageBreakBefore w:val="0"/>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rPr>
          <w:rFonts w:hint="eastAsia" w:ascii="仿宋_GB2312" w:hAnsi="仿宋_GB2312" w:eastAsia="仿宋_GB2312" w:cs="仿宋_GB2312"/>
          <w:b w:val="0"/>
          <w:bCs w:val="0"/>
          <w:color w:val="000000"/>
          <w:kern w:val="0"/>
          <w:sz w:val="32"/>
          <w:szCs w:val="32"/>
          <w:highlight w:val="none"/>
          <w:lang w:val="en-US" w:eastAsia="zh-CN"/>
        </w:rPr>
      </w:pPr>
      <w:r>
        <w:rPr>
          <w:rFonts w:hint="eastAsia" w:ascii="仿宋_GB2312" w:hAnsi="仿宋_GB2312" w:eastAsia="仿宋_GB2312" w:cs="仿宋_GB2312"/>
          <w:b w:val="0"/>
          <w:bCs w:val="0"/>
          <w:color w:val="000000"/>
          <w:kern w:val="0"/>
          <w:sz w:val="32"/>
          <w:szCs w:val="32"/>
          <w:highlight w:val="none"/>
          <w:lang w:eastAsia="zh-CN"/>
        </w:rPr>
        <w:t>指标</w:t>
      </w:r>
      <w:r>
        <w:rPr>
          <w:rFonts w:hint="eastAsia" w:ascii="仿宋_GB2312" w:hAnsi="仿宋_GB2312" w:eastAsia="仿宋_GB2312" w:cs="仿宋_GB2312"/>
          <w:b w:val="0"/>
          <w:bCs w:val="0"/>
          <w:color w:val="000000"/>
          <w:kern w:val="0"/>
          <w:sz w:val="32"/>
          <w:szCs w:val="32"/>
          <w:highlight w:val="none"/>
          <w:lang w:val="en-US" w:eastAsia="zh-CN"/>
        </w:rPr>
        <w:t>1：</w:t>
      </w:r>
      <w:r>
        <w:rPr>
          <w:rFonts w:hint="eastAsia" w:ascii="仿宋_GB2312" w:hAnsi="仿宋_GB2312" w:eastAsia="仿宋_GB2312" w:cs="仿宋_GB2312"/>
          <w:b w:val="0"/>
          <w:bCs w:val="0"/>
          <w:color w:val="000000"/>
          <w:kern w:val="0"/>
          <w:sz w:val="32"/>
          <w:szCs w:val="32"/>
          <w:highlight w:val="none"/>
        </w:rPr>
        <w:t>完成因公出国（境）审批</w:t>
      </w:r>
      <w:r>
        <w:rPr>
          <w:rFonts w:hint="eastAsia" w:ascii="仿宋_GB2312" w:hAnsi="仿宋_GB2312" w:eastAsia="仿宋_GB2312" w:cs="仿宋_GB2312"/>
          <w:b w:val="0"/>
          <w:bCs w:val="0"/>
          <w:color w:val="000000"/>
          <w:kern w:val="0"/>
          <w:sz w:val="32"/>
          <w:szCs w:val="32"/>
          <w:highlight w:val="none"/>
          <w:lang w:eastAsia="zh-CN"/>
        </w:rPr>
        <w:t>，年度指标值≤6批，实际完成值</w:t>
      </w:r>
      <w:r>
        <w:rPr>
          <w:rFonts w:hint="eastAsia" w:ascii="仿宋_GB2312" w:hAnsi="仿宋_GB2312" w:eastAsia="仿宋_GB2312" w:cs="仿宋_GB2312"/>
          <w:b w:val="0"/>
          <w:bCs w:val="0"/>
          <w:color w:val="000000"/>
          <w:kern w:val="0"/>
          <w:sz w:val="32"/>
          <w:szCs w:val="32"/>
          <w:highlight w:val="none"/>
          <w:lang w:val="en-US" w:eastAsia="zh-CN"/>
        </w:rPr>
        <w:t>3批，指标完成率50%；</w:t>
      </w:r>
    </w:p>
    <w:p w14:paraId="1D26B69F">
      <w:pPr>
        <w:keepNext w:val="0"/>
        <w:keepLines w:val="0"/>
        <w:pageBreakBefore w:val="0"/>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rPr>
          <w:rFonts w:hint="eastAsia" w:ascii="仿宋_GB2312" w:hAnsi="仿宋_GB2312" w:eastAsia="仿宋_GB2312" w:cs="仿宋_GB2312"/>
          <w:b w:val="0"/>
          <w:bCs w:val="0"/>
          <w:color w:val="000000"/>
          <w:kern w:val="0"/>
          <w:sz w:val="32"/>
          <w:szCs w:val="32"/>
          <w:highlight w:val="none"/>
          <w:lang w:val="en-US" w:eastAsia="zh-CN"/>
        </w:rPr>
      </w:pPr>
      <w:r>
        <w:rPr>
          <w:rFonts w:hint="eastAsia" w:ascii="仿宋_GB2312" w:hAnsi="仿宋_GB2312" w:eastAsia="仿宋_GB2312" w:cs="仿宋_GB2312"/>
          <w:b w:val="0"/>
          <w:bCs w:val="0"/>
          <w:color w:val="000000"/>
          <w:kern w:val="0"/>
          <w:sz w:val="32"/>
          <w:szCs w:val="32"/>
          <w:highlight w:val="none"/>
          <w:lang w:val="en-US" w:eastAsia="zh-CN"/>
        </w:rPr>
        <w:t>指标2：参加培训次数，</w:t>
      </w:r>
      <w:r>
        <w:rPr>
          <w:rFonts w:hint="eastAsia" w:ascii="仿宋_GB2312" w:hAnsi="仿宋_GB2312" w:eastAsia="仿宋_GB2312" w:cs="仿宋_GB2312"/>
          <w:b w:val="0"/>
          <w:bCs w:val="0"/>
          <w:color w:val="000000"/>
          <w:kern w:val="0"/>
          <w:sz w:val="32"/>
          <w:szCs w:val="32"/>
          <w:highlight w:val="none"/>
          <w:lang w:eastAsia="zh-CN"/>
        </w:rPr>
        <w:t>年度指标值</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none"/>
          <w:lang w:val="en-US" w:eastAsia="zh-CN"/>
        </w:rPr>
        <w:t>1次，</w:t>
      </w:r>
      <w:r>
        <w:rPr>
          <w:rFonts w:hint="eastAsia" w:ascii="仿宋_GB2312" w:hAnsi="仿宋_GB2312" w:eastAsia="仿宋_GB2312" w:cs="仿宋_GB2312"/>
          <w:b w:val="0"/>
          <w:bCs w:val="0"/>
          <w:color w:val="000000"/>
          <w:kern w:val="0"/>
          <w:sz w:val="32"/>
          <w:szCs w:val="32"/>
          <w:highlight w:val="none"/>
          <w:lang w:eastAsia="zh-CN"/>
        </w:rPr>
        <w:t>实际完成值</w:t>
      </w:r>
      <w:r>
        <w:rPr>
          <w:rFonts w:hint="eastAsia" w:ascii="仿宋_GB2312" w:hAnsi="仿宋_GB2312" w:eastAsia="仿宋_GB2312" w:cs="仿宋_GB2312"/>
          <w:b w:val="0"/>
          <w:bCs w:val="0"/>
          <w:color w:val="000000"/>
          <w:kern w:val="0"/>
          <w:sz w:val="32"/>
          <w:szCs w:val="32"/>
          <w:highlight w:val="none"/>
          <w:lang w:val="en-US" w:eastAsia="zh-CN"/>
        </w:rPr>
        <w:t>1次，指标完成率100%；</w:t>
      </w:r>
    </w:p>
    <w:p w14:paraId="5AA8C28D">
      <w:pPr>
        <w:keepNext w:val="0"/>
        <w:keepLines w:val="0"/>
        <w:pageBreakBefore w:val="0"/>
        <w:pBdr>
          <w:bottom w:val="single" w:color="FFFFFF" w:sz="4" w:space="31"/>
        </w:pBdr>
        <w:tabs>
          <w:tab w:val="left" w:pos="1440"/>
        </w:tabs>
        <w:kinsoku/>
        <w:wordWrap/>
        <w:overflowPunct/>
        <w:topLinePunct w:val="0"/>
        <w:autoSpaceDE/>
        <w:autoSpaceDN/>
        <w:bidi w:val="0"/>
        <w:adjustRightInd w:val="0"/>
        <w:snapToGrid w:val="0"/>
        <w:spacing w:line="560" w:lineRule="exact"/>
        <w:ind w:firstLine="643" w:firstLineChars="200"/>
        <w:rPr>
          <w:rFonts w:hint="default" w:ascii="仿宋_GB2312" w:hAnsi="仿宋_GB2312" w:eastAsia="仿宋_GB2312" w:cs="仿宋_GB2312"/>
          <w:b w:val="0"/>
          <w:bCs w:val="0"/>
          <w:color w:val="000000"/>
          <w:kern w:val="0"/>
          <w:sz w:val="32"/>
          <w:szCs w:val="32"/>
          <w:highlight w:val="none"/>
          <w:lang w:val="en-US" w:eastAsia="zh-CN"/>
        </w:rPr>
      </w:pPr>
      <w:r>
        <w:rPr>
          <w:rFonts w:hint="eastAsia" w:ascii="仿宋_GB2312" w:hAnsi="仿宋_GB2312" w:eastAsia="仿宋_GB2312" w:cs="仿宋_GB2312"/>
          <w:b/>
          <w:bCs/>
          <w:color w:val="000000"/>
          <w:kern w:val="0"/>
          <w:sz w:val="32"/>
          <w:szCs w:val="32"/>
          <w:highlight w:val="none"/>
        </w:rPr>
        <w:t>产出质量三级指标</w:t>
      </w:r>
      <w:r>
        <w:rPr>
          <w:rFonts w:hint="eastAsia" w:ascii="仿宋_GB2312" w:hAnsi="仿宋_GB2312" w:eastAsia="仿宋_GB2312" w:cs="仿宋_GB2312"/>
          <w:b/>
          <w:bCs/>
          <w:color w:val="000000"/>
          <w:kern w:val="0"/>
          <w:sz w:val="32"/>
          <w:szCs w:val="32"/>
          <w:highlight w:val="none"/>
          <w:lang w:eastAsia="zh-CN"/>
        </w:rPr>
        <w:t>：</w:t>
      </w:r>
      <w:r>
        <w:rPr>
          <w:rFonts w:hint="eastAsia" w:ascii="仿宋_GB2312" w:hAnsi="仿宋_GB2312" w:eastAsia="仿宋_GB2312" w:cs="仿宋_GB2312"/>
          <w:b w:val="0"/>
          <w:bCs w:val="0"/>
          <w:color w:val="000000"/>
          <w:kern w:val="0"/>
          <w:sz w:val="32"/>
          <w:szCs w:val="32"/>
          <w:highlight w:val="none"/>
          <w:lang w:eastAsia="zh-CN"/>
        </w:rPr>
        <w:t>办理相关外事活动审批合格率，年度指标值≥2批，实际完成值</w:t>
      </w:r>
      <w:r>
        <w:rPr>
          <w:rFonts w:hint="eastAsia" w:ascii="仿宋_GB2312" w:hAnsi="仿宋_GB2312" w:eastAsia="仿宋_GB2312" w:cs="仿宋_GB2312"/>
          <w:b w:val="0"/>
          <w:bCs w:val="0"/>
          <w:color w:val="000000"/>
          <w:kern w:val="0"/>
          <w:sz w:val="32"/>
          <w:szCs w:val="32"/>
          <w:highlight w:val="none"/>
          <w:lang w:val="en-US" w:eastAsia="zh-CN"/>
        </w:rPr>
        <w:t>1批，指标完成率50%；</w:t>
      </w:r>
    </w:p>
    <w:p w14:paraId="3C5C96BB">
      <w:pPr>
        <w:keepNext w:val="0"/>
        <w:keepLines w:val="0"/>
        <w:pageBreakBefore w:val="0"/>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rPr>
          <w:rFonts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color w:val="000000"/>
          <w:kern w:val="0"/>
          <w:sz w:val="32"/>
          <w:szCs w:val="32"/>
          <w:highlight w:val="none"/>
        </w:rPr>
        <w:t>产出时效三级指标：出国手续通过合格率</w:t>
      </w:r>
      <w:r>
        <w:rPr>
          <w:rFonts w:hint="eastAsia" w:ascii="仿宋_GB2312" w:hAnsi="仿宋_GB2312" w:eastAsia="仿宋_GB2312" w:cs="仿宋_GB2312"/>
          <w:b w:val="0"/>
          <w:bCs w:val="0"/>
          <w:color w:val="000000"/>
          <w:kern w:val="0"/>
          <w:sz w:val="32"/>
          <w:szCs w:val="32"/>
          <w:highlight w:val="none"/>
          <w:lang w:eastAsia="zh-CN"/>
        </w:rPr>
        <w:t>，年度指标值≥</w:t>
      </w:r>
      <w:r>
        <w:rPr>
          <w:rFonts w:hint="eastAsia" w:ascii="仿宋_GB2312" w:hAnsi="仿宋_GB2312" w:eastAsia="仿宋_GB2312" w:cs="仿宋_GB2312"/>
          <w:b w:val="0"/>
          <w:bCs w:val="0"/>
          <w:color w:val="000000"/>
          <w:kern w:val="0"/>
          <w:sz w:val="32"/>
          <w:szCs w:val="32"/>
          <w:highlight w:val="none"/>
          <w:lang w:val="en-US" w:eastAsia="zh-CN"/>
        </w:rPr>
        <w:t>4</w:t>
      </w:r>
      <w:r>
        <w:rPr>
          <w:rFonts w:hint="eastAsia" w:ascii="仿宋_GB2312" w:hAnsi="仿宋_GB2312" w:eastAsia="仿宋_GB2312" w:cs="仿宋_GB2312"/>
          <w:b w:val="0"/>
          <w:bCs w:val="0"/>
          <w:color w:val="000000"/>
          <w:kern w:val="0"/>
          <w:sz w:val="32"/>
          <w:szCs w:val="32"/>
          <w:highlight w:val="none"/>
          <w:lang w:eastAsia="zh-CN"/>
        </w:rPr>
        <w:t>批，实际完成值</w:t>
      </w:r>
      <w:r>
        <w:rPr>
          <w:rFonts w:hint="eastAsia" w:ascii="仿宋_GB2312" w:hAnsi="仿宋_GB2312" w:eastAsia="仿宋_GB2312" w:cs="仿宋_GB2312"/>
          <w:b w:val="0"/>
          <w:bCs w:val="0"/>
          <w:color w:val="000000"/>
          <w:kern w:val="0"/>
          <w:sz w:val="32"/>
          <w:szCs w:val="32"/>
          <w:highlight w:val="none"/>
          <w:lang w:val="en-US" w:eastAsia="zh-CN"/>
        </w:rPr>
        <w:t>1批，指标完成率25%；</w:t>
      </w:r>
    </w:p>
    <w:p w14:paraId="25F826A4">
      <w:pPr>
        <w:keepNext w:val="0"/>
        <w:keepLines w:val="0"/>
        <w:pageBreakBefore w:val="0"/>
        <w:pBdr>
          <w:bottom w:val="single" w:color="FFFFFF" w:sz="4" w:space="31"/>
        </w:pBdr>
        <w:tabs>
          <w:tab w:val="left" w:pos="1440"/>
        </w:tabs>
        <w:kinsoku/>
        <w:wordWrap/>
        <w:overflowPunct/>
        <w:topLinePunct w:val="0"/>
        <w:autoSpaceDE/>
        <w:autoSpaceDN/>
        <w:bidi w:val="0"/>
        <w:adjustRightInd w:val="0"/>
        <w:snapToGrid w:val="0"/>
        <w:spacing w:line="560" w:lineRule="exact"/>
        <w:ind w:firstLine="643" w:firstLineChars="200"/>
        <w:rPr>
          <w:rFonts w:hint="eastAsia" w:ascii="仿宋_GB2312" w:hAnsi="仿宋_GB2312" w:eastAsia="仿宋_GB2312" w:cs="仿宋_GB2312"/>
          <w:b/>
          <w:bCs/>
          <w:color w:val="000000"/>
          <w:kern w:val="0"/>
          <w:sz w:val="32"/>
          <w:szCs w:val="32"/>
          <w:highlight w:val="none"/>
        </w:rPr>
      </w:pPr>
      <w:r>
        <w:rPr>
          <w:rFonts w:hint="eastAsia" w:ascii="仿宋_GB2312" w:hAnsi="仿宋_GB2312" w:eastAsia="仿宋_GB2312" w:cs="仿宋_GB2312"/>
          <w:b/>
          <w:bCs/>
          <w:color w:val="000000"/>
          <w:kern w:val="0"/>
          <w:sz w:val="32"/>
          <w:szCs w:val="32"/>
          <w:highlight w:val="none"/>
        </w:rPr>
        <w:t>产出成本三级指标：</w:t>
      </w:r>
    </w:p>
    <w:p w14:paraId="1C0DF247">
      <w:pPr>
        <w:keepNext w:val="0"/>
        <w:keepLines w:val="0"/>
        <w:pageBreakBefore w:val="0"/>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rPr>
          <w:rFonts w:hint="eastAsia" w:ascii="仿宋_GB2312" w:hAnsi="仿宋_GB2312" w:eastAsia="仿宋_GB2312" w:cs="仿宋_GB2312"/>
          <w:b w:val="0"/>
          <w:bCs w:val="0"/>
          <w:color w:val="000000"/>
          <w:kern w:val="0"/>
          <w:sz w:val="32"/>
          <w:szCs w:val="32"/>
          <w:highlight w:val="none"/>
          <w:lang w:val="en-US" w:eastAsia="zh-CN"/>
        </w:rPr>
      </w:pPr>
      <w:r>
        <w:rPr>
          <w:rFonts w:hint="eastAsia" w:ascii="仿宋_GB2312" w:hAnsi="仿宋_GB2312" w:eastAsia="仿宋_GB2312" w:cs="仿宋_GB2312"/>
          <w:b w:val="0"/>
          <w:bCs w:val="0"/>
          <w:color w:val="000000"/>
          <w:kern w:val="0"/>
          <w:sz w:val="32"/>
          <w:szCs w:val="32"/>
          <w:highlight w:val="none"/>
          <w:lang w:eastAsia="zh-CN"/>
        </w:rPr>
        <w:t>指标</w:t>
      </w:r>
      <w:r>
        <w:rPr>
          <w:rFonts w:hint="eastAsia" w:ascii="仿宋_GB2312" w:hAnsi="仿宋_GB2312" w:eastAsia="仿宋_GB2312" w:cs="仿宋_GB2312"/>
          <w:b w:val="0"/>
          <w:bCs w:val="0"/>
          <w:color w:val="000000"/>
          <w:kern w:val="0"/>
          <w:sz w:val="32"/>
          <w:szCs w:val="32"/>
          <w:highlight w:val="none"/>
          <w:lang w:val="en-US" w:eastAsia="zh-CN"/>
        </w:rPr>
        <w:t>1：办理因公出国（境）审批，参加外事培训班，</w:t>
      </w:r>
      <w:r>
        <w:rPr>
          <w:rFonts w:hint="eastAsia" w:ascii="仿宋_GB2312" w:hAnsi="仿宋_GB2312" w:eastAsia="仿宋_GB2312" w:cs="仿宋_GB2312"/>
          <w:b w:val="0"/>
          <w:bCs w:val="0"/>
          <w:color w:val="000000"/>
          <w:kern w:val="0"/>
          <w:sz w:val="32"/>
          <w:szCs w:val="32"/>
          <w:highlight w:val="none"/>
          <w:lang w:eastAsia="zh-CN"/>
        </w:rPr>
        <w:t>年度指标值≤5批次，实际完成值</w:t>
      </w:r>
      <w:r>
        <w:rPr>
          <w:rFonts w:hint="eastAsia" w:ascii="仿宋_GB2312" w:hAnsi="仿宋_GB2312" w:eastAsia="仿宋_GB2312" w:cs="仿宋_GB2312"/>
          <w:b w:val="0"/>
          <w:bCs w:val="0"/>
          <w:color w:val="000000"/>
          <w:kern w:val="0"/>
          <w:sz w:val="32"/>
          <w:szCs w:val="32"/>
          <w:highlight w:val="none"/>
          <w:lang w:val="en-US" w:eastAsia="zh-CN"/>
        </w:rPr>
        <w:t>3批次，指标完成率60%；</w:t>
      </w:r>
    </w:p>
    <w:p w14:paraId="3892FE34">
      <w:pPr>
        <w:keepNext w:val="0"/>
        <w:keepLines w:val="0"/>
        <w:pageBreakBefore w:val="0"/>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rPr>
          <w:highlight w:val="none"/>
        </w:rPr>
      </w:pPr>
      <w:r>
        <w:rPr>
          <w:rFonts w:hint="eastAsia" w:ascii="仿宋_GB2312" w:hAnsi="仿宋_GB2312" w:eastAsia="仿宋_GB2312" w:cs="仿宋_GB2312"/>
          <w:b w:val="0"/>
          <w:bCs w:val="0"/>
          <w:color w:val="000000"/>
          <w:kern w:val="0"/>
          <w:sz w:val="32"/>
          <w:szCs w:val="32"/>
          <w:highlight w:val="none"/>
          <w:lang w:val="en-US" w:eastAsia="zh-CN"/>
        </w:rPr>
        <w:t>指标2：购置办公用品、差旅费、培训费，</w:t>
      </w:r>
      <w:r>
        <w:rPr>
          <w:rFonts w:hint="eastAsia" w:ascii="仿宋_GB2312" w:hAnsi="仿宋_GB2312" w:eastAsia="仿宋_GB2312" w:cs="仿宋_GB2312"/>
          <w:b w:val="0"/>
          <w:bCs w:val="0"/>
          <w:color w:val="000000"/>
          <w:kern w:val="0"/>
          <w:sz w:val="32"/>
          <w:szCs w:val="32"/>
          <w:highlight w:val="none"/>
          <w:lang w:eastAsia="zh-CN"/>
        </w:rPr>
        <w:t>年度指标值≤</w:t>
      </w:r>
      <w:r>
        <w:rPr>
          <w:rFonts w:hint="eastAsia" w:ascii="仿宋_GB2312" w:hAnsi="仿宋_GB2312" w:eastAsia="仿宋_GB2312" w:cs="仿宋_GB2312"/>
          <w:b w:val="0"/>
          <w:bCs w:val="0"/>
          <w:color w:val="000000"/>
          <w:kern w:val="0"/>
          <w:sz w:val="32"/>
          <w:szCs w:val="32"/>
          <w:highlight w:val="none"/>
          <w:lang w:val="en-US" w:eastAsia="zh-CN"/>
        </w:rPr>
        <w:t>3万元，</w:t>
      </w:r>
      <w:r>
        <w:rPr>
          <w:rFonts w:hint="eastAsia" w:ascii="仿宋_GB2312" w:hAnsi="仿宋_GB2312" w:eastAsia="仿宋_GB2312" w:cs="仿宋_GB2312"/>
          <w:sz w:val="32"/>
          <w:szCs w:val="32"/>
          <w:highlight w:val="none"/>
          <w:lang w:eastAsia="zh-CN"/>
        </w:rPr>
        <w:t>实际</w:t>
      </w:r>
      <w:r>
        <w:rPr>
          <w:rFonts w:hint="eastAsia" w:ascii="仿宋_GB2312" w:hAnsi="仿宋_GB2312" w:eastAsia="仿宋_GB2312" w:cs="仿宋_GB2312"/>
          <w:sz w:val="32"/>
          <w:szCs w:val="32"/>
          <w:highlight w:val="none"/>
        </w:rPr>
        <w:t>完成值4.675万元，</w:t>
      </w:r>
      <w:r>
        <w:rPr>
          <w:rFonts w:hint="eastAsia" w:ascii="仿宋_GB2312" w:hAnsi="仿宋_GB2312" w:eastAsia="仿宋_GB2312" w:cs="仿宋_GB2312"/>
          <w:sz w:val="32"/>
          <w:szCs w:val="32"/>
          <w:highlight w:val="none"/>
          <w:lang w:eastAsia="zh-CN"/>
        </w:rPr>
        <w:t>超过目标值</w:t>
      </w:r>
      <w:r>
        <w:rPr>
          <w:rFonts w:hint="eastAsia" w:ascii="仿宋_GB2312" w:hAnsi="仿宋_GB2312" w:eastAsia="仿宋_GB2312" w:cs="仿宋_GB2312"/>
          <w:sz w:val="32"/>
          <w:szCs w:val="32"/>
          <w:highlight w:val="none"/>
          <w:lang w:val="en-US" w:eastAsia="zh-CN"/>
        </w:rPr>
        <w:t>55.8%</w:t>
      </w:r>
      <w:r>
        <w:rPr>
          <w:rFonts w:hint="eastAsia" w:ascii="仿宋_GB2312" w:hAnsi="仿宋_GB2312" w:eastAsia="仿宋_GB2312" w:cs="仿宋_GB2312"/>
          <w:sz w:val="32"/>
          <w:szCs w:val="32"/>
          <w:highlight w:val="none"/>
          <w:lang w:eastAsia="zh-CN"/>
        </w:rPr>
        <w:t>，</w:t>
      </w:r>
      <w:r>
        <w:rPr>
          <w:rStyle w:val="54"/>
          <w:rFonts w:hint="eastAsia" w:ascii="仿宋" w:hAnsi="仿宋" w:eastAsia="仿宋" w:cs="仿宋"/>
          <w:b w:val="0"/>
          <w:bCs w:val="0"/>
          <w:color w:val="auto"/>
          <w:kern w:val="2"/>
          <w:highlight w:val="none"/>
        </w:rPr>
        <w:t>根据评分标准，该指标得分率</w:t>
      </w:r>
      <w:r>
        <w:rPr>
          <w:rStyle w:val="54"/>
          <w:rFonts w:hint="eastAsia" w:ascii="仿宋" w:hAnsi="仿宋" w:eastAsia="仿宋" w:cs="仿宋"/>
          <w:b w:val="0"/>
          <w:bCs w:val="0"/>
          <w:color w:val="auto"/>
          <w:kern w:val="2"/>
          <w:highlight w:val="none"/>
          <w:lang w:val="en-US" w:eastAsia="zh-CN"/>
        </w:rPr>
        <w:t>44%</w:t>
      </w:r>
      <w:r>
        <w:rPr>
          <w:rStyle w:val="54"/>
          <w:rFonts w:hint="eastAsia" w:ascii="仿宋" w:hAnsi="仿宋" w:eastAsia="仿宋" w:cs="仿宋"/>
          <w:b w:val="0"/>
          <w:bCs w:val="0"/>
          <w:color w:val="auto"/>
          <w:kern w:val="2"/>
          <w:highlight w:val="none"/>
        </w:rPr>
        <w:t>。</w:t>
      </w:r>
    </w:p>
    <w:p w14:paraId="7CF3F8B3">
      <w:pPr>
        <w:keepNext w:val="0"/>
        <w:keepLines w:val="0"/>
        <w:pageBreakBefore w:val="0"/>
        <w:numPr>
          <w:ilvl w:val="0"/>
          <w:numId w:val="4"/>
        </w:numPr>
        <w:pBdr>
          <w:bottom w:val="single" w:color="FFFFFF" w:sz="4" w:space="31"/>
        </w:pBdr>
        <w:tabs>
          <w:tab w:val="left" w:pos="1440"/>
        </w:tabs>
        <w:kinsoku/>
        <w:wordWrap/>
        <w:overflowPunct/>
        <w:topLinePunct w:val="0"/>
        <w:autoSpaceDE/>
        <w:autoSpaceDN/>
        <w:bidi w:val="0"/>
        <w:adjustRightInd w:val="0"/>
        <w:snapToGrid w:val="0"/>
        <w:spacing w:line="560" w:lineRule="exact"/>
        <w:ind w:left="0" w:leftChars="0" w:firstLine="643" w:firstLineChars="200"/>
        <w:rPr>
          <w:rFonts w:hint="eastAsia" w:ascii="仿宋" w:hAnsi="仿宋" w:eastAsia="仿宋" w:cs="楷体_GB2312"/>
          <w:b/>
          <w:bCs/>
          <w:sz w:val="32"/>
          <w:szCs w:val="32"/>
          <w:highlight w:val="none"/>
        </w:rPr>
      </w:pPr>
      <w:r>
        <w:rPr>
          <w:rFonts w:hint="eastAsia" w:ascii="仿宋" w:hAnsi="仿宋" w:eastAsia="仿宋" w:cs="楷体_GB2312"/>
          <w:b/>
          <w:bCs/>
          <w:sz w:val="32"/>
          <w:szCs w:val="32"/>
          <w:highlight w:val="none"/>
        </w:rPr>
        <w:t>项目效益情况</w:t>
      </w:r>
    </w:p>
    <w:p w14:paraId="22653E0F">
      <w:pPr>
        <w:keepNext w:val="0"/>
        <w:keepLines w:val="0"/>
        <w:pageBreakBefore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2570" w:firstLineChars="800"/>
        <w:rPr>
          <w:rStyle w:val="54"/>
          <w:rFonts w:hint="eastAsia" w:ascii="仿宋" w:hAnsi="仿宋" w:eastAsia="仿宋" w:cs="仿宋"/>
          <w:b/>
          <w:bCs/>
          <w:color w:val="auto"/>
          <w:highlight w:val="none"/>
        </w:rPr>
      </w:pPr>
      <w:r>
        <w:rPr>
          <w:rStyle w:val="54"/>
          <w:rFonts w:hint="eastAsia" w:ascii="仿宋" w:hAnsi="仿宋" w:eastAsia="仿宋" w:cs="仿宋"/>
          <w:b/>
          <w:bCs/>
          <w:color w:val="auto"/>
          <w:highlight w:val="none"/>
        </w:rPr>
        <w:t>项目绩效指标得分情况</w:t>
      </w:r>
    </w:p>
    <w:tbl>
      <w:tblPr>
        <w:tblStyle w:val="22"/>
        <w:tblpPr w:leftFromText="180" w:rightFromText="180" w:vertAnchor="text" w:horzAnchor="page" w:tblpX="2219" w:tblpY="29"/>
        <w:tblOverlap w:val="never"/>
        <w:tblW w:w="8581" w:type="dxa"/>
        <w:jc w:val="center"/>
        <w:tblLayout w:type="fixed"/>
        <w:tblCellMar>
          <w:top w:w="0" w:type="dxa"/>
          <w:left w:w="0" w:type="dxa"/>
          <w:bottom w:w="0" w:type="dxa"/>
          <w:right w:w="0" w:type="dxa"/>
        </w:tblCellMar>
      </w:tblPr>
      <w:tblGrid>
        <w:gridCol w:w="2452"/>
        <w:gridCol w:w="2043"/>
        <w:gridCol w:w="2043"/>
        <w:gridCol w:w="2043"/>
      </w:tblGrid>
      <w:tr w14:paraId="1BE3982F">
        <w:tblPrEx>
          <w:tblCellMar>
            <w:top w:w="0" w:type="dxa"/>
            <w:left w:w="0" w:type="dxa"/>
            <w:bottom w:w="0" w:type="dxa"/>
            <w:right w:w="0" w:type="dxa"/>
          </w:tblCellMar>
        </w:tblPrEx>
        <w:trPr>
          <w:trHeight w:val="312" w:hRule="atLeast"/>
          <w:jc w:val="center"/>
        </w:trPr>
        <w:tc>
          <w:tcPr>
            <w:tcW w:w="245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143E4251">
            <w:pPr>
              <w:pageBreakBefore w:val="0"/>
              <w:widowControl/>
              <w:kinsoku/>
              <w:wordWrap/>
              <w:overflowPunct/>
              <w:topLinePunct w:val="0"/>
              <w:autoSpaceDE/>
              <w:autoSpaceDN/>
              <w:bidi w:val="0"/>
              <w:adjustRightInd/>
              <w:snapToGrid/>
              <w:spacing w:line="560" w:lineRule="exact"/>
              <w:jc w:val="center"/>
              <w:textAlignment w:val="center"/>
              <w:rPr>
                <w:rStyle w:val="54"/>
                <w:rFonts w:hint="eastAsia" w:ascii="仿宋_GB2312" w:hAnsi="仿宋_GB2312" w:eastAsia="仿宋_GB2312" w:cs="仿宋_GB2312"/>
                <w:b/>
                <w:bCs/>
                <w:color w:val="auto"/>
                <w:sz w:val="32"/>
                <w:szCs w:val="32"/>
                <w:highlight w:val="none"/>
              </w:rPr>
            </w:pPr>
            <w:r>
              <w:rPr>
                <w:rStyle w:val="54"/>
                <w:rFonts w:hint="eastAsia" w:ascii="仿宋_GB2312" w:hAnsi="仿宋_GB2312" w:eastAsia="仿宋_GB2312" w:cs="仿宋_GB2312"/>
                <w:b/>
                <w:bCs/>
                <w:color w:val="auto"/>
                <w:sz w:val="32"/>
                <w:szCs w:val="32"/>
                <w:highlight w:val="none"/>
              </w:rPr>
              <w:t>三级指标</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021FCB">
            <w:pPr>
              <w:pageBreakBefore w:val="0"/>
              <w:widowControl/>
              <w:kinsoku/>
              <w:wordWrap/>
              <w:overflowPunct/>
              <w:topLinePunct w:val="0"/>
              <w:autoSpaceDE/>
              <w:autoSpaceDN/>
              <w:bidi w:val="0"/>
              <w:adjustRightInd/>
              <w:snapToGrid/>
              <w:spacing w:line="560" w:lineRule="exact"/>
              <w:jc w:val="center"/>
              <w:textAlignment w:val="center"/>
              <w:rPr>
                <w:rStyle w:val="54"/>
                <w:rFonts w:hint="eastAsia" w:ascii="仿宋_GB2312" w:hAnsi="仿宋_GB2312" w:eastAsia="仿宋_GB2312" w:cs="仿宋_GB2312"/>
                <w:b/>
                <w:bCs/>
                <w:color w:val="auto"/>
                <w:sz w:val="32"/>
                <w:szCs w:val="32"/>
                <w:highlight w:val="none"/>
              </w:rPr>
            </w:pPr>
            <w:r>
              <w:rPr>
                <w:rStyle w:val="54"/>
                <w:rFonts w:hint="eastAsia" w:ascii="仿宋_GB2312" w:hAnsi="仿宋_GB2312" w:eastAsia="仿宋_GB2312" w:cs="仿宋_GB2312"/>
                <w:b/>
                <w:bCs/>
                <w:color w:val="auto"/>
                <w:sz w:val="32"/>
                <w:szCs w:val="32"/>
                <w:highlight w:val="none"/>
              </w:rPr>
              <w:t>权重</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D518A9">
            <w:pPr>
              <w:pageBreakBefore w:val="0"/>
              <w:widowControl/>
              <w:kinsoku/>
              <w:wordWrap/>
              <w:overflowPunct/>
              <w:topLinePunct w:val="0"/>
              <w:autoSpaceDE/>
              <w:autoSpaceDN/>
              <w:bidi w:val="0"/>
              <w:adjustRightInd/>
              <w:snapToGrid/>
              <w:spacing w:line="560" w:lineRule="exact"/>
              <w:jc w:val="center"/>
              <w:textAlignment w:val="center"/>
              <w:rPr>
                <w:rStyle w:val="54"/>
                <w:rFonts w:hint="eastAsia" w:ascii="仿宋_GB2312" w:hAnsi="仿宋_GB2312" w:eastAsia="仿宋_GB2312" w:cs="仿宋_GB2312"/>
                <w:b/>
                <w:bCs/>
                <w:color w:val="auto"/>
                <w:sz w:val="32"/>
                <w:szCs w:val="32"/>
                <w:highlight w:val="none"/>
              </w:rPr>
            </w:pPr>
            <w:r>
              <w:rPr>
                <w:rStyle w:val="54"/>
                <w:rFonts w:hint="eastAsia" w:ascii="仿宋_GB2312" w:hAnsi="仿宋_GB2312" w:eastAsia="仿宋_GB2312" w:cs="仿宋_GB2312"/>
                <w:b/>
                <w:bCs/>
                <w:color w:val="auto"/>
                <w:sz w:val="32"/>
                <w:szCs w:val="32"/>
                <w:highlight w:val="none"/>
              </w:rPr>
              <w:t>得分率</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D0A0CB">
            <w:pPr>
              <w:pageBreakBefore w:val="0"/>
              <w:widowControl/>
              <w:kinsoku/>
              <w:wordWrap/>
              <w:overflowPunct/>
              <w:topLinePunct w:val="0"/>
              <w:autoSpaceDE/>
              <w:autoSpaceDN/>
              <w:bidi w:val="0"/>
              <w:adjustRightInd/>
              <w:snapToGrid/>
              <w:spacing w:line="560" w:lineRule="exact"/>
              <w:jc w:val="center"/>
              <w:textAlignment w:val="center"/>
              <w:rPr>
                <w:rStyle w:val="54"/>
                <w:rFonts w:hint="eastAsia" w:ascii="仿宋_GB2312" w:hAnsi="仿宋_GB2312" w:eastAsia="仿宋_GB2312" w:cs="仿宋_GB2312"/>
                <w:b/>
                <w:bCs/>
                <w:color w:val="auto"/>
                <w:sz w:val="32"/>
                <w:szCs w:val="32"/>
                <w:highlight w:val="none"/>
              </w:rPr>
            </w:pPr>
            <w:r>
              <w:rPr>
                <w:rStyle w:val="54"/>
                <w:rFonts w:hint="eastAsia" w:ascii="仿宋_GB2312" w:hAnsi="仿宋_GB2312" w:eastAsia="仿宋_GB2312" w:cs="仿宋_GB2312"/>
                <w:b/>
                <w:bCs/>
                <w:color w:val="auto"/>
                <w:sz w:val="32"/>
                <w:szCs w:val="32"/>
                <w:highlight w:val="none"/>
              </w:rPr>
              <w:t>实际得分</w:t>
            </w:r>
          </w:p>
        </w:tc>
      </w:tr>
      <w:tr w14:paraId="1ACE7817">
        <w:tblPrEx>
          <w:tblCellMar>
            <w:top w:w="0" w:type="dxa"/>
            <w:left w:w="0" w:type="dxa"/>
            <w:bottom w:w="0" w:type="dxa"/>
            <w:right w:w="0" w:type="dxa"/>
          </w:tblCellMar>
        </w:tblPrEx>
        <w:trPr>
          <w:trHeight w:val="312" w:hRule="atLeast"/>
          <w:jc w:val="center"/>
        </w:trPr>
        <w:tc>
          <w:tcPr>
            <w:tcW w:w="245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6E05EC25">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rPr>
            </w:pPr>
            <w:r>
              <w:rPr>
                <w:rStyle w:val="54"/>
                <w:rFonts w:hint="eastAsia" w:ascii="仿宋_GB2312" w:hAnsi="仿宋_GB2312" w:eastAsia="仿宋_GB2312" w:cs="仿宋_GB2312"/>
                <w:color w:val="auto"/>
                <w:sz w:val="32"/>
                <w:szCs w:val="32"/>
                <w:highlight w:val="none"/>
              </w:rPr>
              <w:t>经济效益指标</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8D55EE">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10</w:t>
            </w:r>
          </w:p>
        </w:tc>
        <w:tc>
          <w:tcPr>
            <w:tcW w:w="204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3DB59952">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100%</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AB62B8">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10</w:t>
            </w:r>
          </w:p>
        </w:tc>
      </w:tr>
      <w:tr w14:paraId="763A1F77">
        <w:tblPrEx>
          <w:tblCellMar>
            <w:top w:w="0" w:type="dxa"/>
            <w:left w:w="0" w:type="dxa"/>
            <w:bottom w:w="0" w:type="dxa"/>
            <w:right w:w="0" w:type="dxa"/>
          </w:tblCellMar>
        </w:tblPrEx>
        <w:trPr>
          <w:trHeight w:val="312" w:hRule="atLeast"/>
          <w:jc w:val="center"/>
        </w:trPr>
        <w:tc>
          <w:tcPr>
            <w:tcW w:w="245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12F26E35">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kern w:val="0"/>
                <w:sz w:val="32"/>
                <w:szCs w:val="32"/>
                <w:highlight w:val="none"/>
              </w:rPr>
            </w:pPr>
            <w:r>
              <w:rPr>
                <w:rStyle w:val="54"/>
                <w:rFonts w:hint="eastAsia" w:ascii="仿宋_GB2312" w:hAnsi="仿宋_GB2312" w:eastAsia="仿宋_GB2312" w:cs="仿宋_GB2312"/>
                <w:color w:val="auto"/>
                <w:sz w:val="32"/>
                <w:szCs w:val="32"/>
                <w:highlight w:val="none"/>
              </w:rPr>
              <w:t>社会效益指标</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B88ECC">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10</w:t>
            </w:r>
          </w:p>
        </w:tc>
        <w:tc>
          <w:tcPr>
            <w:tcW w:w="204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336998D0">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sz w:val="32"/>
                <w:szCs w:val="32"/>
                <w:highlight w:val="none"/>
                <w:lang w:val="en-US" w:eastAsia="zh-CN"/>
              </w:rPr>
              <w:t>100%</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D2BEDB">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10</w:t>
            </w:r>
          </w:p>
        </w:tc>
      </w:tr>
      <w:tr w14:paraId="5F1B6B89">
        <w:tblPrEx>
          <w:tblCellMar>
            <w:top w:w="0" w:type="dxa"/>
            <w:left w:w="0" w:type="dxa"/>
            <w:bottom w:w="0" w:type="dxa"/>
            <w:right w:w="0" w:type="dxa"/>
          </w:tblCellMar>
        </w:tblPrEx>
        <w:trPr>
          <w:trHeight w:val="312" w:hRule="atLeast"/>
          <w:jc w:val="center"/>
        </w:trPr>
        <w:tc>
          <w:tcPr>
            <w:tcW w:w="245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481E353D">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rPr>
            </w:pPr>
            <w:r>
              <w:rPr>
                <w:rStyle w:val="54"/>
                <w:rFonts w:hint="eastAsia" w:ascii="仿宋_GB2312" w:hAnsi="仿宋_GB2312" w:eastAsia="仿宋_GB2312" w:cs="仿宋_GB2312"/>
                <w:color w:val="auto"/>
                <w:sz w:val="32"/>
                <w:szCs w:val="32"/>
                <w:highlight w:val="none"/>
              </w:rPr>
              <w:t>可持续影响指标</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802BD4">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10</w:t>
            </w:r>
          </w:p>
        </w:tc>
        <w:tc>
          <w:tcPr>
            <w:tcW w:w="204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691283D2">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lang w:val="en-US" w:eastAsia="zh-CN"/>
              </w:rPr>
              <w:t>100%</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9EABB8">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10</w:t>
            </w:r>
          </w:p>
        </w:tc>
      </w:tr>
      <w:tr w14:paraId="28F07F34">
        <w:tblPrEx>
          <w:tblCellMar>
            <w:top w:w="0" w:type="dxa"/>
            <w:left w:w="0" w:type="dxa"/>
            <w:bottom w:w="0" w:type="dxa"/>
            <w:right w:w="0" w:type="dxa"/>
          </w:tblCellMar>
        </w:tblPrEx>
        <w:trPr>
          <w:trHeight w:val="312" w:hRule="atLeast"/>
          <w:jc w:val="center"/>
        </w:trPr>
        <w:tc>
          <w:tcPr>
            <w:tcW w:w="245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2622CE0C">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kern w:val="0"/>
                <w:sz w:val="32"/>
                <w:szCs w:val="32"/>
                <w:highlight w:val="none"/>
              </w:rPr>
            </w:pPr>
            <w:r>
              <w:rPr>
                <w:rStyle w:val="54"/>
                <w:rFonts w:hint="eastAsia" w:ascii="仿宋_GB2312" w:hAnsi="仿宋_GB2312" w:eastAsia="仿宋_GB2312" w:cs="仿宋_GB2312"/>
                <w:color w:val="auto"/>
                <w:sz w:val="32"/>
                <w:szCs w:val="32"/>
                <w:highlight w:val="none"/>
              </w:rPr>
              <w:t>满意度</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659DFD">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10</w:t>
            </w:r>
          </w:p>
        </w:tc>
        <w:tc>
          <w:tcPr>
            <w:tcW w:w="204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14444879">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FF"/>
                <w:kern w:val="0"/>
                <w:sz w:val="32"/>
                <w:szCs w:val="32"/>
                <w:highlight w:val="none"/>
              </w:rPr>
            </w:pPr>
            <w:r>
              <w:rPr>
                <w:rFonts w:hint="eastAsia" w:ascii="仿宋_GB2312" w:hAnsi="仿宋_GB2312" w:eastAsia="仿宋_GB2312" w:cs="仿宋_GB2312"/>
                <w:color w:val="000000"/>
                <w:sz w:val="32"/>
                <w:szCs w:val="32"/>
                <w:highlight w:val="none"/>
                <w:lang w:val="en-US" w:eastAsia="zh-CN"/>
              </w:rPr>
              <w:t>100%</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258A32">
            <w:pPr>
              <w:pageBreakBefore w:val="0"/>
              <w:widowControl/>
              <w:kinsoku/>
              <w:wordWrap/>
              <w:overflowPunct/>
              <w:topLinePunct w:val="0"/>
              <w:autoSpaceDE/>
              <w:autoSpaceDN/>
              <w:bidi w:val="0"/>
              <w:adjustRightInd/>
              <w:snapToGrid/>
              <w:spacing w:line="560" w:lineRule="exact"/>
              <w:jc w:val="center"/>
              <w:textAlignment w:val="center"/>
              <w:rPr>
                <w:rFonts w:hint="eastAsia" w:ascii="仿宋_GB2312" w:hAnsi="仿宋_GB2312" w:eastAsia="仿宋_GB2312" w:cs="仿宋_GB2312"/>
                <w:color w:val="0000FF"/>
                <w:kern w:val="0"/>
                <w:sz w:val="32"/>
                <w:szCs w:val="32"/>
                <w:highlight w:val="none"/>
                <w:lang w:eastAsia="zh-CN"/>
              </w:rPr>
            </w:pPr>
            <w:r>
              <w:rPr>
                <w:rFonts w:hint="eastAsia" w:ascii="仿宋_GB2312" w:hAnsi="仿宋_GB2312" w:eastAsia="仿宋_GB2312" w:cs="仿宋_GB2312"/>
                <w:color w:val="000000"/>
                <w:kern w:val="0"/>
                <w:sz w:val="32"/>
                <w:szCs w:val="32"/>
                <w:highlight w:val="none"/>
                <w:lang w:val="en-US" w:eastAsia="zh-CN"/>
              </w:rPr>
              <w:t>10</w:t>
            </w:r>
          </w:p>
        </w:tc>
      </w:tr>
      <w:tr w14:paraId="723C78CD">
        <w:tblPrEx>
          <w:tblCellMar>
            <w:top w:w="0" w:type="dxa"/>
            <w:left w:w="0" w:type="dxa"/>
            <w:bottom w:w="0" w:type="dxa"/>
            <w:right w:w="0" w:type="dxa"/>
          </w:tblCellMar>
        </w:tblPrEx>
        <w:trPr>
          <w:trHeight w:val="312" w:hRule="atLeast"/>
          <w:jc w:val="center"/>
        </w:trPr>
        <w:tc>
          <w:tcPr>
            <w:tcW w:w="245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bottom"/>
          </w:tcPr>
          <w:p w14:paraId="02C68588">
            <w:pPr>
              <w:pageBreakBefore w:val="0"/>
              <w:widowControl/>
              <w:kinsoku/>
              <w:wordWrap/>
              <w:overflowPunct/>
              <w:topLinePunct w:val="0"/>
              <w:autoSpaceDE/>
              <w:autoSpaceDN/>
              <w:bidi w:val="0"/>
              <w:adjustRightInd/>
              <w:snapToGrid/>
              <w:spacing w:line="560" w:lineRule="exact"/>
              <w:jc w:val="center"/>
              <w:textAlignment w:val="bottom"/>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合计</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14:paraId="6764C716">
            <w:pPr>
              <w:pageBreakBefore w:val="0"/>
              <w:widowControl/>
              <w:kinsoku/>
              <w:wordWrap/>
              <w:overflowPunct/>
              <w:topLinePunct w:val="0"/>
              <w:autoSpaceDE/>
              <w:autoSpaceDN/>
              <w:bidi w:val="0"/>
              <w:adjustRightInd/>
              <w:snapToGrid/>
              <w:spacing w:line="560" w:lineRule="exact"/>
              <w:jc w:val="center"/>
              <w:textAlignment w:val="bottom"/>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kern w:val="0"/>
                <w:sz w:val="32"/>
                <w:szCs w:val="32"/>
                <w:highlight w:val="none"/>
              </w:rPr>
              <w:t>40</w:t>
            </w:r>
          </w:p>
        </w:tc>
        <w:tc>
          <w:tcPr>
            <w:tcW w:w="204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132A078A">
            <w:pPr>
              <w:pageBreakBefore w:val="0"/>
              <w:widowControl/>
              <w:kinsoku/>
              <w:wordWrap/>
              <w:overflowPunct/>
              <w:topLinePunct w:val="0"/>
              <w:autoSpaceDE/>
              <w:autoSpaceDN/>
              <w:bidi w:val="0"/>
              <w:adjustRightInd/>
              <w:snapToGrid/>
              <w:spacing w:line="560" w:lineRule="exact"/>
              <w:ind w:firstLine="640" w:firstLineChars="200"/>
              <w:jc w:val="both"/>
              <w:textAlignment w:val="center"/>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100%</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14:paraId="51C92339">
            <w:pPr>
              <w:pageBreakBefore w:val="0"/>
              <w:widowControl/>
              <w:kinsoku/>
              <w:wordWrap/>
              <w:overflowPunct/>
              <w:topLinePunct w:val="0"/>
              <w:autoSpaceDE/>
              <w:autoSpaceDN/>
              <w:bidi w:val="0"/>
              <w:adjustRightInd/>
              <w:snapToGrid/>
              <w:spacing w:line="560" w:lineRule="exact"/>
              <w:ind w:firstLine="640" w:firstLineChars="200"/>
              <w:jc w:val="center"/>
              <w:textAlignment w:val="bottom"/>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40</w:t>
            </w:r>
          </w:p>
        </w:tc>
      </w:tr>
    </w:tbl>
    <w:p w14:paraId="1EF5AEF6">
      <w:pPr>
        <w:keepNext w:val="0"/>
        <w:keepLines w:val="0"/>
        <w:pageBreakBefore w:val="0"/>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rPr>
          <w:rFonts w:hint="default"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sz w:val="32"/>
          <w:szCs w:val="32"/>
          <w:highlight w:val="none"/>
          <w:lang w:eastAsia="zh-CN"/>
        </w:rPr>
        <w:t>经济效益指标：协助有关部门，争取2020年完成疆外游客在我区跨境旅游落地，边民互市正常化，促进我区外向型积极上台阶，年度指标值≥10000人，</w:t>
      </w:r>
      <w:r>
        <w:rPr>
          <w:rFonts w:hint="eastAsia" w:ascii="仿宋_GB2312" w:hAnsi="仿宋_GB2312" w:eastAsia="仿宋_GB2312" w:cs="仿宋_GB2312"/>
          <w:b w:val="0"/>
          <w:bCs w:val="0"/>
          <w:color w:val="000000"/>
          <w:kern w:val="0"/>
          <w:sz w:val="32"/>
          <w:szCs w:val="32"/>
          <w:highlight w:val="none"/>
          <w:lang w:eastAsia="zh-CN"/>
        </w:rPr>
        <w:t>实际完成值10000人，完成率</w:t>
      </w:r>
      <w:r>
        <w:rPr>
          <w:rFonts w:hint="eastAsia" w:ascii="仿宋_GB2312" w:hAnsi="仿宋_GB2312" w:eastAsia="仿宋_GB2312" w:cs="仿宋_GB2312"/>
          <w:b w:val="0"/>
          <w:bCs w:val="0"/>
          <w:color w:val="auto"/>
          <w:kern w:val="0"/>
          <w:sz w:val="32"/>
          <w:szCs w:val="32"/>
          <w:highlight w:val="none"/>
          <w:lang w:val="en-US" w:eastAsia="zh-CN"/>
        </w:rPr>
        <w:t>100%。</w:t>
      </w:r>
    </w:p>
    <w:p w14:paraId="0348C7CD">
      <w:pPr>
        <w:keepNext w:val="0"/>
        <w:keepLines w:val="0"/>
        <w:pageBreakBefore w:val="0"/>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rPr>
          <w:rFonts w:hint="eastAsia" w:ascii="仿宋_GB2312" w:hAnsi="仿宋_GB2312" w:eastAsia="仿宋_GB2312" w:cs="仿宋_GB2312"/>
          <w:b w:val="0"/>
          <w:bCs w:val="0"/>
          <w:color w:val="auto"/>
          <w:kern w:val="0"/>
          <w:sz w:val="32"/>
          <w:szCs w:val="32"/>
          <w:highlight w:val="none"/>
          <w:lang w:val="en-US" w:eastAsia="zh-CN"/>
        </w:rPr>
      </w:pPr>
      <w:r>
        <w:rPr>
          <w:rFonts w:hint="eastAsia" w:ascii="仿宋_GB2312" w:hAnsi="仿宋_GB2312" w:eastAsia="仿宋_GB2312" w:cs="仿宋_GB2312"/>
          <w:b w:val="0"/>
          <w:bCs w:val="0"/>
          <w:color w:val="auto"/>
          <w:sz w:val="32"/>
          <w:szCs w:val="32"/>
          <w:highlight w:val="none"/>
        </w:rPr>
        <w:t>社会效益指标：加强外与领国的睦邻友好沟通</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kern w:val="0"/>
          <w:sz w:val="32"/>
          <w:szCs w:val="32"/>
          <w:highlight w:val="none"/>
          <w:lang w:eastAsia="zh-CN"/>
        </w:rPr>
        <w:t>年度指标值</w:t>
      </w:r>
      <w:r>
        <w:rPr>
          <w:rFonts w:hint="eastAsia" w:ascii="仿宋_GB2312" w:hAnsi="仿宋_GB2312" w:eastAsia="仿宋_GB2312" w:cs="仿宋_GB2312"/>
          <w:b w:val="0"/>
          <w:bCs w:val="0"/>
          <w:color w:val="auto"/>
          <w:kern w:val="0"/>
          <w:sz w:val="32"/>
          <w:szCs w:val="32"/>
          <w:highlight w:val="none"/>
          <w:lang w:val="en-US" w:eastAsia="zh-CN"/>
        </w:rPr>
        <w:t>1国，</w:t>
      </w:r>
      <w:r>
        <w:rPr>
          <w:rFonts w:hint="eastAsia" w:ascii="仿宋_GB2312" w:hAnsi="仿宋_GB2312" w:eastAsia="仿宋_GB2312" w:cs="仿宋_GB2312"/>
          <w:b w:val="0"/>
          <w:bCs w:val="0"/>
          <w:color w:val="auto"/>
          <w:kern w:val="0"/>
          <w:sz w:val="32"/>
          <w:szCs w:val="32"/>
          <w:highlight w:val="none"/>
          <w:lang w:eastAsia="zh-CN"/>
        </w:rPr>
        <w:t>实际完成值</w:t>
      </w:r>
      <w:r>
        <w:rPr>
          <w:rFonts w:hint="eastAsia" w:ascii="仿宋_GB2312" w:hAnsi="仿宋_GB2312" w:eastAsia="仿宋_GB2312" w:cs="仿宋_GB2312"/>
          <w:b w:val="0"/>
          <w:bCs w:val="0"/>
          <w:color w:val="auto"/>
          <w:kern w:val="0"/>
          <w:sz w:val="32"/>
          <w:szCs w:val="32"/>
          <w:highlight w:val="none"/>
          <w:lang w:val="en-US" w:eastAsia="zh-CN"/>
        </w:rPr>
        <w:t>1国，指标完成率100%，</w:t>
      </w:r>
    </w:p>
    <w:p w14:paraId="6434FC44">
      <w:pPr>
        <w:keepNext w:val="0"/>
        <w:keepLines w:val="0"/>
        <w:pageBreakBefore w:val="0"/>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可持续影响指标</w:t>
      </w:r>
      <w:r>
        <w:rPr>
          <w:rFonts w:hint="eastAsia" w:ascii="仿宋_GB2312" w:hAnsi="仿宋_GB2312" w:eastAsia="仿宋_GB2312" w:cs="仿宋_GB2312"/>
          <w:b w:val="0"/>
          <w:bCs w:val="0"/>
          <w:color w:val="auto"/>
          <w:sz w:val="32"/>
          <w:szCs w:val="32"/>
          <w:highlight w:val="none"/>
          <w:lang w:eastAsia="zh-CN"/>
        </w:rPr>
        <w:t>：进一步促进贸易交易量的提升，</w:t>
      </w:r>
      <w:r>
        <w:rPr>
          <w:rFonts w:hint="eastAsia" w:ascii="仿宋_GB2312" w:hAnsi="仿宋_GB2312" w:eastAsia="仿宋_GB2312" w:cs="仿宋_GB2312"/>
          <w:b w:val="0"/>
          <w:bCs w:val="0"/>
          <w:color w:val="auto"/>
          <w:kern w:val="0"/>
          <w:sz w:val="32"/>
          <w:szCs w:val="32"/>
          <w:highlight w:val="none"/>
          <w:lang w:eastAsia="zh-CN"/>
        </w:rPr>
        <w:t>年度指标值≥1次，</w:t>
      </w:r>
      <w:r>
        <w:rPr>
          <w:rFonts w:hint="eastAsia" w:ascii="仿宋_GB2312" w:hAnsi="仿宋_GB2312" w:eastAsia="仿宋_GB2312" w:cs="仿宋_GB2312"/>
          <w:b w:val="0"/>
          <w:bCs w:val="0"/>
          <w:color w:val="auto"/>
          <w:sz w:val="32"/>
          <w:szCs w:val="32"/>
          <w:highlight w:val="none"/>
          <w:lang w:eastAsia="zh-CN"/>
        </w:rPr>
        <w:t>实际</w:t>
      </w:r>
      <w:r>
        <w:rPr>
          <w:rFonts w:hint="eastAsia" w:ascii="仿宋_GB2312" w:hAnsi="仿宋_GB2312" w:eastAsia="仿宋_GB2312" w:cs="仿宋_GB2312"/>
          <w:b w:val="0"/>
          <w:bCs w:val="0"/>
          <w:color w:val="auto"/>
          <w:sz w:val="32"/>
          <w:szCs w:val="32"/>
          <w:highlight w:val="none"/>
        </w:rPr>
        <w:t>完成值</w:t>
      </w:r>
      <w:r>
        <w:rPr>
          <w:rFonts w:hint="eastAsia" w:ascii="仿宋_GB2312" w:hAnsi="仿宋_GB2312" w:eastAsia="仿宋_GB2312" w:cs="仿宋_GB2312"/>
          <w:b w:val="0"/>
          <w:bCs w:val="0"/>
          <w:color w:val="auto"/>
          <w:sz w:val="32"/>
          <w:szCs w:val="32"/>
          <w:highlight w:val="none"/>
          <w:lang w:val="en-US" w:eastAsia="zh-CN"/>
        </w:rPr>
        <w:t>1次，</w:t>
      </w:r>
      <w:r>
        <w:rPr>
          <w:rFonts w:hint="eastAsia" w:ascii="仿宋_GB2312" w:hAnsi="仿宋_GB2312" w:eastAsia="仿宋_GB2312" w:cs="仿宋_GB2312"/>
          <w:b w:val="0"/>
          <w:bCs w:val="0"/>
          <w:color w:val="auto"/>
          <w:sz w:val="32"/>
          <w:szCs w:val="32"/>
          <w:highlight w:val="none"/>
        </w:rPr>
        <w:t>指标完成率</w:t>
      </w:r>
      <w:r>
        <w:rPr>
          <w:rFonts w:hint="eastAsia" w:ascii="仿宋_GB2312" w:hAnsi="仿宋_GB2312" w:eastAsia="仿宋_GB2312" w:cs="仿宋_GB2312"/>
          <w:b w:val="0"/>
          <w:bCs w:val="0"/>
          <w:color w:val="auto"/>
          <w:sz w:val="32"/>
          <w:szCs w:val="32"/>
          <w:highlight w:val="none"/>
          <w:lang w:val="en-US" w:eastAsia="zh-CN"/>
        </w:rPr>
        <w:t>100</w:t>
      </w:r>
      <w:r>
        <w:rPr>
          <w:rFonts w:hint="eastAsia" w:ascii="仿宋_GB2312" w:hAnsi="仿宋_GB2312" w:eastAsia="仿宋_GB2312" w:cs="仿宋_GB2312"/>
          <w:b w:val="0"/>
          <w:bCs w:val="0"/>
          <w:color w:val="auto"/>
          <w:sz w:val="32"/>
          <w:szCs w:val="32"/>
          <w:highlight w:val="none"/>
        </w:rPr>
        <w:t>%</w:t>
      </w:r>
    </w:p>
    <w:p w14:paraId="19B4F5A5">
      <w:pPr>
        <w:keepNext w:val="0"/>
        <w:keepLines w:val="0"/>
        <w:pageBreakBefore w:val="0"/>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rPr>
          <w:rFonts w:hint="eastAsia"/>
          <w:highlight w:val="none"/>
          <w:lang w:val="en-US" w:eastAsia="zh-CN"/>
        </w:rPr>
      </w:pPr>
      <w:r>
        <w:rPr>
          <w:rFonts w:hint="eastAsia" w:ascii="仿宋_GB2312" w:hAnsi="仿宋_GB2312" w:eastAsia="仿宋_GB2312" w:cs="仿宋_GB2312"/>
          <w:b w:val="0"/>
          <w:bCs w:val="0"/>
          <w:color w:val="auto"/>
          <w:sz w:val="32"/>
          <w:szCs w:val="32"/>
          <w:highlight w:val="none"/>
          <w:lang w:eastAsia="zh-CN"/>
        </w:rPr>
        <w:t>满意度指标：群众对外事工作的满意度，年</w:t>
      </w:r>
      <w:r>
        <w:rPr>
          <w:rFonts w:hint="eastAsia" w:ascii="仿宋_GB2312" w:hAnsi="仿宋_GB2312" w:eastAsia="仿宋_GB2312" w:cs="仿宋_GB2312"/>
          <w:b w:val="0"/>
          <w:bCs w:val="0"/>
          <w:color w:val="auto"/>
          <w:kern w:val="0"/>
          <w:sz w:val="32"/>
          <w:szCs w:val="32"/>
          <w:highlight w:val="none"/>
          <w:lang w:eastAsia="zh-CN"/>
        </w:rPr>
        <w:t>度指标值</w:t>
      </w:r>
      <w:r>
        <w:rPr>
          <w:rFonts w:hint="eastAsia" w:ascii="仿宋_GB2312" w:hAnsi="仿宋_GB2312" w:eastAsia="仿宋_GB2312" w:cs="仿宋_GB2312"/>
          <w:b w:val="0"/>
          <w:bCs w:val="0"/>
          <w:color w:val="auto"/>
          <w:kern w:val="0"/>
          <w:sz w:val="32"/>
          <w:szCs w:val="32"/>
          <w:highlight w:val="none"/>
          <w:lang w:val="en-US" w:eastAsia="zh-CN"/>
        </w:rPr>
        <w:t>=90%</w:t>
      </w:r>
      <w:r>
        <w:rPr>
          <w:rFonts w:hint="eastAsia" w:ascii="仿宋_GB2312" w:hAnsi="仿宋_GB2312" w:eastAsia="仿宋_GB2312" w:cs="仿宋_GB2312"/>
          <w:b w:val="0"/>
          <w:bCs w:val="0"/>
          <w:color w:val="auto"/>
          <w:kern w:val="0"/>
          <w:sz w:val="32"/>
          <w:szCs w:val="32"/>
          <w:highlight w:val="none"/>
          <w:lang w:eastAsia="zh-CN"/>
        </w:rPr>
        <w:t>，</w:t>
      </w:r>
      <w:r>
        <w:rPr>
          <w:rFonts w:hint="eastAsia" w:ascii="仿宋_GB2312" w:hAnsi="仿宋_GB2312" w:eastAsia="仿宋_GB2312" w:cs="仿宋_GB2312"/>
          <w:b w:val="0"/>
          <w:bCs w:val="0"/>
          <w:color w:val="auto"/>
          <w:sz w:val="32"/>
          <w:szCs w:val="32"/>
          <w:highlight w:val="none"/>
          <w:lang w:eastAsia="zh-CN"/>
        </w:rPr>
        <w:t>实际</w:t>
      </w:r>
      <w:r>
        <w:rPr>
          <w:rFonts w:hint="eastAsia" w:ascii="仿宋_GB2312" w:hAnsi="仿宋_GB2312" w:eastAsia="仿宋_GB2312" w:cs="仿宋_GB2312"/>
          <w:b w:val="0"/>
          <w:bCs w:val="0"/>
          <w:color w:val="auto"/>
          <w:sz w:val="32"/>
          <w:szCs w:val="32"/>
          <w:highlight w:val="none"/>
        </w:rPr>
        <w:t>完成值</w:t>
      </w:r>
      <w:r>
        <w:rPr>
          <w:rFonts w:hint="eastAsia" w:ascii="仿宋_GB2312" w:hAnsi="仿宋_GB2312" w:eastAsia="仿宋_GB2312" w:cs="仿宋_GB2312"/>
          <w:b w:val="0"/>
          <w:bCs w:val="0"/>
          <w:color w:val="auto"/>
          <w:kern w:val="0"/>
          <w:sz w:val="32"/>
          <w:szCs w:val="32"/>
          <w:highlight w:val="none"/>
          <w:lang w:val="en-US" w:eastAsia="zh-CN"/>
        </w:rPr>
        <w:t>=90%</w:t>
      </w:r>
      <w:r>
        <w:rPr>
          <w:rFonts w:hint="eastAsia" w:ascii="仿宋_GB2312" w:hAnsi="仿宋_GB2312" w:eastAsia="仿宋_GB2312" w:cs="仿宋_GB2312"/>
          <w:b w:val="0"/>
          <w:bCs w:val="0"/>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rPr>
        <w:t>指标完成率</w:t>
      </w:r>
      <w:r>
        <w:rPr>
          <w:rFonts w:hint="eastAsia" w:ascii="仿宋_GB2312" w:hAnsi="仿宋_GB2312" w:eastAsia="仿宋_GB2312" w:cs="仿宋_GB2312"/>
          <w:b w:val="0"/>
          <w:bCs w:val="0"/>
          <w:color w:val="auto"/>
          <w:sz w:val="32"/>
          <w:szCs w:val="32"/>
          <w:highlight w:val="none"/>
          <w:lang w:val="en-US" w:eastAsia="zh-CN"/>
        </w:rPr>
        <w:t>100</w:t>
      </w:r>
      <w:r>
        <w:rPr>
          <w:rFonts w:hint="eastAsia" w:ascii="仿宋_GB2312" w:hAnsi="仿宋_GB2312" w:eastAsia="仿宋_GB2312" w:cs="仿宋_GB2312"/>
          <w:b w:val="0"/>
          <w:bCs w:val="0"/>
          <w:color w:val="auto"/>
          <w:sz w:val="32"/>
          <w:szCs w:val="32"/>
          <w:highlight w:val="none"/>
        </w:rPr>
        <w:t>%</w:t>
      </w:r>
    </w:p>
    <w:p w14:paraId="468DE8AE">
      <w:pPr>
        <w:keepNext w:val="0"/>
        <w:keepLines w:val="0"/>
        <w:pageBreakBefore w:val="0"/>
        <w:pBdr>
          <w:bottom w:val="single" w:color="FFFFFF" w:sz="4" w:space="31"/>
        </w:pBdr>
        <w:tabs>
          <w:tab w:val="left" w:pos="1440"/>
        </w:tabs>
        <w:kinsoku/>
        <w:wordWrap/>
        <w:overflowPunct/>
        <w:topLinePunct w:val="0"/>
        <w:autoSpaceDE/>
        <w:autoSpaceDN/>
        <w:bidi w:val="0"/>
        <w:adjustRightInd w:val="0"/>
        <w:snapToGrid w:val="0"/>
        <w:spacing w:line="560" w:lineRule="exact"/>
        <w:rPr>
          <w:rFonts w:hint="eastAsia" w:ascii="黑体" w:hAnsi="黑体" w:eastAsia="黑体" w:cs="黑体"/>
          <w:color w:val="000000" w:themeColor="text1"/>
          <w:sz w:val="32"/>
          <w:szCs w:val="32"/>
          <w:highlight w:val="none"/>
          <w14:textFill>
            <w14:solidFill>
              <w14:schemeClr w14:val="tx1"/>
            </w14:solidFill>
          </w14:textFill>
        </w:rPr>
      </w:pPr>
      <w:r>
        <w:rPr>
          <w:rFonts w:hint="eastAsia" w:ascii="黑体" w:hAnsi="黑体" w:eastAsia="黑体" w:cs="黑体"/>
          <w:color w:val="000000" w:themeColor="text1"/>
          <w:sz w:val="32"/>
          <w:szCs w:val="32"/>
          <w:highlight w:val="none"/>
          <w14:textFill>
            <w14:solidFill>
              <w14:schemeClr w14:val="tx1"/>
            </w14:solidFill>
          </w14:textFill>
        </w:rPr>
        <w:t xml:space="preserve"> </w:t>
      </w:r>
      <w:r>
        <w:rPr>
          <w:rFonts w:hint="eastAsia" w:ascii="黑体" w:hAnsi="黑体" w:eastAsia="黑体" w:cs="黑体"/>
          <w:color w:val="000000" w:themeColor="text1"/>
          <w:sz w:val="32"/>
          <w:szCs w:val="32"/>
          <w:highlight w:val="none"/>
          <w:lang w:eastAsia="zh-CN"/>
          <w14:textFill>
            <w14:solidFill>
              <w14:schemeClr w14:val="tx1"/>
            </w14:solidFill>
          </w14:textFill>
        </w:rPr>
        <w:t>五、</w:t>
      </w:r>
      <w:r>
        <w:rPr>
          <w:rFonts w:hint="eastAsia" w:ascii="黑体" w:hAnsi="黑体" w:eastAsia="黑体" w:cs="黑体"/>
          <w:color w:val="000000" w:themeColor="text1"/>
          <w:sz w:val="32"/>
          <w:szCs w:val="32"/>
          <w:highlight w:val="none"/>
          <w14:textFill>
            <w14:solidFill>
              <w14:schemeClr w14:val="tx1"/>
            </w14:solidFill>
          </w14:textFill>
        </w:rPr>
        <w:t>主要经验及做法、存在的问题及原因分析</w:t>
      </w:r>
    </w:p>
    <w:p w14:paraId="0E61202E">
      <w:pPr>
        <w:keepNext w:val="0"/>
        <w:keepLines w:val="0"/>
        <w:pageBreakBefore w:val="0"/>
        <w:pBdr>
          <w:bottom w:val="single" w:color="FFFFFF" w:sz="4" w:space="31"/>
        </w:pBdr>
        <w:tabs>
          <w:tab w:val="left" w:pos="1440"/>
        </w:tabs>
        <w:kinsoku/>
        <w:wordWrap/>
        <w:overflowPunct/>
        <w:topLinePunct w:val="0"/>
        <w:autoSpaceDE/>
        <w:autoSpaceDN/>
        <w:bidi w:val="0"/>
        <w:adjustRightInd w:val="0"/>
        <w:snapToGrid w:val="0"/>
        <w:spacing w:line="560" w:lineRule="exact"/>
        <w:ind w:firstLine="627" w:firstLineChars="200"/>
        <w:rPr>
          <w:rFonts w:ascii="楷体" w:hAnsi="楷体" w:eastAsia="楷体"/>
          <w:b/>
          <w:spacing w:val="-4"/>
          <w:sz w:val="32"/>
          <w:szCs w:val="32"/>
          <w:highlight w:val="none"/>
        </w:rPr>
      </w:pPr>
      <w:r>
        <w:rPr>
          <w:rFonts w:hint="eastAsia" w:ascii="楷体" w:hAnsi="楷体" w:eastAsia="楷体"/>
          <w:b/>
          <w:spacing w:val="-4"/>
          <w:sz w:val="32"/>
          <w:szCs w:val="32"/>
          <w:highlight w:val="none"/>
        </w:rPr>
        <w:t>（一）主要经验及做法</w:t>
      </w:r>
    </w:p>
    <w:p w14:paraId="7AB539B0">
      <w:pPr>
        <w:keepNext w:val="0"/>
        <w:keepLines w:val="0"/>
        <w:pageBreakBefore w:val="0"/>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5523D02D">
      <w:pPr>
        <w:keepNext w:val="0"/>
        <w:keepLines w:val="0"/>
        <w:pageBreakBefore w:val="0"/>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 xml:space="preserve">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   </w:t>
      </w:r>
    </w:p>
    <w:p w14:paraId="74AFC9E0">
      <w:pPr>
        <w:keepNext w:val="0"/>
        <w:keepLines w:val="0"/>
        <w:pageBreakBefore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27" w:firstLineChars="200"/>
        <w:rPr>
          <w:rFonts w:ascii="仿宋_GB2312" w:hAnsi="仿宋_GB2312" w:eastAsia="仿宋_GB2312" w:cs="仿宋_GB2312"/>
          <w:sz w:val="32"/>
          <w:szCs w:val="32"/>
          <w:highlight w:val="none"/>
        </w:rPr>
      </w:pPr>
      <w:r>
        <w:rPr>
          <w:rFonts w:hint="eastAsia" w:ascii="楷体" w:hAnsi="楷体" w:eastAsia="楷体"/>
          <w:b/>
          <w:spacing w:val="-4"/>
          <w:sz w:val="32"/>
          <w:szCs w:val="32"/>
          <w:highlight w:val="none"/>
          <w:lang w:eastAsia="zh-CN"/>
        </w:rPr>
        <w:t>（二）</w:t>
      </w:r>
      <w:r>
        <w:rPr>
          <w:rFonts w:hint="eastAsia" w:ascii="楷体" w:hAnsi="楷体" w:eastAsia="楷体"/>
          <w:b/>
          <w:spacing w:val="-4"/>
          <w:sz w:val="32"/>
          <w:szCs w:val="32"/>
          <w:highlight w:val="none"/>
        </w:rPr>
        <w:t>存在的问题及原因</w:t>
      </w:r>
      <w:r>
        <w:rPr>
          <w:rFonts w:hint="eastAsia" w:ascii="楷体" w:hAnsi="楷体" w:eastAsia="楷体"/>
          <w:b/>
          <w:spacing w:val="-4"/>
          <w:sz w:val="32"/>
          <w:szCs w:val="32"/>
          <w:highlight w:val="none"/>
          <w:lang w:eastAsia="zh-CN"/>
        </w:rPr>
        <w:t>分析</w:t>
      </w:r>
    </w:p>
    <w:p w14:paraId="03AF4FAA">
      <w:pPr>
        <w:keepNext w:val="0"/>
        <w:keepLines w:val="0"/>
        <w:pageBreakBefore w:val="0"/>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rPr>
          <w:rStyle w:val="24"/>
          <w:rFonts w:ascii="仿宋" w:hAnsi="仿宋" w:eastAsia="仿宋" w:cs="仿宋"/>
          <w:b w:val="0"/>
          <w:spacing w:val="-4"/>
          <w:sz w:val="32"/>
          <w:szCs w:val="32"/>
          <w:highlight w:val="none"/>
        </w:rPr>
      </w:pPr>
      <w:r>
        <w:rPr>
          <w:rFonts w:hint="eastAsia" w:ascii="仿宋_GB2312" w:hAnsi="仿宋_GB2312" w:eastAsia="仿宋_GB2312" w:cs="仿宋_GB2312"/>
          <w:sz w:val="32"/>
          <w:szCs w:val="32"/>
          <w:highlight w:val="none"/>
        </w:rPr>
        <w:t>工作经费做项目绩效难度大。</w:t>
      </w:r>
      <w:r>
        <w:rPr>
          <w:rStyle w:val="24"/>
          <w:rFonts w:hint="eastAsia" w:ascii="仿宋" w:hAnsi="仿宋" w:eastAsia="仿宋" w:cs="仿宋"/>
          <w:b w:val="0"/>
          <w:spacing w:val="-4"/>
          <w:sz w:val="32"/>
          <w:szCs w:val="32"/>
          <w:highlight w:val="none"/>
        </w:rPr>
        <w:t>由于我单位人员较少，在工作落实到实处可能会有些遗漏，</w:t>
      </w:r>
      <w:r>
        <w:rPr>
          <w:rFonts w:hint="eastAsia" w:ascii="仿宋_GB2312" w:hAnsi="仿宋_GB2312" w:eastAsia="仿宋_GB2312" w:cs="仿宋_GB2312"/>
          <w:sz w:val="32"/>
          <w:szCs w:val="32"/>
          <w:highlight w:val="none"/>
        </w:rPr>
        <w:t>2020年受</w:t>
      </w:r>
      <w:bookmarkStart w:id="2" w:name="_GoBack"/>
      <w:bookmarkEnd w:id="2"/>
      <w:r>
        <w:rPr>
          <w:rFonts w:hint="eastAsia" w:ascii="仿宋_GB2312" w:hAnsi="仿宋_GB2312" w:eastAsia="仿宋_GB2312" w:cs="仿宋_GB2312"/>
          <w:sz w:val="32"/>
          <w:szCs w:val="32"/>
          <w:highlight w:val="none"/>
          <w:lang w:eastAsia="zh-CN"/>
        </w:rPr>
        <w:t>其他</w:t>
      </w:r>
      <w:r>
        <w:rPr>
          <w:rFonts w:hint="eastAsia" w:ascii="仿宋_GB2312" w:hAnsi="仿宋_GB2312" w:eastAsia="仿宋_GB2312" w:cs="仿宋_GB2312"/>
          <w:sz w:val="32"/>
          <w:szCs w:val="32"/>
          <w:highlight w:val="none"/>
        </w:rPr>
        <w:t>影响，工作进度也受到影响，通过后期的努力保证工作任务完成；通过对年初预算绩效目标体系的评定、年中支出绩效的监控、年末支出绩效的自评，进一步呈现出预算工作中存在不足与偏差，需在预算编制上贴近现实，加强改进，做到科学、合理编制。</w:t>
      </w:r>
      <w:r>
        <w:rPr>
          <w:rStyle w:val="24"/>
          <w:rFonts w:hint="eastAsia" w:ascii="仿宋" w:hAnsi="仿宋" w:eastAsia="仿宋" w:cs="仿宋"/>
          <w:b w:val="0"/>
          <w:spacing w:val="-4"/>
          <w:sz w:val="32"/>
          <w:szCs w:val="32"/>
          <w:highlight w:val="none"/>
        </w:rPr>
        <w:t>相关管理制度有待完善，预算配置欠科学，和实际执行有偏差</w:t>
      </w:r>
    </w:p>
    <w:p w14:paraId="0614DBED">
      <w:pPr>
        <w:keepNext w:val="0"/>
        <w:keepLines w:val="0"/>
        <w:pageBreakBefore w:val="0"/>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rPr>
          <w:rFonts w:ascii="黑体" w:hAnsi="黑体" w:eastAsia="黑体"/>
          <w:sz w:val="32"/>
          <w:szCs w:val="32"/>
          <w:highlight w:val="none"/>
        </w:rPr>
      </w:pPr>
      <w:r>
        <w:rPr>
          <w:rFonts w:hint="eastAsia" w:ascii="黑体" w:hAnsi="黑体" w:eastAsia="黑体"/>
          <w:sz w:val="32"/>
          <w:szCs w:val="32"/>
          <w:highlight w:val="none"/>
        </w:rPr>
        <w:t>六、有关建议</w:t>
      </w:r>
    </w:p>
    <w:p w14:paraId="52AEA1A7">
      <w:pPr>
        <w:keepNext w:val="0"/>
        <w:keepLines w:val="0"/>
        <w:pageBreakBefore w:val="0"/>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 xml:space="preserve">建议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14:paraId="30925D5F">
      <w:pPr>
        <w:keepNext w:val="0"/>
        <w:keepLines w:val="0"/>
        <w:pageBreakBefore w:val="0"/>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财政和项目实施单位严格实行“三专”管理，即设专户、建专账、定专人。同时，资金拨付除坚持按项目计划、工程进度和质量分阶段验收拨款外，还坚持部门联审制，项目单位先做事、后报账，从而确保专项资金专款专用，有效地防止了截留、挤占和挪用。</w:t>
      </w:r>
    </w:p>
    <w:p w14:paraId="3AAF4DD5">
      <w:pPr>
        <w:keepNext w:val="0"/>
        <w:keepLines w:val="0"/>
        <w:pageBreakBefore w:val="0"/>
        <w:pBdr>
          <w:bottom w:val="single" w:color="FFFFFF" w:sz="4" w:space="31"/>
        </w:pBdr>
        <w:tabs>
          <w:tab w:val="left" w:pos="1440"/>
        </w:tabs>
        <w:kinsoku/>
        <w:wordWrap/>
        <w:overflowPunct/>
        <w:topLinePunct w:val="0"/>
        <w:autoSpaceDE/>
        <w:autoSpaceDN/>
        <w:bidi w:val="0"/>
        <w:adjustRightInd w:val="0"/>
        <w:snapToGrid w:val="0"/>
        <w:spacing w:line="560" w:lineRule="exact"/>
        <w:rPr>
          <w:rFonts w:ascii="黑体" w:hAnsi="黑体" w:eastAsia="黑体"/>
          <w:sz w:val="32"/>
          <w:szCs w:val="32"/>
          <w:highlight w:val="none"/>
        </w:rPr>
      </w:pPr>
      <w:r>
        <w:rPr>
          <w:rFonts w:hint="eastAsia" w:ascii="黑体" w:hAnsi="黑体" w:eastAsia="黑体"/>
          <w:sz w:val="32"/>
          <w:szCs w:val="32"/>
          <w:highlight w:val="none"/>
        </w:rPr>
        <w:t>七、其他需要说</w:t>
      </w:r>
      <w:bookmarkStart w:id="1" w:name="page8"/>
      <w:bookmarkEnd w:id="1"/>
      <w:r>
        <w:rPr>
          <w:rFonts w:hint="eastAsia" w:ascii="黑体" w:hAnsi="黑体" w:eastAsia="黑体"/>
          <w:sz w:val="32"/>
          <w:szCs w:val="32"/>
          <w:highlight w:val="none"/>
        </w:rPr>
        <w:t>明的问题</w:t>
      </w:r>
    </w:p>
    <w:p w14:paraId="6A3CDEE0">
      <w:pPr>
        <w:keepNext w:val="0"/>
        <w:keepLines w:val="0"/>
        <w:pageBreakBefore w:val="0"/>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rPr>
          <w:rFonts w:hint="eastAsia" w:ascii="黑体" w:hAnsi="黑体" w:eastAsia="黑体"/>
          <w:sz w:val="32"/>
          <w:szCs w:val="32"/>
          <w:highlight w:val="none"/>
        </w:rPr>
      </w:pPr>
      <w:r>
        <w:rPr>
          <w:rFonts w:hint="eastAsia" w:ascii="黑体" w:hAnsi="黑体" w:eastAsia="黑体"/>
          <w:sz w:val="32"/>
          <w:szCs w:val="32"/>
          <w:highlight w:val="none"/>
        </w:rPr>
        <w:t>无</w:t>
      </w:r>
    </w:p>
    <w:p w14:paraId="250CA112">
      <w:pPr>
        <w:pStyle w:val="2"/>
        <w:rPr>
          <w:rFonts w:hint="eastAsia" w:ascii="黑体" w:hAnsi="黑体" w:eastAsia="黑体"/>
          <w:sz w:val="32"/>
          <w:szCs w:val="32"/>
          <w:highlight w:val="none"/>
        </w:rPr>
      </w:pPr>
    </w:p>
    <w:p w14:paraId="4C63A296">
      <w:pPr>
        <w:pStyle w:val="2"/>
        <w:rPr>
          <w:rFonts w:hint="eastAsia" w:ascii="黑体" w:hAnsi="黑体" w:eastAsia="黑体"/>
          <w:sz w:val="32"/>
          <w:szCs w:val="32"/>
          <w:highlight w:val="none"/>
        </w:rPr>
      </w:pPr>
    </w:p>
    <w:p w14:paraId="7CE3B6D7">
      <w:pPr>
        <w:pStyle w:val="19"/>
        <w:keepNext w:val="0"/>
        <w:keepLines w:val="0"/>
        <w:pageBreakBefore w:val="0"/>
        <w:kinsoku/>
        <w:wordWrap/>
        <w:overflowPunct/>
        <w:topLinePunct w:val="0"/>
        <w:autoSpaceDE/>
        <w:autoSpaceDN/>
        <w:bidi w:val="0"/>
        <w:spacing w:before="0" w:after="0" w:line="560" w:lineRule="exact"/>
        <w:jc w:val="both"/>
        <w:rPr>
          <w:rFonts w:ascii="黑体" w:hAnsi="黑体" w:eastAsia="黑体"/>
          <w:highlight w:val="none"/>
        </w:rPr>
      </w:pPr>
    </w:p>
    <w:tbl>
      <w:tblPr>
        <w:tblStyle w:val="22"/>
        <w:tblW w:w="8955" w:type="dxa"/>
        <w:tblInd w:w="0" w:type="dxa"/>
        <w:shd w:val="clear" w:color="auto" w:fill="auto"/>
        <w:tblLayout w:type="fixed"/>
        <w:tblCellMar>
          <w:top w:w="0" w:type="dxa"/>
          <w:left w:w="0" w:type="dxa"/>
          <w:bottom w:w="0" w:type="dxa"/>
          <w:right w:w="0" w:type="dxa"/>
        </w:tblCellMar>
      </w:tblPr>
      <w:tblGrid>
        <w:gridCol w:w="840"/>
        <w:gridCol w:w="840"/>
        <w:gridCol w:w="840"/>
        <w:gridCol w:w="840"/>
        <w:gridCol w:w="840"/>
        <w:gridCol w:w="840"/>
        <w:gridCol w:w="840"/>
        <w:gridCol w:w="1350"/>
        <w:gridCol w:w="1725"/>
      </w:tblGrid>
      <w:tr w14:paraId="058442EA">
        <w:tblPrEx>
          <w:shd w:val="clear" w:color="auto" w:fill="auto"/>
          <w:tblCellMar>
            <w:top w:w="0" w:type="dxa"/>
            <w:left w:w="0" w:type="dxa"/>
            <w:bottom w:w="0" w:type="dxa"/>
            <w:right w:w="0" w:type="dxa"/>
          </w:tblCellMar>
        </w:tblPrEx>
        <w:trPr>
          <w:trHeight w:val="409" w:hRule="atLeast"/>
        </w:trPr>
        <w:tc>
          <w:tcPr>
            <w:tcW w:w="8955" w:type="dxa"/>
            <w:gridSpan w:val="9"/>
            <w:tcBorders>
              <w:top w:val="nil"/>
              <w:left w:val="nil"/>
              <w:bottom w:val="nil"/>
              <w:right w:val="nil"/>
            </w:tcBorders>
            <w:shd w:val="clear" w:color="auto" w:fill="auto"/>
            <w:tcMar>
              <w:top w:w="15" w:type="dxa"/>
              <w:left w:w="15" w:type="dxa"/>
              <w:right w:w="15" w:type="dxa"/>
            </w:tcMar>
            <w:vAlign w:val="center"/>
          </w:tcPr>
          <w:p w14:paraId="41C29FEC">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方正小标宋_GBK" w:hAnsi="方正小标宋_GBK" w:eastAsia="方正小标宋_GBK" w:cs="方正小标宋_GBK"/>
                <w:b w:val="0"/>
                <w:bCs/>
                <w:i w:val="0"/>
                <w:color w:val="000000"/>
                <w:kern w:val="0"/>
                <w:sz w:val="44"/>
                <w:szCs w:val="44"/>
                <w:u w:val="none"/>
                <w:lang w:val="en-US" w:eastAsia="zh-CN" w:bidi="ar"/>
              </w:rPr>
              <w:t>项目支出绩效自评表</w:t>
            </w:r>
          </w:p>
        </w:tc>
      </w:tr>
      <w:tr w14:paraId="17BA1EC5">
        <w:tblPrEx>
          <w:shd w:val="clear" w:color="auto" w:fill="auto"/>
          <w:tblCellMar>
            <w:top w:w="0" w:type="dxa"/>
            <w:left w:w="0" w:type="dxa"/>
            <w:bottom w:w="0" w:type="dxa"/>
            <w:right w:w="0" w:type="dxa"/>
          </w:tblCellMar>
        </w:tblPrEx>
        <w:trPr>
          <w:trHeight w:val="409" w:hRule="atLeast"/>
        </w:trPr>
        <w:tc>
          <w:tcPr>
            <w:tcW w:w="8955" w:type="dxa"/>
            <w:gridSpan w:val="9"/>
            <w:tcBorders>
              <w:top w:val="nil"/>
              <w:left w:val="nil"/>
              <w:bottom w:val="nil"/>
              <w:right w:val="nil"/>
            </w:tcBorders>
            <w:shd w:val="clear" w:color="auto" w:fill="auto"/>
            <w:tcMar>
              <w:top w:w="15" w:type="dxa"/>
              <w:left w:w="15" w:type="dxa"/>
              <w:right w:w="15" w:type="dxa"/>
            </w:tcMar>
            <w:vAlign w:val="center"/>
          </w:tcPr>
          <w:p w14:paraId="60EBE66E">
            <w:pPr>
              <w:keepNext w:val="0"/>
              <w:keepLines w:val="0"/>
              <w:widowControl/>
              <w:suppressLineNumbers w:val="0"/>
              <w:jc w:val="center"/>
              <w:textAlignment w:val="center"/>
              <w:rPr>
                <w:rFonts w:hint="eastAsia" w:ascii="宋体" w:hAnsi="宋体" w:eastAsia="宋体" w:cs="宋体"/>
                <w:i w:val="0"/>
                <w:color w:val="000000"/>
                <w:sz w:val="32"/>
                <w:szCs w:val="32"/>
                <w:u w:val="none"/>
              </w:rPr>
            </w:pPr>
            <w:r>
              <w:rPr>
                <w:rFonts w:hint="eastAsia" w:ascii="宋体" w:hAnsi="宋体" w:eastAsia="宋体" w:cs="宋体"/>
                <w:i w:val="0"/>
                <w:color w:val="000000"/>
                <w:kern w:val="0"/>
                <w:sz w:val="32"/>
                <w:szCs w:val="32"/>
                <w:u w:val="none"/>
                <w:lang w:val="en-US" w:eastAsia="zh-CN" w:bidi="ar"/>
              </w:rPr>
              <w:t>（ 2020 年度）</w:t>
            </w:r>
          </w:p>
        </w:tc>
      </w:tr>
      <w:tr w14:paraId="040A0894">
        <w:tblPrEx>
          <w:shd w:val="clear" w:color="auto" w:fill="auto"/>
          <w:tblCellMar>
            <w:top w:w="0" w:type="dxa"/>
            <w:left w:w="0" w:type="dxa"/>
            <w:bottom w:w="0" w:type="dxa"/>
            <w:right w:w="0" w:type="dxa"/>
          </w:tblCellMar>
        </w:tblPrEx>
        <w:trPr>
          <w:trHeight w:val="270" w:hRule="atLeast"/>
        </w:trPr>
        <w:tc>
          <w:tcPr>
            <w:tcW w:w="1680"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14:paraId="7773EF7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7275"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A3961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外事专项业务经费</w:t>
            </w:r>
          </w:p>
        </w:tc>
      </w:tr>
      <w:tr w14:paraId="2DCFEDBA">
        <w:tblPrEx>
          <w:shd w:val="clear" w:color="auto" w:fill="auto"/>
          <w:tblCellMar>
            <w:top w:w="0" w:type="dxa"/>
            <w:left w:w="0" w:type="dxa"/>
            <w:bottom w:w="0" w:type="dxa"/>
            <w:right w:w="0" w:type="dxa"/>
          </w:tblCellMar>
        </w:tblPrEx>
        <w:trPr>
          <w:trHeight w:val="540" w:hRule="atLeast"/>
        </w:trPr>
        <w:tc>
          <w:tcPr>
            <w:tcW w:w="1680"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14:paraId="598558E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420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1FE5B0">
            <w:pPr>
              <w:jc w:val="center"/>
              <w:rPr>
                <w:rFonts w:hint="eastAsia" w:ascii="宋体" w:hAnsi="宋体" w:eastAsia="宋体" w:cs="宋体"/>
                <w:i w:val="0"/>
                <w:color w:val="000000"/>
                <w:sz w:val="18"/>
                <w:szCs w:val="18"/>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ED4A1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17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F0E4B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塔城地区行署外事办公室</w:t>
            </w:r>
          </w:p>
        </w:tc>
      </w:tr>
      <w:tr w14:paraId="15D094C4">
        <w:tblPrEx>
          <w:shd w:val="clear" w:color="auto" w:fill="auto"/>
          <w:tblCellMar>
            <w:top w:w="0" w:type="dxa"/>
            <w:left w:w="0" w:type="dxa"/>
            <w:bottom w:w="0" w:type="dxa"/>
            <w:right w:w="0" w:type="dxa"/>
          </w:tblCellMar>
        </w:tblPrEx>
        <w:trPr>
          <w:trHeight w:val="580" w:hRule="atLeast"/>
        </w:trPr>
        <w:tc>
          <w:tcPr>
            <w:tcW w:w="1680"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14:paraId="2656683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14:paraId="4EBEF2BA">
            <w:pPr>
              <w:rPr>
                <w:rFonts w:hint="eastAsia" w:ascii="Arial" w:hAnsi="Arial" w:cs="Arial"/>
                <w:i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FAF46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5E8DC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327B8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17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BFA90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r>
      <w:tr w14:paraId="0F38367E">
        <w:tblPrEx>
          <w:tblCellMar>
            <w:top w:w="0" w:type="dxa"/>
            <w:left w:w="0" w:type="dxa"/>
            <w:bottom w:w="0" w:type="dxa"/>
            <w:right w:w="0" w:type="dxa"/>
          </w:tblCellMar>
        </w:tblPrEx>
        <w:trPr>
          <w:trHeight w:val="270" w:hRule="atLeast"/>
        </w:trPr>
        <w:tc>
          <w:tcPr>
            <w:tcW w:w="168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7966A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1680"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63A19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84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3AC30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680" w:type="dxa"/>
            <w:gridSpan w:val="2"/>
            <w:tcBorders>
              <w:top w:val="nil"/>
              <w:left w:val="single" w:color="000000" w:sz="4" w:space="0"/>
              <w:bottom w:val="single" w:color="000000" w:sz="4" w:space="0"/>
              <w:right w:val="nil"/>
            </w:tcBorders>
            <w:shd w:val="clear" w:color="auto" w:fill="auto"/>
            <w:tcMar>
              <w:top w:w="15" w:type="dxa"/>
              <w:left w:w="15" w:type="dxa"/>
              <w:right w:w="15" w:type="dxa"/>
            </w:tcMar>
            <w:vAlign w:val="center"/>
          </w:tcPr>
          <w:p w14:paraId="40ABA2C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35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74B18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4.68</w:t>
            </w:r>
          </w:p>
        </w:tc>
        <w:tc>
          <w:tcPr>
            <w:tcW w:w="172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D7F9F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93.50%</w:t>
            </w:r>
          </w:p>
        </w:tc>
      </w:tr>
      <w:tr w14:paraId="553D2CE9">
        <w:tblPrEx>
          <w:tblCellMar>
            <w:top w:w="0" w:type="dxa"/>
            <w:left w:w="0" w:type="dxa"/>
            <w:bottom w:w="0" w:type="dxa"/>
            <w:right w:w="0" w:type="dxa"/>
          </w:tblCellMar>
        </w:tblPrEx>
        <w:trPr>
          <w:trHeight w:val="372" w:hRule="atLeast"/>
        </w:trPr>
        <w:tc>
          <w:tcPr>
            <w:tcW w:w="16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40C034">
            <w:pPr>
              <w:jc w:val="center"/>
              <w:rPr>
                <w:rFonts w:hint="eastAsia" w:ascii="宋体" w:hAnsi="宋体" w:eastAsia="宋体" w:cs="宋体"/>
                <w:i w:val="0"/>
                <w:color w:val="000000"/>
                <w:sz w:val="18"/>
                <w:szCs w:val="18"/>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0CE68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CD825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5.00</w:t>
            </w:r>
          </w:p>
        </w:tc>
        <w:tc>
          <w:tcPr>
            <w:tcW w:w="1680"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14:paraId="007547D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5.00</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AB94B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4.68</w:t>
            </w:r>
          </w:p>
        </w:tc>
        <w:tc>
          <w:tcPr>
            <w:tcW w:w="17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4971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573553EE">
        <w:tblPrEx>
          <w:shd w:val="clear" w:color="auto" w:fill="auto"/>
          <w:tblCellMar>
            <w:top w:w="0" w:type="dxa"/>
            <w:left w:w="0" w:type="dxa"/>
            <w:bottom w:w="0" w:type="dxa"/>
            <w:right w:w="0" w:type="dxa"/>
          </w:tblCellMar>
        </w:tblPrEx>
        <w:trPr>
          <w:trHeight w:val="433" w:hRule="atLeast"/>
        </w:trPr>
        <w:tc>
          <w:tcPr>
            <w:tcW w:w="16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C1BEA">
            <w:pPr>
              <w:jc w:val="center"/>
              <w:rPr>
                <w:rFonts w:hint="eastAsia" w:ascii="宋体" w:hAnsi="宋体" w:eastAsia="宋体" w:cs="宋体"/>
                <w:i w:val="0"/>
                <w:color w:val="000000"/>
                <w:sz w:val="18"/>
                <w:szCs w:val="18"/>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63D68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上年结转资金</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C23FAA">
            <w:pPr>
              <w:jc w:val="center"/>
              <w:rPr>
                <w:rFonts w:hint="eastAsia" w:ascii="宋体" w:hAnsi="宋体" w:eastAsia="宋体" w:cs="宋体"/>
                <w:i w:val="0"/>
                <w:color w:val="000000"/>
                <w:sz w:val="18"/>
                <w:szCs w:val="18"/>
                <w:u w:val="none"/>
              </w:rPr>
            </w:pPr>
          </w:p>
        </w:tc>
        <w:tc>
          <w:tcPr>
            <w:tcW w:w="1680"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14:paraId="4658A53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D8667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7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BB9D4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00AE7FDA">
        <w:tblPrEx>
          <w:tblCellMar>
            <w:top w:w="0" w:type="dxa"/>
            <w:left w:w="0" w:type="dxa"/>
            <w:bottom w:w="0" w:type="dxa"/>
            <w:right w:w="0" w:type="dxa"/>
          </w:tblCellMar>
        </w:tblPrEx>
        <w:trPr>
          <w:trHeight w:val="270" w:hRule="atLeast"/>
        </w:trPr>
        <w:tc>
          <w:tcPr>
            <w:tcW w:w="16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75B887">
            <w:pPr>
              <w:jc w:val="center"/>
              <w:rPr>
                <w:rFonts w:hint="eastAsia" w:ascii="宋体" w:hAnsi="宋体" w:eastAsia="宋体" w:cs="宋体"/>
                <w:i w:val="0"/>
                <w:color w:val="000000"/>
                <w:sz w:val="18"/>
                <w:szCs w:val="18"/>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BD560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D2F7D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680"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14:paraId="6694EC7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C9CEE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7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2D816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136853FF">
        <w:tblPrEx>
          <w:tblCellMar>
            <w:top w:w="0" w:type="dxa"/>
            <w:left w:w="0" w:type="dxa"/>
            <w:bottom w:w="0" w:type="dxa"/>
            <w:right w:w="0" w:type="dxa"/>
          </w:tblCellMar>
        </w:tblPrEx>
        <w:trPr>
          <w:trHeight w:val="433"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B8B4E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5040" w:type="dxa"/>
            <w:gridSpan w:val="6"/>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14:paraId="0598F6C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30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7BD56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14:paraId="2AB6C532">
        <w:tblPrEx>
          <w:shd w:val="clear" w:color="auto" w:fill="auto"/>
          <w:tblCellMar>
            <w:top w:w="0" w:type="dxa"/>
            <w:left w:w="0" w:type="dxa"/>
            <w:bottom w:w="0" w:type="dxa"/>
            <w:right w:w="0" w:type="dxa"/>
          </w:tblCellMar>
        </w:tblPrEx>
        <w:trPr>
          <w:trHeight w:val="288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94413A">
            <w:pPr>
              <w:jc w:val="center"/>
              <w:rPr>
                <w:rFonts w:hint="eastAsia" w:ascii="宋体" w:hAnsi="宋体" w:eastAsia="宋体" w:cs="宋体"/>
                <w:i w:val="0"/>
                <w:color w:val="000000"/>
                <w:sz w:val="18"/>
                <w:szCs w:val="18"/>
                <w:u w:val="none"/>
              </w:rPr>
            </w:pPr>
          </w:p>
        </w:tc>
        <w:tc>
          <w:tcPr>
            <w:tcW w:w="5040" w:type="dxa"/>
            <w:gridSpan w:val="6"/>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14:paraId="6B57C8D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1、根据地委、行署安排，塔城地区2019年因公出国（境）申报6批次，自治区党委外事工作委员会办公室已批复。</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2、根据自治区党委外事工作委员会通知，地区外事办领导参加自治区党委外事工作委员会召开的外事工作会议。3、塔城地区外事专办员赴自治区外事办办理领导出国（境）审批手续。4、参加外交部、自治区外事办举办的外事培训班。5、外办领导陪同地区领导出访。</w:t>
            </w:r>
          </w:p>
        </w:tc>
        <w:tc>
          <w:tcPr>
            <w:tcW w:w="30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0A73A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1、根据地委、行署安排，塔城地区2019年因公出国（境）申报6批次，自治区党委外事工作委员会办公室已批复。</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2、根据自治区党委外事工作委员会通知，地区外事办领导参加自治区党委外事工作委员会召开的外事工作会议。3、塔城地区外事专办员赴自治区外事办办理领导出国（境）审批手续。4、参加外交部、自治区外事办举办的外事培训班。5、外办领导陪同地区领导出访。</w:t>
            </w:r>
          </w:p>
        </w:tc>
      </w:tr>
      <w:tr w14:paraId="62D149E2">
        <w:tblPrEx>
          <w:shd w:val="clear" w:color="auto" w:fill="auto"/>
          <w:tblCellMar>
            <w:top w:w="0" w:type="dxa"/>
            <w:left w:w="0" w:type="dxa"/>
            <w:bottom w:w="0" w:type="dxa"/>
            <w:right w:w="0" w:type="dxa"/>
          </w:tblCellMar>
        </w:tblPrEx>
        <w:trPr>
          <w:trHeight w:val="412"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8516EF">
            <w:pPr>
              <w:jc w:val="center"/>
              <w:rPr>
                <w:rFonts w:hint="eastAsia" w:ascii="宋体" w:hAnsi="宋体" w:eastAsia="宋体" w:cs="宋体"/>
                <w:i w:val="0"/>
                <w:color w:val="000000"/>
                <w:sz w:val="18"/>
                <w:szCs w:val="18"/>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6AFDC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A6162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252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0304B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840"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14:paraId="62A245B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13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11565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17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9B877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14:paraId="1D732C33">
        <w:tblPrEx>
          <w:tblCellMar>
            <w:top w:w="0" w:type="dxa"/>
            <w:left w:w="0" w:type="dxa"/>
            <w:bottom w:w="0" w:type="dxa"/>
            <w:right w:w="0" w:type="dxa"/>
          </w:tblCellMar>
        </w:tblPrEx>
        <w:trPr>
          <w:trHeight w:val="27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8B551">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A85A16">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0F2589">
            <w:pPr>
              <w:jc w:val="center"/>
              <w:rPr>
                <w:rFonts w:hint="eastAsia" w:ascii="宋体" w:hAnsi="宋体" w:eastAsia="宋体" w:cs="宋体"/>
                <w:i w:val="0"/>
                <w:color w:val="000000"/>
                <w:sz w:val="18"/>
                <w:szCs w:val="18"/>
                <w:u w:val="none"/>
              </w:rPr>
            </w:pPr>
          </w:p>
        </w:tc>
        <w:tc>
          <w:tcPr>
            <w:tcW w:w="252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141B95">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14:paraId="68505B6E">
            <w:pPr>
              <w:jc w:val="center"/>
              <w:rPr>
                <w:rFonts w:hint="eastAsia" w:ascii="宋体" w:hAnsi="宋体" w:eastAsia="宋体" w:cs="宋体"/>
                <w:i w:val="0"/>
                <w:color w:val="000000"/>
                <w:sz w:val="18"/>
                <w:szCs w:val="18"/>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2995D1">
            <w:pPr>
              <w:jc w:val="center"/>
              <w:rPr>
                <w:rFonts w:hint="eastAsia" w:ascii="宋体" w:hAnsi="宋体" w:eastAsia="宋体" w:cs="宋体"/>
                <w:i w:val="0"/>
                <w:color w:val="000000"/>
                <w:sz w:val="18"/>
                <w:szCs w:val="18"/>
                <w:u w:val="none"/>
              </w:rPr>
            </w:pPr>
          </w:p>
        </w:tc>
        <w:tc>
          <w:tcPr>
            <w:tcW w:w="17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922B4A">
            <w:pPr>
              <w:jc w:val="center"/>
              <w:rPr>
                <w:rFonts w:hint="eastAsia" w:ascii="宋体" w:hAnsi="宋体" w:eastAsia="宋体" w:cs="宋体"/>
                <w:i w:val="0"/>
                <w:color w:val="000000"/>
                <w:sz w:val="18"/>
                <w:szCs w:val="18"/>
                <w:u w:val="none"/>
              </w:rPr>
            </w:pPr>
          </w:p>
        </w:tc>
      </w:tr>
      <w:tr w14:paraId="121E068F">
        <w:tblPrEx>
          <w:tblCellMar>
            <w:top w:w="0" w:type="dxa"/>
            <w:left w:w="0" w:type="dxa"/>
            <w:bottom w:w="0" w:type="dxa"/>
            <w:right w:w="0" w:type="dxa"/>
          </w:tblCellMar>
        </w:tblPrEx>
        <w:trPr>
          <w:trHeight w:val="1165"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DABAC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年度绩效指标完成情况</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4EAB7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9A6C9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996FD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完成因公出国（境）审批5批次，办理审批手续，参加外事培训班</w:t>
            </w:r>
          </w:p>
        </w:tc>
        <w:tc>
          <w:tcPr>
            <w:tcW w:w="840"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14:paraId="0B68EDA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≤6批</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7FC0E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3批</w:t>
            </w:r>
          </w:p>
        </w:tc>
        <w:tc>
          <w:tcPr>
            <w:tcW w:w="17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69889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其他</w:t>
            </w:r>
            <w:r>
              <w:rPr>
                <w:rFonts w:hint="eastAsia" w:ascii="宋体" w:hAnsi="宋体" w:eastAsia="宋体" w:cs="宋体"/>
                <w:i w:val="0"/>
                <w:color w:val="000000"/>
                <w:kern w:val="0"/>
                <w:sz w:val="18"/>
                <w:szCs w:val="18"/>
                <w:u w:val="none"/>
                <w:lang w:val="en-US" w:eastAsia="zh-CN" w:bidi="ar"/>
              </w:rPr>
              <w:t>影响</w:t>
            </w:r>
          </w:p>
        </w:tc>
      </w:tr>
      <w:tr w14:paraId="76464143">
        <w:tblPrEx>
          <w:shd w:val="clear" w:color="auto" w:fill="auto"/>
          <w:tblCellMar>
            <w:top w:w="0" w:type="dxa"/>
            <w:left w:w="0" w:type="dxa"/>
            <w:bottom w:w="0" w:type="dxa"/>
            <w:right w:w="0" w:type="dxa"/>
          </w:tblCellMar>
        </w:tblPrEx>
        <w:trPr>
          <w:trHeight w:val="8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63B785">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35C649">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6CD1E5">
            <w:pPr>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7BCD8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参加培训次数</w:t>
            </w:r>
          </w:p>
        </w:tc>
        <w:tc>
          <w:tcPr>
            <w:tcW w:w="840"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14:paraId="4552B55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≥1次</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2A675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1次</w:t>
            </w:r>
          </w:p>
        </w:tc>
        <w:tc>
          <w:tcPr>
            <w:tcW w:w="17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95AEA4">
            <w:pPr>
              <w:jc w:val="center"/>
              <w:rPr>
                <w:rFonts w:hint="eastAsia" w:ascii="宋体" w:hAnsi="宋体" w:eastAsia="宋体" w:cs="宋体"/>
                <w:i w:val="0"/>
                <w:color w:val="000000"/>
                <w:sz w:val="18"/>
                <w:szCs w:val="18"/>
                <w:u w:val="none"/>
              </w:rPr>
            </w:pPr>
          </w:p>
        </w:tc>
      </w:tr>
      <w:tr w14:paraId="25DC72D6">
        <w:tblPrEx>
          <w:shd w:val="clear" w:color="auto" w:fill="auto"/>
          <w:tblCellMar>
            <w:top w:w="0" w:type="dxa"/>
            <w:left w:w="0" w:type="dxa"/>
            <w:bottom w:w="0" w:type="dxa"/>
            <w:right w:w="0" w:type="dxa"/>
          </w:tblCellMar>
        </w:tblPrEx>
        <w:trPr>
          <w:trHeight w:val="8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3ABD97">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E1BE83">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3EEEE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B73EF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办理相关外事活动审批合格率</w:t>
            </w:r>
          </w:p>
        </w:tc>
        <w:tc>
          <w:tcPr>
            <w:tcW w:w="840"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14:paraId="4C8617F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≥2批</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D130D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1批</w:t>
            </w:r>
          </w:p>
        </w:tc>
        <w:tc>
          <w:tcPr>
            <w:tcW w:w="17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AC65E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因</w:t>
            </w:r>
            <w:r>
              <w:rPr>
                <w:rFonts w:hint="eastAsia" w:ascii="宋体" w:hAnsi="宋体" w:cs="宋体"/>
                <w:i w:val="0"/>
                <w:color w:val="000000"/>
                <w:kern w:val="0"/>
                <w:sz w:val="18"/>
                <w:szCs w:val="18"/>
                <w:u w:val="none"/>
                <w:lang w:val="en-US" w:eastAsia="zh-CN" w:bidi="ar"/>
              </w:rPr>
              <w:t>其他</w:t>
            </w:r>
            <w:r>
              <w:rPr>
                <w:rFonts w:hint="eastAsia" w:ascii="宋体" w:hAnsi="宋体" w:eastAsia="宋体" w:cs="宋体"/>
                <w:i w:val="0"/>
                <w:color w:val="000000"/>
                <w:kern w:val="0"/>
                <w:sz w:val="18"/>
                <w:szCs w:val="18"/>
                <w:u w:val="none"/>
                <w:lang w:val="en-US" w:eastAsia="zh-CN" w:bidi="ar"/>
              </w:rPr>
              <w:t>影响</w:t>
            </w:r>
          </w:p>
        </w:tc>
      </w:tr>
      <w:tr w14:paraId="504EF429">
        <w:tblPrEx>
          <w:tblCellMar>
            <w:top w:w="0" w:type="dxa"/>
            <w:left w:w="0" w:type="dxa"/>
            <w:bottom w:w="0" w:type="dxa"/>
            <w:right w:w="0" w:type="dxa"/>
          </w:tblCellMar>
        </w:tblPrEx>
        <w:trPr>
          <w:trHeight w:val="8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5B5C7F">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D69E75">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21D3E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23FE3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出国手续通过合格率</w:t>
            </w:r>
          </w:p>
        </w:tc>
        <w:tc>
          <w:tcPr>
            <w:tcW w:w="840"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14:paraId="0C7951C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≥4批</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F397D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1批</w:t>
            </w:r>
          </w:p>
        </w:tc>
        <w:tc>
          <w:tcPr>
            <w:tcW w:w="17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AC172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因</w:t>
            </w:r>
            <w:r>
              <w:rPr>
                <w:rFonts w:hint="eastAsia" w:ascii="宋体" w:hAnsi="宋体" w:cs="宋体"/>
                <w:i w:val="0"/>
                <w:color w:val="000000"/>
                <w:kern w:val="0"/>
                <w:sz w:val="18"/>
                <w:szCs w:val="18"/>
                <w:u w:val="none"/>
                <w:lang w:val="en-US" w:eastAsia="zh-CN" w:bidi="ar"/>
              </w:rPr>
              <w:t>其他</w:t>
            </w:r>
            <w:r>
              <w:rPr>
                <w:rFonts w:hint="eastAsia" w:ascii="宋体" w:hAnsi="宋体" w:eastAsia="宋体" w:cs="宋体"/>
                <w:i w:val="0"/>
                <w:color w:val="000000"/>
                <w:kern w:val="0"/>
                <w:sz w:val="18"/>
                <w:szCs w:val="18"/>
                <w:u w:val="none"/>
                <w:lang w:val="en-US" w:eastAsia="zh-CN" w:bidi="ar"/>
              </w:rPr>
              <w:t>影响</w:t>
            </w:r>
          </w:p>
        </w:tc>
      </w:tr>
      <w:tr w14:paraId="10C78398">
        <w:tblPrEx>
          <w:tblCellMar>
            <w:top w:w="0" w:type="dxa"/>
            <w:left w:w="0" w:type="dxa"/>
            <w:bottom w:w="0" w:type="dxa"/>
            <w:right w:w="0" w:type="dxa"/>
          </w:tblCellMar>
        </w:tblPrEx>
        <w:trPr>
          <w:trHeight w:val="1097"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410B09">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C65F97">
            <w:pPr>
              <w:jc w:val="center"/>
              <w:rPr>
                <w:rFonts w:hint="eastAsia" w:ascii="宋体" w:hAnsi="宋体" w:eastAsia="宋体" w:cs="宋体"/>
                <w:i w:val="0"/>
                <w:color w:val="000000"/>
                <w:sz w:val="18"/>
                <w:szCs w:val="18"/>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B23C9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5B332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办理因公出国（境）审批5批次，参加外事培训班2人次</w:t>
            </w:r>
          </w:p>
        </w:tc>
        <w:tc>
          <w:tcPr>
            <w:tcW w:w="840"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14:paraId="6AC1412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≤5批次</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11384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3批次</w:t>
            </w:r>
          </w:p>
        </w:tc>
        <w:tc>
          <w:tcPr>
            <w:tcW w:w="17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E8767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因</w:t>
            </w:r>
            <w:r>
              <w:rPr>
                <w:rFonts w:hint="eastAsia" w:ascii="宋体" w:hAnsi="宋体" w:cs="宋体"/>
                <w:i w:val="0"/>
                <w:color w:val="000000"/>
                <w:kern w:val="0"/>
                <w:sz w:val="18"/>
                <w:szCs w:val="18"/>
                <w:u w:val="none"/>
                <w:lang w:val="en-US" w:eastAsia="zh-CN" w:bidi="ar"/>
              </w:rPr>
              <w:t>其他</w:t>
            </w:r>
            <w:r>
              <w:rPr>
                <w:rFonts w:hint="eastAsia" w:ascii="宋体" w:hAnsi="宋体" w:eastAsia="宋体" w:cs="宋体"/>
                <w:i w:val="0"/>
                <w:color w:val="000000"/>
                <w:kern w:val="0"/>
                <w:sz w:val="18"/>
                <w:szCs w:val="18"/>
                <w:u w:val="none"/>
                <w:lang w:val="en-US" w:eastAsia="zh-CN" w:bidi="ar"/>
              </w:rPr>
              <w:t>影响</w:t>
            </w:r>
          </w:p>
        </w:tc>
      </w:tr>
      <w:tr w14:paraId="791579B0">
        <w:tblPrEx>
          <w:shd w:val="clear" w:color="auto" w:fill="auto"/>
          <w:tblCellMar>
            <w:top w:w="0" w:type="dxa"/>
            <w:left w:w="0" w:type="dxa"/>
            <w:bottom w:w="0" w:type="dxa"/>
            <w:right w:w="0" w:type="dxa"/>
          </w:tblCellMar>
        </w:tblPrEx>
        <w:trPr>
          <w:trHeight w:val="104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344DF8">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D18DCD">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E24805">
            <w:pPr>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95743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购置办公用品、差旅费、培训费</w:t>
            </w:r>
          </w:p>
        </w:tc>
        <w:tc>
          <w:tcPr>
            <w:tcW w:w="840"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14:paraId="71C35C2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≤3万元</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760CF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4.675万元</w:t>
            </w:r>
          </w:p>
        </w:tc>
        <w:tc>
          <w:tcPr>
            <w:tcW w:w="17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A2CE8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同于</w:t>
            </w:r>
            <w:r>
              <w:rPr>
                <w:rFonts w:hint="eastAsia" w:ascii="宋体" w:hAnsi="宋体" w:cs="宋体"/>
                <w:i w:val="0"/>
                <w:color w:val="000000"/>
                <w:kern w:val="0"/>
                <w:sz w:val="18"/>
                <w:szCs w:val="18"/>
                <w:u w:val="none"/>
                <w:lang w:val="en-US" w:eastAsia="zh-CN" w:bidi="ar"/>
              </w:rPr>
              <w:t>其他</w:t>
            </w:r>
            <w:r>
              <w:rPr>
                <w:rFonts w:hint="eastAsia" w:ascii="宋体" w:hAnsi="宋体" w:eastAsia="宋体" w:cs="宋体"/>
                <w:i w:val="0"/>
                <w:color w:val="000000"/>
                <w:kern w:val="0"/>
                <w:sz w:val="18"/>
                <w:szCs w:val="18"/>
                <w:u w:val="none"/>
                <w:lang w:val="en-US" w:eastAsia="zh-CN" w:bidi="ar"/>
              </w:rPr>
              <w:t>防控及正常办公</w:t>
            </w:r>
          </w:p>
        </w:tc>
      </w:tr>
      <w:tr w14:paraId="726BB32C">
        <w:tblPrEx>
          <w:shd w:val="clear" w:color="auto" w:fill="auto"/>
          <w:tblCellMar>
            <w:top w:w="0" w:type="dxa"/>
            <w:left w:w="0" w:type="dxa"/>
            <w:bottom w:w="0" w:type="dxa"/>
            <w:right w:w="0" w:type="dxa"/>
          </w:tblCellMar>
        </w:tblPrEx>
        <w:trPr>
          <w:trHeight w:val="11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E5481E">
            <w:pPr>
              <w:jc w:val="center"/>
              <w:rPr>
                <w:rFonts w:hint="eastAsia" w:ascii="宋体" w:hAnsi="宋体" w:eastAsia="宋体" w:cs="宋体"/>
                <w:i w:val="0"/>
                <w:color w:val="000000"/>
                <w:sz w:val="18"/>
                <w:szCs w:val="18"/>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FFF41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B596A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AA808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协助有关部门，争取2020年完成疆外游客在我区跨境旅游落地，边民互市正常化，促进我区外向型积极上台阶。0</w:t>
            </w:r>
          </w:p>
        </w:tc>
        <w:tc>
          <w:tcPr>
            <w:tcW w:w="840"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14:paraId="77A8E9B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≥10000人</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18D18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10000人</w:t>
            </w:r>
          </w:p>
        </w:tc>
        <w:tc>
          <w:tcPr>
            <w:tcW w:w="17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FC4E2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因</w:t>
            </w:r>
            <w:r>
              <w:rPr>
                <w:rFonts w:hint="eastAsia" w:ascii="宋体" w:hAnsi="宋体" w:cs="宋体"/>
                <w:i w:val="0"/>
                <w:color w:val="000000"/>
                <w:kern w:val="0"/>
                <w:sz w:val="18"/>
                <w:szCs w:val="18"/>
                <w:u w:val="none"/>
                <w:lang w:val="en-US" w:eastAsia="zh-CN" w:bidi="ar"/>
              </w:rPr>
              <w:t>其他</w:t>
            </w:r>
            <w:r>
              <w:rPr>
                <w:rFonts w:hint="eastAsia" w:ascii="宋体" w:hAnsi="宋体" w:eastAsia="宋体" w:cs="宋体"/>
                <w:i w:val="0"/>
                <w:color w:val="000000"/>
                <w:kern w:val="0"/>
                <w:sz w:val="18"/>
                <w:szCs w:val="18"/>
                <w:u w:val="none"/>
                <w:lang w:val="en-US" w:eastAsia="zh-CN" w:bidi="ar"/>
              </w:rPr>
              <w:t>影响</w:t>
            </w:r>
          </w:p>
        </w:tc>
      </w:tr>
      <w:tr w14:paraId="31B77A35">
        <w:tblPrEx>
          <w:tblCellMar>
            <w:top w:w="0" w:type="dxa"/>
            <w:left w:w="0" w:type="dxa"/>
            <w:bottom w:w="0" w:type="dxa"/>
            <w:right w:w="0" w:type="dxa"/>
          </w:tblCellMar>
        </w:tblPrEx>
        <w:trPr>
          <w:trHeight w:val="100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3B3F6C">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78A8B9">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91B45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08FB3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加强外与领国的睦邻友好沟通</w:t>
            </w:r>
          </w:p>
        </w:tc>
        <w:tc>
          <w:tcPr>
            <w:tcW w:w="840"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14:paraId="193E868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=1国</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AA1AB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1国</w:t>
            </w:r>
          </w:p>
        </w:tc>
        <w:tc>
          <w:tcPr>
            <w:tcW w:w="17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735F37">
            <w:pPr>
              <w:jc w:val="center"/>
              <w:rPr>
                <w:rFonts w:hint="eastAsia" w:ascii="宋体" w:hAnsi="宋体" w:eastAsia="宋体" w:cs="宋体"/>
                <w:i w:val="0"/>
                <w:color w:val="000000"/>
                <w:sz w:val="18"/>
                <w:szCs w:val="18"/>
                <w:u w:val="none"/>
              </w:rPr>
            </w:pPr>
          </w:p>
        </w:tc>
      </w:tr>
      <w:tr w14:paraId="1E8D9EDE">
        <w:tblPrEx>
          <w:shd w:val="clear" w:color="auto" w:fill="auto"/>
          <w:tblCellMar>
            <w:top w:w="0" w:type="dxa"/>
            <w:left w:w="0" w:type="dxa"/>
            <w:bottom w:w="0" w:type="dxa"/>
            <w:right w:w="0" w:type="dxa"/>
          </w:tblCellMar>
        </w:tblPrEx>
        <w:trPr>
          <w:trHeight w:val="7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A60647">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C314B4">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E5FE1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606672">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14:paraId="3D3DF35B">
            <w:pPr>
              <w:jc w:val="center"/>
              <w:rPr>
                <w:rFonts w:hint="eastAsia" w:ascii="宋体" w:hAnsi="宋体" w:eastAsia="宋体" w:cs="宋体"/>
                <w:i w:val="0"/>
                <w:color w:val="000000"/>
                <w:sz w:val="18"/>
                <w:szCs w:val="18"/>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C7EEFD">
            <w:pPr>
              <w:jc w:val="center"/>
              <w:rPr>
                <w:rFonts w:hint="eastAsia" w:ascii="宋体" w:hAnsi="宋体" w:eastAsia="宋体" w:cs="宋体"/>
                <w:i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32C4C3">
            <w:pPr>
              <w:jc w:val="center"/>
              <w:rPr>
                <w:rFonts w:hint="eastAsia" w:ascii="宋体" w:hAnsi="宋体" w:eastAsia="宋体" w:cs="宋体"/>
                <w:i w:val="0"/>
                <w:color w:val="000000"/>
                <w:sz w:val="18"/>
                <w:szCs w:val="18"/>
                <w:u w:val="none"/>
              </w:rPr>
            </w:pPr>
          </w:p>
        </w:tc>
      </w:tr>
      <w:tr w14:paraId="673132E3">
        <w:tblPrEx>
          <w:shd w:val="clear" w:color="auto" w:fill="auto"/>
          <w:tblCellMar>
            <w:top w:w="0" w:type="dxa"/>
            <w:left w:w="0" w:type="dxa"/>
            <w:bottom w:w="0" w:type="dxa"/>
            <w:right w:w="0" w:type="dxa"/>
          </w:tblCellMar>
        </w:tblPrEx>
        <w:trPr>
          <w:trHeight w:val="7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3803A8">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BF99D6">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E7A9A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C2666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进一步促进贸易交易量的提升。</w:t>
            </w:r>
          </w:p>
        </w:tc>
        <w:tc>
          <w:tcPr>
            <w:tcW w:w="840"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14:paraId="25FD982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≥1次</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3E504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1次</w:t>
            </w:r>
          </w:p>
        </w:tc>
        <w:tc>
          <w:tcPr>
            <w:tcW w:w="17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942BB3">
            <w:pPr>
              <w:jc w:val="center"/>
              <w:rPr>
                <w:rFonts w:hint="eastAsia" w:ascii="宋体" w:hAnsi="宋体" w:eastAsia="宋体" w:cs="宋体"/>
                <w:i w:val="0"/>
                <w:color w:val="000000"/>
                <w:sz w:val="18"/>
                <w:szCs w:val="18"/>
                <w:u w:val="none"/>
              </w:rPr>
            </w:pPr>
          </w:p>
        </w:tc>
      </w:tr>
      <w:tr w14:paraId="78C772F8">
        <w:tblPrEx>
          <w:tblCellMar>
            <w:top w:w="0" w:type="dxa"/>
            <w:left w:w="0" w:type="dxa"/>
            <w:bottom w:w="0" w:type="dxa"/>
            <w:right w:w="0" w:type="dxa"/>
          </w:tblCellMar>
        </w:tblPrEx>
        <w:trPr>
          <w:trHeight w:val="90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705C57">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BCF8B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E78D9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39D3D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群众对外事工作的满意度</w:t>
            </w:r>
          </w:p>
        </w:tc>
        <w:tc>
          <w:tcPr>
            <w:tcW w:w="840"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14:paraId="7F2D877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C7ADF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7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D90508">
            <w:pPr>
              <w:jc w:val="center"/>
              <w:rPr>
                <w:rFonts w:hint="eastAsia" w:ascii="宋体" w:hAnsi="宋体" w:eastAsia="宋体" w:cs="宋体"/>
                <w:i w:val="0"/>
                <w:color w:val="000000"/>
                <w:sz w:val="18"/>
                <w:szCs w:val="18"/>
                <w:u w:val="none"/>
              </w:rPr>
            </w:pPr>
          </w:p>
        </w:tc>
      </w:tr>
    </w:tbl>
    <w:p w14:paraId="75F6E251">
      <w:pPr>
        <w:pStyle w:val="19"/>
        <w:keepNext w:val="0"/>
        <w:keepLines w:val="0"/>
        <w:pageBreakBefore w:val="0"/>
        <w:kinsoku/>
        <w:wordWrap/>
        <w:overflowPunct/>
        <w:topLinePunct w:val="0"/>
        <w:autoSpaceDE/>
        <w:autoSpaceDN/>
        <w:bidi w:val="0"/>
        <w:spacing w:before="0" w:after="0" w:line="560" w:lineRule="exact"/>
        <w:jc w:val="both"/>
        <w:rPr>
          <w:highlight w:val="none"/>
        </w:rPr>
        <w:sectPr>
          <w:footerReference r:id="rId3" w:type="default"/>
          <w:pgSz w:w="11906" w:h="16838"/>
          <w:pgMar w:top="1440" w:right="1558" w:bottom="1440" w:left="1800" w:header="851" w:footer="992" w:gutter="0"/>
          <w:cols w:space="425" w:num="1"/>
          <w:docGrid w:type="lines" w:linePitch="312" w:charSpace="0"/>
        </w:sectPr>
      </w:pPr>
    </w:p>
    <w:p w14:paraId="7C76101F">
      <w:pPr>
        <w:keepNext w:val="0"/>
        <w:keepLines w:val="0"/>
        <w:pageBreakBefore w:val="0"/>
        <w:kinsoku/>
        <w:wordWrap/>
        <w:overflowPunct/>
        <w:topLinePunct w:val="0"/>
        <w:autoSpaceDE/>
        <w:autoSpaceDN/>
        <w:bidi w:val="0"/>
        <w:spacing w:line="560" w:lineRule="exact"/>
        <w:rPr>
          <w:rFonts w:ascii="仿宋_GB2312"/>
          <w:bCs/>
          <w:sz w:val="32"/>
          <w:szCs w:val="32"/>
          <w:highlight w:val="none"/>
        </w:rPr>
      </w:pPr>
      <w:r>
        <w:rPr>
          <w:rFonts w:hint="eastAsia" w:ascii="仿宋_GB2312"/>
          <w:bCs/>
          <w:sz w:val="32"/>
          <w:szCs w:val="32"/>
          <w:highlight w:val="none"/>
        </w:rPr>
        <w:t>附件1</w:t>
      </w:r>
    </w:p>
    <w:tbl>
      <w:tblPr>
        <w:tblStyle w:val="22"/>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9"/>
        <w:gridCol w:w="767"/>
        <w:gridCol w:w="873"/>
        <w:gridCol w:w="2353"/>
        <w:gridCol w:w="5188"/>
        <w:gridCol w:w="1300"/>
        <w:gridCol w:w="1363"/>
      </w:tblGrid>
      <w:tr w14:paraId="1E31AB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39" w:type="dxa"/>
            <w:shd w:val="clear" w:color="auto" w:fill="FFFFFF"/>
            <w:vAlign w:val="center"/>
          </w:tcPr>
          <w:p w14:paraId="0F89A6D4">
            <w:pPr>
              <w:keepNext w:val="0"/>
              <w:keepLines w:val="0"/>
              <w:pageBreakBefore w:val="0"/>
              <w:widowControl/>
              <w:kinsoku/>
              <w:wordWrap/>
              <w:overflowPunct/>
              <w:topLinePunct w:val="0"/>
              <w:autoSpaceDE/>
              <w:autoSpaceDN/>
              <w:bidi w:val="0"/>
              <w:spacing w:line="560" w:lineRule="exact"/>
              <w:jc w:val="center"/>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一级指标</w:t>
            </w:r>
          </w:p>
        </w:tc>
        <w:tc>
          <w:tcPr>
            <w:tcW w:w="767" w:type="dxa"/>
            <w:shd w:val="clear" w:color="auto" w:fill="FFFFFF"/>
            <w:vAlign w:val="center"/>
          </w:tcPr>
          <w:p w14:paraId="4E562811">
            <w:pPr>
              <w:keepNext w:val="0"/>
              <w:keepLines w:val="0"/>
              <w:pageBreakBefore w:val="0"/>
              <w:widowControl/>
              <w:kinsoku/>
              <w:wordWrap/>
              <w:overflowPunct/>
              <w:topLinePunct w:val="0"/>
              <w:autoSpaceDE/>
              <w:autoSpaceDN/>
              <w:bidi w:val="0"/>
              <w:spacing w:line="560" w:lineRule="exact"/>
              <w:jc w:val="center"/>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二级指标</w:t>
            </w:r>
          </w:p>
        </w:tc>
        <w:tc>
          <w:tcPr>
            <w:tcW w:w="873" w:type="dxa"/>
            <w:shd w:val="clear" w:color="auto" w:fill="FFFFFF"/>
            <w:vAlign w:val="center"/>
          </w:tcPr>
          <w:p w14:paraId="1E47AE5A">
            <w:pPr>
              <w:keepNext w:val="0"/>
              <w:keepLines w:val="0"/>
              <w:pageBreakBefore w:val="0"/>
              <w:widowControl/>
              <w:kinsoku/>
              <w:wordWrap/>
              <w:overflowPunct/>
              <w:topLinePunct w:val="0"/>
              <w:autoSpaceDE/>
              <w:autoSpaceDN/>
              <w:bidi w:val="0"/>
              <w:spacing w:line="560" w:lineRule="exact"/>
              <w:jc w:val="center"/>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三级指标</w:t>
            </w:r>
          </w:p>
        </w:tc>
        <w:tc>
          <w:tcPr>
            <w:tcW w:w="2353" w:type="dxa"/>
            <w:shd w:val="clear" w:color="auto" w:fill="FFFFFF"/>
            <w:vAlign w:val="center"/>
          </w:tcPr>
          <w:p w14:paraId="55466CC5">
            <w:pPr>
              <w:keepNext w:val="0"/>
              <w:keepLines w:val="0"/>
              <w:pageBreakBefore w:val="0"/>
              <w:widowControl/>
              <w:kinsoku/>
              <w:wordWrap/>
              <w:overflowPunct/>
              <w:topLinePunct w:val="0"/>
              <w:autoSpaceDE/>
              <w:autoSpaceDN/>
              <w:bidi w:val="0"/>
              <w:spacing w:line="560" w:lineRule="exact"/>
              <w:jc w:val="center"/>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指标解释</w:t>
            </w:r>
          </w:p>
        </w:tc>
        <w:tc>
          <w:tcPr>
            <w:tcW w:w="5188" w:type="dxa"/>
            <w:shd w:val="clear" w:color="auto" w:fill="FFFFFF"/>
            <w:vAlign w:val="center"/>
          </w:tcPr>
          <w:p w14:paraId="206B98F7">
            <w:pPr>
              <w:keepNext w:val="0"/>
              <w:keepLines w:val="0"/>
              <w:pageBreakBefore w:val="0"/>
              <w:widowControl/>
              <w:kinsoku/>
              <w:wordWrap/>
              <w:overflowPunct/>
              <w:topLinePunct w:val="0"/>
              <w:autoSpaceDE/>
              <w:autoSpaceDN/>
              <w:bidi w:val="0"/>
              <w:spacing w:line="560" w:lineRule="exact"/>
              <w:jc w:val="center"/>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指标说明</w:t>
            </w:r>
          </w:p>
        </w:tc>
        <w:tc>
          <w:tcPr>
            <w:tcW w:w="1300" w:type="dxa"/>
            <w:shd w:val="clear" w:color="auto" w:fill="FFFFFF"/>
            <w:vAlign w:val="center"/>
          </w:tcPr>
          <w:p w14:paraId="7D4C1CBC">
            <w:pPr>
              <w:keepNext w:val="0"/>
              <w:keepLines w:val="0"/>
              <w:pageBreakBefore w:val="0"/>
              <w:widowControl/>
              <w:kinsoku/>
              <w:wordWrap/>
              <w:overflowPunct/>
              <w:topLinePunct w:val="0"/>
              <w:autoSpaceDE/>
              <w:autoSpaceDN/>
              <w:bidi w:val="0"/>
              <w:spacing w:line="560" w:lineRule="exact"/>
              <w:jc w:val="center"/>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权重</w:t>
            </w:r>
          </w:p>
        </w:tc>
        <w:tc>
          <w:tcPr>
            <w:tcW w:w="1363" w:type="dxa"/>
            <w:shd w:val="clear" w:color="auto" w:fill="FFFFFF"/>
            <w:vAlign w:val="center"/>
          </w:tcPr>
          <w:p w14:paraId="33FE71FB">
            <w:pPr>
              <w:keepNext w:val="0"/>
              <w:keepLines w:val="0"/>
              <w:pageBreakBefore w:val="0"/>
              <w:widowControl/>
              <w:kinsoku/>
              <w:wordWrap/>
              <w:overflowPunct/>
              <w:topLinePunct w:val="0"/>
              <w:autoSpaceDE/>
              <w:autoSpaceDN/>
              <w:bidi w:val="0"/>
              <w:spacing w:line="560" w:lineRule="exact"/>
              <w:jc w:val="center"/>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得分</w:t>
            </w:r>
          </w:p>
        </w:tc>
      </w:tr>
      <w:tr w14:paraId="620575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39" w:type="dxa"/>
            <w:vMerge w:val="restart"/>
            <w:shd w:val="clear" w:color="auto" w:fill="FFFFFF"/>
            <w:vAlign w:val="center"/>
          </w:tcPr>
          <w:p w14:paraId="77B294CD">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决策　</w:t>
            </w:r>
          </w:p>
          <w:p w14:paraId="0CAED9F9">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p w14:paraId="34FA0277">
            <w:pPr>
              <w:keepNext w:val="0"/>
              <w:keepLines w:val="0"/>
              <w:pageBreakBefore w:val="0"/>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767" w:type="dxa"/>
            <w:vMerge w:val="restart"/>
            <w:shd w:val="clear" w:color="auto" w:fill="FFFFFF"/>
            <w:vAlign w:val="center"/>
          </w:tcPr>
          <w:p w14:paraId="267A06B7">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项目立项　</w:t>
            </w:r>
          </w:p>
        </w:tc>
        <w:tc>
          <w:tcPr>
            <w:tcW w:w="873" w:type="dxa"/>
            <w:shd w:val="clear" w:color="auto" w:fill="FFFFFF"/>
            <w:vAlign w:val="center"/>
          </w:tcPr>
          <w:p w14:paraId="735D59E5">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立项依据</w:t>
            </w:r>
          </w:p>
          <w:p w14:paraId="518BA4DE">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充分性</w:t>
            </w:r>
          </w:p>
        </w:tc>
        <w:tc>
          <w:tcPr>
            <w:tcW w:w="2353" w:type="dxa"/>
            <w:shd w:val="clear" w:color="auto" w:fill="FFFFFF"/>
            <w:vAlign w:val="center"/>
          </w:tcPr>
          <w:p w14:paraId="62012C0F">
            <w:pPr>
              <w:keepNext w:val="0"/>
              <w:keepLines w:val="0"/>
              <w:pageBreakBefore w:val="0"/>
              <w:widowControl/>
              <w:kinsoku/>
              <w:wordWrap/>
              <w:overflowPunct/>
              <w:topLinePunct w:val="0"/>
              <w:autoSpaceDE/>
              <w:autoSpaceDN/>
              <w:bidi w:val="0"/>
              <w:spacing w:line="560" w:lineRule="exac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项目立项是否符合法律法规、相关政策、发展规划以及部门职责，用以反映和考核项目立项依据情况。</w:t>
            </w:r>
          </w:p>
        </w:tc>
        <w:tc>
          <w:tcPr>
            <w:tcW w:w="5188" w:type="dxa"/>
            <w:shd w:val="clear" w:color="auto" w:fill="FFFFFF"/>
            <w:vAlign w:val="center"/>
          </w:tcPr>
          <w:p w14:paraId="50F703EA">
            <w:pPr>
              <w:keepNext w:val="0"/>
              <w:keepLines w:val="0"/>
              <w:pageBreakBefore w:val="0"/>
              <w:widowControl/>
              <w:kinsoku/>
              <w:wordWrap/>
              <w:overflowPunct/>
              <w:topLinePunct w:val="0"/>
              <w:autoSpaceDE/>
              <w:autoSpaceDN/>
              <w:bidi w:val="0"/>
              <w:spacing w:line="560" w:lineRule="exact"/>
              <w:jc w:val="lef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评价要点：</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①项目立项是否符合国家法律法规、国民经济发展规划和相关政策；</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②项目立项是否符合行业发展规划和政策要求；</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③项目立项是否与部门职责范围相符，属于部门履职所需；</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④项目是否属于公共财政支持范围，是否符合中央、地方事权支出责任划分原则；</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⑤项目是否与相关部门同类项目或部门内部相关项目重复。</w:t>
            </w:r>
          </w:p>
        </w:tc>
        <w:tc>
          <w:tcPr>
            <w:tcW w:w="1300" w:type="dxa"/>
            <w:shd w:val="clear" w:color="auto" w:fill="FFFFFF"/>
            <w:vAlign w:val="center"/>
          </w:tcPr>
          <w:p w14:paraId="70A45A78">
            <w:pPr>
              <w:keepNext w:val="0"/>
              <w:keepLines w:val="0"/>
              <w:pageBreakBefore w:val="0"/>
              <w:widowControl/>
              <w:kinsoku/>
              <w:wordWrap/>
              <w:overflowPunct/>
              <w:topLinePunct w:val="0"/>
              <w:autoSpaceDE/>
              <w:autoSpaceDN/>
              <w:bidi w:val="0"/>
              <w:spacing w:line="560" w:lineRule="exact"/>
              <w:jc w:val="lef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0.5</w:t>
            </w:r>
          </w:p>
        </w:tc>
        <w:tc>
          <w:tcPr>
            <w:tcW w:w="1363" w:type="dxa"/>
            <w:shd w:val="clear" w:color="auto" w:fill="FFFFFF"/>
            <w:vAlign w:val="center"/>
          </w:tcPr>
          <w:p w14:paraId="2DC77655">
            <w:pPr>
              <w:keepNext w:val="0"/>
              <w:keepLines w:val="0"/>
              <w:pageBreakBefore w:val="0"/>
              <w:widowControl/>
              <w:kinsoku/>
              <w:wordWrap/>
              <w:overflowPunct/>
              <w:topLinePunct w:val="0"/>
              <w:autoSpaceDE/>
              <w:autoSpaceDN/>
              <w:bidi w:val="0"/>
              <w:spacing w:line="560" w:lineRule="exact"/>
              <w:jc w:val="lef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0.5</w:t>
            </w:r>
          </w:p>
        </w:tc>
      </w:tr>
      <w:tr w14:paraId="30B4DA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39" w:type="dxa"/>
            <w:vMerge w:val="continue"/>
            <w:shd w:val="clear" w:color="auto" w:fill="FFFFFF"/>
            <w:vAlign w:val="center"/>
          </w:tcPr>
          <w:p w14:paraId="2E5A3C89">
            <w:pPr>
              <w:keepNext w:val="0"/>
              <w:keepLines w:val="0"/>
              <w:pageBreakBefore w:val="0"/>
              <w:kinsoku/>
              <w:wordWrap/>
              <w:overflowPunct/>
              <w:topLinePunct w:val="0"/>
              <w:autoSpaceDE/>
              <w:autoSpaceDN/>
              <w:bidi w:val="0"/>
              <w:spacing w:line="560" w:lineRule="exact"/>
              <w:jc w:val="center"/>
              <w:rPr>
                <w:rFonts w:ascii="宋体" w:hAnsi="宋体" w:cs="宋体"/>
                <w:color w:val="000000"/>
                <w:kern w:val="0"/>
                <w:sz w:val="22"/>
                <w:szCs w:val="22"/>
                <w:highlight w:val="none"/>
              </w:rPr>
            </w:pPr>
          </w:p>
        </w:tc>
        <w:tc>
          <w:tcPr>
            <w:tcW w:w="767" w:type="dxa"/>
            <w:vMerge w:val="continue"/>
            <w:shd w:val="clear" w:color="auto" w:fill="FFFFFF"/>
            <w:vAlign w:val="center"/>
          </w:tcPr>
          <w:p w14:paraId="61230947">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p>
        </w:tc>
        <w:tc>
          <w:tcPr>
            <w:tcW w:w="873" w:type="dxa"/>
            <w:shd w:val="clear" w:color="auto" w:fill="FFFFFF"/>
            <w:vAlign w:val="center"/>
          </w:tcPr>
          <w:p w14:paraId="76563F4B">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立项程序</w:t>
            </w:r>
          </w:p>
          <w:p w14:paraId="539DD3F4">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规范性</w:t>
            </w:r>
          </w:p>
        </w:tc>
        <w:tc>
          <w:tcPr>
            <w:tcW w:w="2353" w:type="dxa"/>
            <w:shd w:val="clear" w:color="auto" w:fill="FFFFFF"/>
            <w:vAlign w:val="center"/>
          </w:tcPr>
          <w:p w14:paraId="168FD43A">
            <w:pPr>
              <w:keepNext w:val="0"/>
              <w:keepLines w:val="0"/>
              <w:pageBreakBefore w:val="0"/>
              <w:widowControl/>
              <w:kinsoku/>
              <w:wordWrap/>
              <w:overflowPunct/>
              <w:topLinePunct w:val="0"/>
              <w:autoSpaceDE/>
              <w:autoSpaceDN/>
              <w:bidi w:val="0"/>
              <w:spacing w:line="560" w:lineRule="exac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项目申请、设立过程是否符合相关要求，用以反映和考核项目立项的规范情况。</w:t>
            </w:r>
          </w:p>
        </w:tc>
        <w:tc>
          <w:tcPr>
            <w:tcW w:w="5188" w:type="dxa"/>
            <w:shd w:val="clear" w:color="auto" w:fill="FFFFFF"/>
            <w:vAlign w:val="center"/>
          </w:tcPr>
          <w:p w14:paraId="646BF996">
            <w:pPr>
              <w:keepNext w:val="0"/>
              <w:keepLines w:val="0"/>
              <w:pageBreakBefore w:val="0"/>
              <w:widowControl/>
              <w:kinsoku/>
              <w:wordWrap/>
              <w:overflowPunct/>
              <w:topLinePunct w:val="0"/>
              <w:autoSpaceDE/>
              <w:autoSpaceDN/>
              <w:bidi w:val="0"/>
              <w:spacing w:line="560" w:lineRule="exact"/>
              <w:jc w:val="lef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评价要点：</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①项目是否按照规定的程序申请设立；</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②审批文件、材料是否符合相关要求；</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③事前是否已经过必要的可行性研究、专家论证、风险评估、绩效评估、集体决策。</w:t>
            </w:r>
          </w:p>
        </w:tc>
        <w:tc>
          <w:tcPr>
            <w:tcW w:w="1300" w:type="dxa"/>
            <w:shd w:val="clear" w:color="auto" w:fill="FFFFFF"/>
            <w:vAlign w:val="center"/>
          </w:tcPr>
          <w:p w14:paraId="5FCA5F39">
            <w:pPr>
              <w:keepNext w:val="0"/>
              <w:keepLines w:val="0"/>
              <w:pageBreakBefore w:val="0"/>
              <w:widowControl/>
              <w:kinsoku/>
              <w:wordWrap/>
              <w:overflowPunct/>
              <w:topLinePunct w:val="0"/>
              <w:autoSpaceDE/>
              <w:autoSpaceDN/>
              <w:bidi w:val="0"/>
              <w:spacing w:line="560" w:lineRule="exact"/>
              <w:jc w:val="lef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0.5</w:t>
            </w:r>
          </w:p>
        </w:tc>
        <w:tc>
          <w:tcPr>
            <w:tcW w:w="1363" w:type="dxa"/>
            <w:shd w:val="clear" w:color="auto" w:fill="FFFFFF"/>
            <w:vAlign w:val="center"/>
          </w:tcPr>
          <w:p w14:paraId="2D9F791B">
            <w:pPr>
              <w:keepNext w:val="0"/>
              <w:keepLines w:val="0"/>
              <w:pageBreakBefore w:val="0"/>
              <w:widowControl/>
              <w:kinsoku/>
              <w:wordWrap/>
              <w:overflowPunct/>
              <w:topLinePunct w:val="0"/>
              <w:autoSpaceDE/>
              <w:autoSpaceDN/>
              <w:bidi w:val="0"/>
              <w:spacing w:line="560" w:lineRule="exact"/>
              <w:jc w:val="lef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0.5</w:t>
            </w:r>
          </w:p>
        </w:tc>
      </w:tr>
      <w:tr w14:paraId="0243AB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39" w:type="dxa"/>
            <w:vMerge w:val="continue"/>
            <w:shd w:val="clear" w:color="auto" w:fill="FFFFFF"/>
            <w:vAlign w:val="center"/>
          </w:tcPr>
          <w:p w14:paraId="4133CF66">
            <w:pPr>
              <w:keepNext w:val="0"/>
              <w:keepLines w:val="0"/>
              <w:pageBreakBefore w:val="0"/>
              <w:kinsoku/>
              <w:wordWrap/>
              <w:overflowPunct/>
              <w:topLinePunct w:val="0"/>
              <w:autoSpaceDE/>
              <w:autoSpaceDN/>
              <w:bidi w:val="0"/>
              <w:spacing w:line="560" w:lineRule="exact"/>
              <w:jc w:val="center"/>
              <w:rPr>
                <w:rFonts w:ascii="宋体" w:hAnsi="宋体" w:cs="宋体"/>
                <w:color w:val="000000"/>
                <w:kern w:val="0"/>
                <w:sz w:val="22"/>
                <w:szCs w:val="22"/>
                <w:highlight w:val="none"/>
              </w:rPr>
            </w:pPr>
          </w:p>
        </w:tc>
        <w:tc>
          <w:tcPr>
            <w:tcW w:w="767" w:type="dxa"/>
            <w:shd w:val="clear" w:color="auto" w:fill="FFFFFF"/>
            <w:vAlign w:val="center"/>
          </w:tcPr>
          <w:p w14:paraId="3E0484BE">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绩效目标　</w:t>
            </w:r>
          </w:p>
        </w:tc>
        <w:tc>
          <w:tcPr>
            <w:tcW w:w="873" w:type="dxa"/>
            <w:shd w:val="clear" w:color="auto" w:fill="FFFFFF"/>
            <w:vAlign w:val="center"/>
          </w:tcPr>
          <w:p w14:paraId="0C5BC2D1">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绩效目标</w:t>
            </w:r>
          </w:p>
          <w:p w14:paraId="40BA55A6">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合理性</w:t>
            </w:r>
          </w:p>
        </w:tc>
        <w:tc>
          <w:tcPr>
            <w:tcW w:w="2353" w:type="dxa"/>
            <w:shd w:val="clear" w:color="000000" w:fill="FFFFFF"/>
            <w:vAlign w:val="center"/>
          </w:tcPr>
          <w:p w14:paraId="0D4BAAB9">
            <w:pPr>
              <w:keepNext w:val="0"/>
              <w:keepLines w:val="0"/>
              <w:pageBreakBefore w:val="0"/>
              <w:widowControl/>
              <w:kinsoku/>
              <w:wordWrap/>
              <w:overflowPunct/>
              <w:topLinePunct w:val="0"/>
              <w:autoSpaceDE/>
              <w:autoSpaceDN/>
              <w:bidi w:val="0"/>
              <w:spacing w:line="560" w:lineRule="exac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项目所设定的绩效目标是否依据充分，是否符合客观实际，用以反映和考核项目绩效目标与项目实施的相符情况。</w:t>
            </w:r>
          </w:p>
        </w:tc>
        <w:tc>
          <w:tcPr>
            <w:tcW w:w="5188" w:type="dxa"/>
            <w:shd w:val="clear" w:color="000000" w:fill="FFFFFF"/>
            <w:vAlign w:val="center"/>
          </w:tcPr>
          <w:p w14:paraId="6DB27998">
            <w:pPr>
              <w:keepNext w:val="0"/>
              <w:keepLines w:val="0"/>
              <w:pageBreakBefore w:val="0"/>
              <w:widowControl/>
              <w:kinsoku/>
              <w:wordWrap/>
              <w:overflowPunct/>
              <w:topLinePunct w:val="0"/>
              <w:autoSpaceDE/>
              <w:autoSpaceDN/>
              <w:bidi w:val="0"/>
              <w:spacing w:line="560" w:lineRule="exact"/>
              <w:jc w:val="lef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评价要点：</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（如未设定预算绩效目标，也可考核其他工作任务目标）</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①项目是否有绩效目标；</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②项目绩效目标与实际工作内容是否具有相关性；</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③项目预期产出效益和效果是否符合正常的业绩水平；</w:t>
            </w:r>
          </w:p>
          <w:p w14:paraId="486538A2">
            <w:pPr>
              <w:keepNext w:val="0"/>
              <w:keepLines w:val="0"/>
              <w:pageBreakBefore w:val="0"/>
              <w:widowControl/>
              <w:kinsoku/>
              <w:wordWrap/>
              <w:overflowPunct/>
              <w:topLinePunct w:val="0"/>
              <w:autoSpaceDE/>
              <w:autoSpaceDN/>
              <w:bidi w:val="0"/>
              <w:spacing w:line="560" w:lineRule="exact"/>
              <w:jc w:val="lef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④是否与预算确定的项目投资额或资金量相匹配。</w:t>
            </w:r>
          </w:p>
        </w:tc>
        <w:tc>
          <w:tcPr>
            <w:tcW w:w="1300" w:type="dxa"/>
            <w:shd w:val="clear" w:color="000000" w:fill="FFFFFF"/>
            <w:vAlign w:val="center"/>
          </w:tcPr>
          <w:p w14:paraId="15300871">
            <w:pPr>
              <w:keepNext w:val="0"/>
              <w:keepLines w:val="0"/>
              <w:pageBreakBefore w:val="0"/>
              <w:widowControl/>
              <w:kinsoku/>
              <w:wordWrap/>
              <w:overflowPunct/>
              <w:topLinePunct w:val="0"/>
              <w:autoSpaceDE/>
              <w:autoSpaceDN/>
              <w:bidi w:val="0"/>
              <w:spacing w:line="560" w:lineRule="exact"/>
              <w:jc w:val="lef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363" w:type="dxa"/>
            <w:shd w:val="clear" w:color="000000" w:fill="FFFFFF"/>
            <w:vAlign w:val="center"/>
          </w:tcPr>
          <w:p w14:paraId="3F7ABE75">
            <w:pPr>
              <w:keepNext w:val="0"/>
              <w:keepLines w:val="0"/>
              <w:pageBreakBefore w:val="0"/>
              <w:widowControl/>
              <w:kinsoku/>
              <w:wordWrap/>
              <w:overflowPunct/>
              <w:topLinePunct w:val="0"/>
              <w:autoSpaceDE/>
              <w:autoSpaceDN/>
              <w:bidi w:val="0"/>
              <w:spacing w:line="560" w:lineRule="exact"/>
              <w:jc w:val="lef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r>
      <w:tr w14:paraId="128CC7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39" w:type="dxa"/>
            <w:vMerge w:val="restart"/>
            <w:shd w:val="clear" w:color="auto" w:fill="FFFFFF"/>
            <w:vAlign w:val="center"/>
          </w:tcPr>
          <w:p w14:paraId="37009121">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决策　</w:t>
            </w:r>
          </w:p>
        </w:tc>
        <w:tc>
          <w:tcPr>
            <w:tcW w:w="767" w:type="dxa"/>
            <w:shd w:val="clear" w:color="auto" w:fill="FFFFFF"/>
            <w:vAlign w:val="center"/>
          </w:tcPr>
          <w:p w14:paraId="3AFCFC91">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绩效目标</w:t>
            </w:r>
          </w:p>
        </w:tc>
        <w:tc>
          <w:tcPr>
            <w:tcW w:w="873" w:type="dxa"/>
            <w:shd w:val="clear" w:color="auto" w:fill="FFFFFF"/>
            <w:vAlign w:val="center"/>
          </w:tcPr>
          <w:p w14:paraId="3229698B">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绩效指标</w:t>
            </w:r>
          </w:p>
          <w:p w14:paraId="5F28E47A">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明确性</w:t>
            </w:r>
          </w:p>
        </w:tc>
        <w:tc>
          <w:tcPr>
            <w:tcW w:w="2353" w:type="dxa"/>
            <w:shd w:val="clear" w:color="000000" w:fill="FFFFFF"/>
            <w:vAlign w:val="center"/>
          </w:tcPr>
          <w:p w14:paraId="71961C6C">
            <w:pPr>
              <w:keepNext w:val="0"/>
              <w:keepLines w:val="0"/>
              <w:pageBreakBefore w:val="0"/>
              <w:widowControl/>
              <w:kinsoku/>
              <w:wordWrap/>
              <w:overflowPunct/>
              <w:topLinePunct w:val="0"/>
              <w:autoSpaceDE/>
              <w:autoSpaceDN/>
              <w:bidi w:val="0"/>
              <w:spacing w:line="560" w:lineRule="exac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依据绩效目标设定的绩效指标是否清晰、细化、可衡量等，用以反映和考核项目绩效目标的明细化情况。</w:t>
            </w:r>
          </w:p>
        </w:tc>
        <w:tc>
          <w:tcPr>
            <w:tcW w:w="5188" w:type="dxa"/>
            <w:shd w:val="clear" w:color="000000" w:fill="FFFFFF"/>
            <w:vAlign w:val="center"/>
          </w:tcPr>
          <w:p w14:paraId="324B8E0A">
            <w:pPr>
              <w:keepNext w:val="0"/>
              <w:keepLines w:val="0"/>
              <w:pageBreakBefore w:val="0"/>
              <w:widowControl/>
              <w:kinsoku/>
              <w:wordWrap/>
              <w:overflowPunct/>
              <w:topLinePunct w:val="0"/>
              <w:autoSpaceDE/>
              <w:autoSpaceDN/>
              <w:bidi w:val="0"/>
              <w:spacing w:line="560" w:lineRule="exac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评价要点：</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①是否将项目绩效目标细化分解为具体的绩效指标；</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②是否通过清晰、可衡量的指标值予以体现；</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③是否与项目目标任务数或计划数相对应。</w:t>
            </w:r>
            <w:r>
              <w:rPr>
                <w:rFonts w:hint="eastAsia" w:ascii="宋体" w:hAnsi="宋体" w:cs="宋体"/>
                <w:color w:val="000000"/>
                <w:kern w:val="0"/>
                <w:sz w:val="22"/>
                <w:szCs w:val="22"/>
                <w:highlight w:val="none"/>
              </w:rPr>
              <w:br w:type="textWrapping"/>
            </w:r>
          </w:p>
        </w:tc>
        <w:tc>
          <w:tcPr>
            <w:tcW w:w="1300" w:type="dxa"/>
            <w:shd w:val="clear" w:color="000000" w:fill="FFFFFF"/>
            <w:vAlign w:val="center"/>
          </w:tcPr>
          <w:p w14:paraId="34BA51CC">
            <w:pPr>
              <w:keepNext w:val="0"/>
              <w:keepLines w:val="0"/>
              <w:pageBreakBefore w:val="0"/>
              <w:widowControl/>
              <w:kinsoku/>
              <w:wordWrap/>
              <w:overflowPunct/>
              <w:topLinePunct w:val="0"/>
              <w:autoSpaceDE/>
              <w:autoSpaceDN/>
              <w:bidi w:val="0"/>
              <w:spacing w:line="560" w:lineRule="exac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363" w:type="dxa"/>
            <w:shd w:val="clear" w:color="000000" w:fill="FFFFFF"/>
            <w:vAlign w:val="center"/>
          </w:tcPr>
          <w:p w14:paraId="06B87923">
            <w:pPr>
              <w:keepNext w:val="0"/>
              <w:keepLines w:val="0"/>
              <w:pageBreakBefore w:val="0"/>
              <w:widowControl/>
              <w:kinsoku/>
              <w:wordWrap/>
              <w:overflowPunct/>
              <w:topLinePunct w:val="0"/>
              <w:autoSpaceDE/>
              <w:autoSpaceDN/>
              <w:bidi w:val="0"/>
              <w:spacing w:line="560" w:lineRule="exac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r>
      <w:tr w14:paraId="4AC0F9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39" w:type="dxa"/>
            <w:vMerge w:val="continue"/>
            <w:shd w:val="clear" w:color="auto" w:fill="FFFFFF"/>
            <w:vAlign w:val="center"/>
          </w:tcPr>
          <w:p w14:paraId="2F303702">
            <w:pPr>
              <w:keepNext w:val="0"/>
              <w:keepLines w:val="0"/>
              <w:pageBreakBefore w:val="0"/>
              <w:kinsoku/>
              <w:wordWrap/>
              <w:overflowPunct/>
              <w:topLinePunct w:val="0"/>
              <w:autoSpaceDE/>
              <w:autoSpaceDN/>
              <w:bidi w:val="0"/>
              <w:spacing w:line="560" w:lineRule="exact"/>
              <w:jc w:val="center"/>
              <w:rPr>
                <w:rFonts w:ascii="宋体" w:hAnsi="宋体" w:cs="宋体"/>
                <w:color w:val="000000"/>
                <w:kern w:val="0"/>
                <w:sz w:val="22"/>
                <w:szCs w:val="22"/>
                <w:highlight w:val="none"/>
              </w:rPr>
            </w:pPr>
          </w:p>
        </w:tc>
        <w:tc>
          <w:tcPr>
            <w:tcW w:w="767" w:type="dxa"/>
            <w:vMerge w:val="restart"/>
            <w:shd w:val="clear" w:color="auto" w:fill="FFFFFF"/>
            <w:vAlign w:val="center"/>
          </w:tcPr>
          <w:p w14:paraId="166F2614">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资金投入</w:t>
            </w:r>
          </w:p>
          <w:p w14:paraId="1C0A09FF">
            <w:pPr>
              <w:keepNext w:val="0"/>
              <w:keepLines w:val="0"/>
              <w:pageBreakBefore w:val="0"/>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873" w:type="dxa"/>
            <w:shd w:val="clear" w:color="auto" w:fill="FFFFFF"/>
            <w:vAlign w:val="center"/>
          </w:tcPr>
          <w:p w14:paraId="41AB757A">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预算编制</w:t>
            </w:r>
          </w:p>
          <w:p w14:paraId="43291F56">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科学性</w:t>
            </w:r>
          </w:p>
        </w:tc>
        <w:tc>
          <w:tcPr>
            <w:tcW w:w="2353" w:type="dxa"/>
            <w:shd w:val="clear" w:color="auto" w:fill="FFFFFF"/>
            <w:vAlign w:val="center"/>
          </w:tcPr>
          <w:p w14:paraId="586AD914">
            <w:pPr>
              <w:keepNext w:val="0"/>
              <w:keepLines w:val="0"/>
              <w:pageBreakBefore w:val="0"/>
              <w:widowControl/>
              <w:kinsoku/>
              <w:wordWrap/>
              <w:overflowPunct/>
              <w:topLinePunct w:val="0"/>
              <w:autoSpaceDE/>
              <w:autoSpaceDN/>
              <w:bidi w:val="0"/>
              <w:spacing w:line="560" w:lineRule="exac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项目预算编制是否经过科学论证、有明确标准，资金额度与年度目标是否相适应，用以反映和考核项目预算编制的科学性、合理性情况。</w:t>
            </w:r>
          </w:p>
        </w:tc>
        <w:tc>
          <w:tcPr>
            <w:tcW w:w="5188" w:type="dxa"/>
            <w:shd w:val="clear" w:color="auto" w:fill="FFFFFF"/>
            <w:vAlign w:val="center"/>
          </w:tcPr>
          <w:p w14:paraId="488449C6">
            <w:pPr>
              <w:keepNext w:val="0"/>
              <w:keepLines w:val="0"/>
              <w:pageBreakBefore w:val="0"/>
              <w:widowControl/>
              <w:kinsoku/>
              <w:wordWrap/>
              <w:overflowPunct/>
              <w:topLinePunct w:val="0"/>
              <w:autoSpaceDE/>
              <w:autoSpaceDN/>
              <w:bidi w:val="0"/>
              <w:spacing w:line="560" w:lineRule="exac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评价要点：</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①预算编制是否经过科学论证；</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②预算内容与项目内容是否匹配；</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③预算额度测算依据是否充分，是否按照标准编制；</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④预算确定的项目投资额或资金量是否与工作任务相匹配。</w:t>
            </w:r>
          </w:p>
        </w:tc>
        <w:tc>
          <w:tcPr>
            <w:tcW w:w="1300" w:type="dxa"/>
            <w:shd w:val="clear" w:color="auto" w:fill="FFFFFF"/>
            <w:vAlign w:val="center"/>
          </w:tcPr>
          <w:p w14:paraId="5D5F532B">
            <w:pPr>
              <w:keepNext w:val="0"/>
              <w:keepLines w:val="0"/>
              <w:pageBreakBefore w:val="0"/>
              <w:widowControl/>
              <w:kinsoku/>
              <w:wordWrap/>
              <w:overflowPunct/>
              <w:topLinePunct w:val="0"/>
              <w:autoSpaceDE/>
              <w:autoSpaceDN/>
              <w:bidi w:val="0"/>
              <w:spacing w:line="560" w:lineRule="exac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363" w:type="dxa"/>
            <w:shd w:val="clear" w:color="auto" w:fill="FFFFFF"/>
            <w:vAlign w:val="center"/>
          </w:tcPr>
          <w:p w14:paraId="0D04D3DD">
            <w:pPr>
              <w:keepNext w:val="0"/>
              <w:keepLines w:val="0"/>
              <w:pageBreakBefore w:val="0"/>
              <w:widowControl/>
              <w:kinsoku/>
              <w:wordWrap/>
              <w:overflowPunct/>
              <w:topLinePunct w:val="0"/>
              <w:autoSpaceDE/>
              <w:autoSpaceDN/>
              <w:bidi w:val="0"/>
              <w:spacing w:line="560" w:lineRule="exac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r>
      <w:tr w14:paraId="721A85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39" w:type="dxa"/>
            <w:vMerge w:val="continue"/>
            <w:shd w:val="clear" w:color="auto" w:fill="FFFFFF"/>
            <w:vAlign w:val="center"/>
          </w:tcPr>
          <w:p w14:paraId="3EACE7A1">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p>
        </w:tc>
        <w:tc>
          <w:tcPr>
            <w:tcW w:w="767" w:type="dxa"/>
            <w:vMerge w:val="continue"/>
            <w:shd w:val="clear" w:color="auto" w:fill="FFFFFF"/>
            <w:vAlign w:val="center"/>
          </w:tcPr>
          <w:p w14:paraId="6628BE85">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p>
        </w:tc>
        <w:tc>
          <w:tcPr>
            <w:tcW w:w="873" w:type="dxa"/>
            <w:shd w:val="clear" w:color="auto" w:fill="FFFFFF"/>
            <w:vAlign w:val="center"/>
          </w:tcPr>
          <w:p w14:paraId="155101E5">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资金分配</w:t>
            </w:r>
          </w:p>
          <w:p w14:paraId="0768911C">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合理性</w:t>
            </w:r>
          </w:p>
        </w:tc>
        <w:tc>
          <w:tcPr>
            <w:tcW w:w="2353" w:type="dxa"/>
            <w:shd w:val="clear" w:color="auto" w:fill="FFFFFF"/>
            <w:vAlign w:val="center"/>
          </w:tcPr>
          <w:p w14:paraId="430CCB07">
            <w:pPr>
              <w:keepNext w:val="0"/>
              <w:keepLines w:val="0"/>
              <w:pageBreakBefore w:val="0"/>
              <w:widowControl/>
              <w:kinsoku/>
              <w:wordWrap/>
              <w:overflowPunct/>
              <w:topLinePunct w:val="0"/>
              <w:autoSpaceDE/>
              <w:autoSpaceDN/>
              <w:bidi w:val="0"/>
              <w:spacing w:line="560" w:lineRule="exac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项目预算资金分配是否有测算依据，与补助单位或地方实际是否相适应，用以反映和考核项目预算资金分配的科学性、合理性情况。</w:t>
            </w:r>
          </w:p>
        </w:tc>
        <w:tc>
          <w:tcPr>
            <w:tcW w:w="5188" w:type="dxa"/>
            <w:shd w:val="clear" w:color="auto" w:fill="FFFFFF"/>
            <w:vAlign w:val="center"/>
          </w:tcPr>
          <w:p w14:paraId="18F431E3">
            <w:pPr>
              <w:keepNext w:val="0"/>
              <w:keepLines w:val="0"/>
              <w:pageBreakBefore w:val="0"/>
              <w:widowControl/>
              <w:kinsoku/>
              <w:wordWrap/>
              <w:overflowPunct/>
              <w:topLinePunct w:val="0"/>
              <w:autoSpaceDE/>
              <w:autoSpaceDN/>
              <w:bidi w:val="0"/>
              <w:spacing w:line="560" w:lineRule="exac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评价要点：</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①预算资金分配依据是否充分；</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②资金分配额度是否合理，与项目单位或地方实际是否相适应。</w:t>
            </w:r>
          </w:p>
        </w:tc>
        <w:tc>
          <w:tcPr>
            <w:tcW w:w="1300" w:type="dxa"/>
            <w:shd w:val="clear" w:color="auto" w:fill="FFFFFF"/>
            <w:vAlign w:val="center"/>
          </w:tcPr>
          <w:p w14:paraId="1E42257B">
            <w:pPr>
              <w:keepNext w:val="0"/>
              <w:keepLines w:val="0"/>
              <w:pageBreakBefore w:val="0"/>
              <w:widowControl/>
              <w:kinsoku/>
              <w:wordWrap/>
              <w:overflowPunct/>
              <w:topLinePunct w:val="0"/>
              <w:autoSpaceDE/>
              <w:autoSpaceDN/>
              <w:bidi w:val="0"/>
              <w:spacing w:line="560" w:lineRule="exac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363" w:type="dxa"/>
            <w:shd w:val="clear" w:color="auto" w:fill="FFFFFF"/>
            <w:vAlign w:val="center"/>
          </w:tcPr>
          <w:p w14:paraId="0D699E66">
            <w:pPr>
              <w:keepNext w:val="0"/>
              <w:keepLines w:val="0"/>
              <w:pageBreakBefore w:val="0"/>
              <w:widowControl/>
              <w:kinsoku/>
              <w:wordWrap/>
              <w:overflowPunct/>
              <w:topLinePunct w:val="0"/>
              <w:autoSpaceDE/>
              <w:autoSpaceDN/>
              <w:bidi w:val="0"/>
              <w:spacing w:line="560" w:lineRule="exac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r>
      <w:tr w14:paraId="1F638E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39" w:type="dxa"/>
            <w:vMerge w:val="restart"/>
            <w:shd w:val="clear" w:color="auto" w:fill="FFFFFF"/>
            <w:vAlign w:val="center"/>
          </w:tcPr>
          <w:p w14:paraId="52ED1A8F">
            <w:pPr>
              <w:keepNext w:val="0"/>
              <w:keepLines w:val="0"/>
              <w:pageBreakBefore w:val="0"/>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过程</w:t>
            </w:r>
          </w:p>
        </w:tc>
        <w:tc>
          <w:tcPr>
            <w:tcW w:w="767" w:type="dxa"/>
            <w:vMerge w:val="restart"/>
            <w:shd w:val="clear" w:color="auto" w:fill="FFFFFF"/>
            <w:vAlign w:val="center"/>
          </w:tcPr>
          <w:p w14:paraId="20B0819B">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资金管理</w:t>
            </w:r>
          </w:p>
        </w:tc>
        <w:tc>
          <w:tcPr>
            <w:tcW w:w="873" w:type="dxa"/>
            <w:shd w:val="clear" w:color="auto" w:fill="FFFFFF"/>
            <w:vAlign w:val="center"/>
          </w:tcPr>
          <w:p w14:paraId="2F919094">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资金到位率</w:t>
            </w:r>
          </w:p>
        </w:tc>
        <w:tc>
          <w:tcPr>
            <w:tcW w:w="2353" w:type="dxa"/>
            <w:shd w:val="clear" w:color="000000" w:fill="FFFFFF"/>
            <w:vAlign w:val="center"/>
          </w:tcPr>
          <w:p w14:paraId="774E2D34">
            <w:pPr>
              <w:keepNext w:val="0"/>
              <w:keepLines w:val="0"/>
              <w:pageBreakBefore w:val="0"/>
              <w:widowControl/>
              <w:kinsoku/>
              <w:wordWrap/>
              <w:overflowPunct/>
              <w:topLinePunct w:val="0"/>
              <w:autoSpaceDE/>
              <w:autoSpaceDN/>
              <w:bidi w:val="0"/>
              <w:spacing w:line="560" w:lineRule="exac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实际到位资金与预算资金的比率，用以反映和考核资金落实情况对项目实施的总体保障程度。</w:t>
            </w:r>
          </w:p>
        </w:tc>
        <w:tc>
          <w:tcPr>
            <w:tcW w:w="5188" w:type="dxa"/>
            <w:shd w:val="clear" w:color="000000" w:fill="FFFFFF"/>
            <w:vAlign w:val="center"/>
          </w:tcPr>
          <w:p w14:paraId="6A34A765">
            <w:pPr>
              <w:keepNext w:val="0"/>
              <w:keepLines w:val="0"/>
              <w:pageBreakBefore w:val="0"/>
              <w:widowControl/>
              <w:kinsoku/>
              <w:wordWrap/>
              <w:overflowPunct/>
              <w:topLinePunct w:val="0"/>
              <w:autoSpaceDE/>
              <w:autoSpaceDN/>
              <w:bidi w:val="0"/>
              <w:spacing w:line="560" w:lineRule="exac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资金到位率=（实际到位资金/预算资金）×100%。</w:t>
            </w:r>
          </w:p>
          <w:p w14:paraId="176BC157">
            <w:pPr>
              <w:keepNext w:val="0"/>
              <w:keepLines w:val="0"/>
              <w:pageBreakBefore w:val="0"/>
              <w:widowControl/>
              <w:kinsoku/>
              <w:wordWrap/>
              <w:overflowPunct/>
              <w:topLinePunct w:val="0"/>
              <w:autoSpaceDE/>
              <w:autoSpaceDN/>
              <w:bidi w:val="0"/>
              <w:spacing w:line="560" w:lineRule="exac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实际到位资金：一定时期（本年度或项目期）内落实到具体项目的资金。</w:t>
            </w:r>
          </w:p>
          <w:p w14:paraId="63C89A1F">
            <w:pPr>
              <w:keepNext w:val="0"/>
              <w:keepLines w:val="0"/>
              <w:pageBreakBefore w:val="0"/>
              <w:widowControl/>
              <w:kinsoku/>
              <w:wordWrap/>
              <w:overflowPunct/>
              <w:topLinePunct w:val="0"/>
              <w:autoSpaceDE/>
              <w:autoSpaceDN/>
              <w:bidi w:val="0"/>
              <w:spacing w:line="560" w:lineRule="exac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预算资金：一定时期（本年度或项目期）内预算安排到具体项目的资金。</w:t>
            </w:r>
          </w:p>
        </w:tc>
        <w:tc>
          <w:tcPr>
            <w:tcW w:w="1300" w:type="dxa"/>
            <w:shd w:val="clear" w:color="000000" w:fill="FFFFFF"/>
            <w:vAlign w:val="center"/>
          </w:tcPr>
          <w:p w14:paraId="224C0C92">
            <w:pPr>
              <w:keepNext w:val="0"/>
              <w:keepLines w:val="0"/>
              <w:pageBreakBefore w:val="0"/>
              <w:widowControl/>
              <w:kinsoku/>
              <w:wordWrap/>
              <w:overflowPunct/>
              <w:topLinePunct w:val="0"/>
              <w:autoSpaceDE/>
              <w:autoSpaceDN/>
              <w:bidi w:val="0"/>
              <w:spacing w:line="560" w:lineRule="exac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363" w:type="dxa"/>
            <w:shd w:val="clear" w:color="000000" w:fill="FFFFFF"/>
            <w:vAlign w:val="center"/>
          </w:tcPr>
          <w:p w14:paraId="05C95958">
            <w:pPr>
              <w:keepNext w:val="0"/>
              <w:keepLines w:val="0"/>
              <w:pageBreakBefore w:val="0"/>
              <w:widowControl/>
              <w:kinsoku/>
              <w:wordWrap/>
              <w:overflowPunct/>
              <w:topLinePunct w:val="0"/>
              <w:autoSpaceDE/>
              <w:autoSpaceDN/>
              <w:bidi w:val="0"/>
              <w:spacing w:line="560" w:lineRule="exac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r>
      <w:tr w14:paraId="33EAE3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39" w:type="dxa"/>
            <w:vMerge w:val="continue"/>
            <w:shd w:val="clear" w:color="auto" w:fill="FFFFFF"/>
            <w:vAlign w:val="center"/>
          </w:tcPr>
          <w:p w14:paraId="56EA2738">
            <w:pPr>
              <w:keepNext w:val="0"/>
              <w:keepLines w:val="0"/>
              <w:pageBreakBefore w:val="0"/>
              <w:kinsoku/>
              <w:wordWrap/>
              <w:overflowPunct/>
              <w:topLinePunct w:val="0"/>
              <w:autoSpaceDE/>
              <w:autoSpaceDN/>
              <w:bidi w:val="0"/>
              <w:spacing w:line="560" w:lineRule="exact"/>
              <w:jc w:val="center"/>
              <w:rPr>
                <w:rFonts w:ascii="宋体" w:hAnsi="宋体" w:cs="宋体"/>
                <w:color w:val="000000"/>
                <w:kern w:val="0"/>
                <w:sz w:val="22"/>
                <w:szCs w:val="22"/>
                <w:highlight w:val="none"/>
              </w:rPr>
            </w:pPr>
          </w:p>
        </w:tc>
        <w:tc>
          <w:tcPr>
            <w:tcW w:w="767" w:type="dxa"/>
            <w:vMerge w:val="continue"/>
            <w:shd w:val="clear" w:color="auto" w:fill="FFFFFF"/>
            <w:vAlign w:val="center"/>
          </w:tcPr>
          <w:p w14:paraId="66ABA53E">
            <w:pPr>
              <w:keepNext w:val="0"/>
              <w:keepLines w:val="0"/>
              <w:pageBreakBefore w:val="0"/>
              <w:kinsoku/>
              <w:wordWrap/>
              <w:overflowPunct/>
              <w:topLinePunct w:val="0"/>
              <w:autoSpaceDE/>
              <w:autoSpaceDN/>
              <w:bidi w:val="0"/>
              <w:spacing w:line="560" w:lineRule="exact"/>
              <w:jc w:val="center"/>
              <w:rPr>
                <w:rFonts w:ascii="宋体" w:hAnsi="宋体" w:cs="宋体"/>
                <w:color w:val="000000"/>
                <w:kern w:val="0"/>
                <w:sz w:val="22"/>
                <w:szCs w:val="22"/>
                <w:highlight w:val="none"/>
              </w:rPr>
            </w:pPr>
          </w:p>
        </w:tc>
        <w:tc>
          <w:tcPr>
            <w:tcW w:w="873" w:type="dxa"/>
            <w:shd w:val="clear" w:color="auto" w:fill="FFFFFF"/>
            <w:vAlign w:val="center"/>
          </w:tcPr>
          <w:p w14:paraId="1758B6E4">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预算执行率</w:t>
            </w:r>
          </w:p>
        </w:tc>
        <w:tc>
          <w:tcPr>
            <w:tcW w:w="2353" w:type="dxa"/>
            <w:shd w:val="clear" w:color="auto" w:fill="FFFFFF"/>
            <w:vAlign w:val="center"/>
          </w:tcPr>
          <w:p w14:paraId="70AC9DE6">
            <w:pPr>
              <w:keepNext w:val="0"/>
              <w:keepLines w:val="0"/>
              <w:pageBreakBefore w:val="0"/>
              <w:widowControl/>
              <w:kinsoku/>
              <w:wordWrap/>
              <w:overflowPunct/>
              <w:topLinePunct w:val="0"/>
              <w:autoSpaceDE/>
              <w:autoSpaceDN/>
              <w:bidi w:val="0"/>
              <w:spacing w:line="560" w:lineRule="exac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项目预算资金是否按照计划执行，用以反映或考核项目预算执行情况。</w:t>
            </w:r>
          </w:p>
        </w:tc>
        <w:tc>
          <w:tcPr>
            <w:tcW w:w="5188" w:type="dxa"/>
            <w:shd w:val="clear" w:color="auto" w:fill="FFFFFF"/>
            <w:vAlign w:val="center"/>
          </w:tcPr>
          <w:p w14:paraId="2EA9A33F">
            <w:pPr>
              <w:keepNext w:val="0"/>
              <w:keepLines w:val="0"/>
              <w:pageBreakBefore w:val="0"/>
              <w:widowControl/>
              <w:kinsoku/>
              <w:wordWrap/>
              <w:overflowPunct/>
              <w:topLinePunct w:val="0"/>
              <w:autoSpaceDE/>
              <w:autoSpaceDN/>
              <w:bidi w:val="0"/>
              <w:spacing w:line="560" w:lineRule="exac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预算执行率=（实际支出资金/实际到位资金）×100%。</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实际支出资金：一定时期（本年度或项目期）内项目实际拨付的资金。</w:t>
            </w:r>
          </w:p>
        </w:tc>
        <w:tc>
          <w:tcPr>
            <w:tcW w:w="1300" w:type="dxa"/>
            <w:shd w:val="clear" w:color="auto" w:fill="FFFFFF"/>
            <w:vAlign w:val="center"/>
          </w:tcPr>
          <w:p w14:paraId="10FB698F">
            <w:pPr>
              <w:keepNext w:val="0"/>
              <w:keepLines w:val="0"/>
              <w:pageBreakBefore w:val="0"/>
              <w:widowControl/>
              <w:kinsoku/>
              <w:wordWrap/>
              <w:overflowPunct/>
              <w:topLinePunct w:val="0"/>
              <w:autoSpaceDE/>
              <w:autoSpaceDN/>
              <w:bidi w:val="0"/>
              <w:spacing w:line="560" w:lineRule="exac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363" w:type="dxa"/>
            <w:shd w:val="clear" w:color="auto" w:fill="FFFFFF"/>
            <w:vAlign w:val="center"/>
          </w:tcPr>
          <w:p w14:paraId="3BCD20D9">
            <w:pPr>
              <w:keepNext w:val="0"/>
              <w:keepLines w:val="0"/>
              <w:pageBreakBefore w:val="0"/>
              <w:widowControl/>
              <w:kinsoku/>
              <w:wordWrap/>
              <w:overflowPunct/>
              <w:topLinePunct w:val="0"/>
              <w:autoSpaceDE/>
              <w:autoSpaceDN/>
              <w:bidi w:val="0"/>
              <w:spacing w:line="560" w:lineRule="exac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r>
      <w:tr w14:paraId="25A1C3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restart"/>
            <w:shd w:val="clear" w:color="auto" w:fill="FFFFFF"/>
            <w:vAlign w:val="center"/>
          </w:tcPr>
          <w:p w14:paraId="3CB2BFFA">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p w14:paraId="27D076B8">
            <w:pPr>
              <w:keepNext w:val="0"/>
              <w:keepLines w:val="0"/>
              <w:pageBreakBefore w:val="0"/>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过程　</w:t>
            </w:r>
          </w:p>
        </w:tc>
        <w:tc>
          <w:tcPr>
            <w:tcW w:w="767" w:type="dxa"/>
            <w:shd w:val="clear" w:color="auto" w:fill="FFFFFF"/>
            <w:vAlign w:val="center"/>
          </w:tcPr>
          <w:p w14:paraId="7F19A7CC">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资金管理</w:t>
            </w:r>
          </w:p>
        </w:tc>
        <w:tc>
          <w:tcPr>
            <w:tcW w:w="873" w:type="dxa"/>
            <w:shd w:val="clear" w:color="auto" w:fill="FFFFFF"/>
            <w:vAlign w:val="center"/>
          </w:tcPr>
          <w:p w14:paraId="2D8EEBCB">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资金使用</w:t>
            </w:r>
          </w:p>
          <w:p w14:paraId="59258056">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合规性</w:t>
            </w:r>
          </w:p>
        </w:tc>
        <w:tc>
          <w:tcPr>
            <w:tcW w:w="2353" w:type="dxa"/>
            <w:shd w:val="clear" w:color="000000" w:fill="FFFFFF"/>
            <w:vAlign w:val="center"/>
          </w:tcPr>
          <w:p w14:paraId="1FF64E2F">
            <w:pPr>
              <w:keepNext w:val="0"/>
              <w:keepLines w:val="0"/>
              <w:pageBreakBefore w:val="0"/>
              <w:widowControl/>
              <w:kinsoku/>
              <w:wordWrap/>
              <w:overflowPunct/>
              <w:topLinePunct w:val="0"/>
              <w:autoSpaceDE/>
              <w:autoSpaceDN/>
              <w:bidi w:val="0"/>
              <w:spacing w:line="560" w:lineRule="exac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项目资金使用是否符合相关的财务管理制度规定，用以反映和考核项目资金的规范运行情况。</w:t>
            </w:r>
          </w:p>
        </w:tc>
        <w:tc>
          <w:tcPr>
            <w:tcW w:w="5188" w:type="dxa"/>
            <w:shd w:val="clear" w:color="000000" w:fill="FFFFFF"/>
            <w:vAlign w:val="center"/>
          </w:tcPr>
          <w:p w14:paraId="08289361">
            <w:pPr>
              <w:keepNext w:val="0"/>
              <w:keepLines w:val="0"/>
              <w:pageBreakBefore w:val="0"/>
              <w:widowControl/>
              <w:kinsoku/>
              <w:wordWrap/>
              <w:overflowPunct/>
              <w:topLinePunct w:val="0"/>
              <w:autoSpaceDE/>
              <w:autoSpaceDN/>
              <w:bidi w:val="0"/>
              <w:spacing w:line="560" w:lineRule="exac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评价要点：</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①是否符合国家财经法规和财务管理制度以及有关专项资金管理办法的规定；</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②资金的拨付是否有完整的审批程序和手续；</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③是否符合项目预算批复或合同规定的用途；</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④是否存在截留、挤占、挪用、虚列支出等情况。</w:t>
            </w:r>
          </w:p>
        </w:tc>
        <w:tc>
          <w:tcPr>
            <w:tcW w:w="1300" w:type="dxa"/>
            <w:shd w:val="clear" w:color="000000" w:fill="FFFFFF"/>
            <w:vAlign w:val="center"/>
          </w:tcPr>
          <w:p w14:paraId="29DDF245">
            <w:pPr>
              <w:keepNext w:val="0"/>
              <w:keepLines w:val="0"/>
              <w:pageBreakBefore w:val="0"/>
              <w:widowControl/>
              <w:kinsoku/>
              <w:wordWrap/>
              <w:overflowPunct/>
              <w:topLinePunct w:val="0"/>
              <w:autoSpaceDE/>
              <w:autoSpaceDN/>
              <w:bidi w:val="0"/>
              <w:spacing w:line="560" w:lineRule="exac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363" w:type="dxa"/>
            <w:shd w:val="clear" w:color="000000" w:fill="FFFFFF"/>
            <w:vAlign w:val="center"/>
          </w:tcPr>
          <w:p w14:paraId="164E57F5">
            <w:pPr>
              <w:keepNext w:val="0"/>
              <w:keepLines w:val="0"/>
              <w:pageBreakBefore w:val="0"/>
              <w:widowControl/>
              <w:kinsoku/>
              <w:wordWrap/>
              <w:overflowPunct/>
              <w:topLinePunct w:val="0"/>
              <w:autoSpaceDE/>
              <w:autoSpaceDN/>
              <w:bidi w:val="0"/>
              <w:spacing w:line="560" w:lineRule="exac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r>
      <w:tr w14:paraId="5A8AFB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39" w:type="dxa"/>
            <w:vMerge w:val="continue"/>
            <w:shd w:val="clear" w:color="auto" w:fill="FFFFFF"/>
            <w:vAlign w:val="center"/>
          </w:tcPr>
          <w:p w14:paraId="35CCEEAC">
            <w:pPr>
              <w:keepNext w:val="0"/>
              <w:keepLines w:val="0"/>
              <w:pageBreakBefore w:val="0"/>
              <w:kinsoku/>
              <w:wordWrap/>
              <w:overflowPunct/>
              <w:topLinePunct w:val="0"/>
              <w:autoSpaceDE/>
              <w:autoSpaceDN/>
              <w:bidi w:val="0"/>
              <w:spacing w:line="560" w:lineRule="exact"/>
              <w:jc w:val="center"/>
              <w:rPr>
                <w:rFonts w:ascii="宋体" w:hAnsi="宋体" w:cs="宋体"/>
                <w:color w:val="000000"/>
                <w:kern w:val="0"/>
                <w:sz w:val="22"/>
                <w:szCs w:val="22"/>
                <w:highlight w:val="none"/>
              </w:rPr>
            </w:pPr>
          </w:p>
        </w:tc>
        <w:tc>
          <w:tcPr>
            <w:tcW w:w="767" w:type="dxa"/>
            <w:vMerge w:val="restart"/>
            <w:shd w:val="clear" w:color="auto" w:fill="FFFFFF"/>
            <w:vAlign w:val="center"/>
          </w:tcPr>
          <w:p w14:paraId="092CED99">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组织实施</w:t>
            </w:r>
          </w:p>
          <w:p w14:paraId="7F368D94">
            <w:pPr>
              <w:keepNext w:val="0"/>
              <w:keepLines w:val="0"/>
              <w:pageBreakBefore w:val="0"/>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873" w:type="dxa"/>
            <w:shd w:val="clear" w:color="auto" w:fill="FFFFFF"/>
            <w:vAlign w:val="center"/>
          </w:tcPr>
          <w:p w14:paraId="2575AEA6">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管理制度</w:t>
            </w:r>
          </w:p>
          <w:p w14:paraId="7ED41DD9">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健全性</w:t>
            </w:r>
          </w:p>
        </w:tc>
        <w:tc>
          <w:tcPr>
            <w:tcW w:w="2353" w:type="dxa"/>
            <w:shd w:val="clear" w:color="000000" w:fill="FFFFFF"/>
            <w:vAlign w:val="center"/>
          </w:tcPr>
          <w:p w14:paraId="55127D1A">
            <w:pPr>
              <w:keepNext w:val="0"/>
              <w:keepLines w:val="0"/>
              <w:pageBreakBefore w:val="0"/>
              <w:widowControl/>
              <w:kinsoku/>
              <w:wordWrap/>
              <w:overflowPunct/>
              <w:topLinePunct w:val="0"/>
              <w:autoSpaceDE/>
              <w:autoSpaceDN/>
              <w:bidi w:val="0"/>
              <w:spacing w:line="560" w:lineRule="exac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项目实施单位的财务和业务管理制度是否健全，用以反映和考核财务和业务管理制度对项目顺利实施的保障情况。</w:t>
            </w:r>
          </w:p>
        </w:tc>
        <w:tc>
          <w:tcPr>
            <w:tcW w:w="5188" w:type="dxa"/>
            <w:shd w:val="clear" w:color="000000" w:fill="FFFFFF"/>
            <w:vAlign w:val="center"/>
          </w:tcPr>
          <w:p w14:paraId="3B06FD0C">
            <w:pPr>
              <w:keepNext w:val="0"/>
              <w:keepLines w:val="0"/>
              <w:pageBreakBefore w:val="0"/>
              <w:widowControl/>
              <w:kinsoku/>
              <w:wordWrap/>
              <w:overflowPunct/>
              <w:topLinePunct w:val="0"/>
              <w:autoSpaceDE/>
              <w:autoSpaceDN/>
              <w:bidi w:val="0"/>
              <w:spacing w:line="560" w:lineRule="exac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评价要点：</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①是否已制定或具有相应的财务和业务管理制度；</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②财务和业务管理制度是否合法、合规、完整。</w:t>
            </w:r>
          </w:p>
        </w:tc>
        <w:tc>
          <w:tcPr>
            <w:tcW w:w="1300" w:type="dxa"/>
            <w:shd w:val="clear" w:color="000000" w:fill="FFFFFF"/>
            <w:vAlign w:val="center"/>
          </w:tcPr>
          <w:p w14:paraId="30410B08">
            <w:pPr>
              <w:keepNext w:val="0"/>
              <w:keepLines w:val="0"/>
              <w:pageBreakBefore w:val="0"/>
              <w:widowControl/>
              <w:kinsoku/>
              <w:wordWrap/>
              <w:overflowPunct/>
              <w:topLinePunct w:val="0"/>
              <w:autoSpaceDE/>
              <w:autoSpaceDN/>
              <w:bidi w:val="0"/>
              <w:spacing w:line="560" w:lineRule="exac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363" w:type="dxa"/>
            <w:shd w:val="clear" w:color="000000" w:fill="FFFFFF"/>
            <w:vAlign w:val="center"/>
          </w:tcPr>
          <w:p w14:paraId="4FC1CCF3">
            <w:pPr>
              <w:keepNext w:val="0"/>
              <w:keepLines w:val="0"/>
              <w:pageBreakBefore w:val="0"/>
              <w:widowControl/>
              <w:kinsoku/>
              <w:wordWrap/>
              <w:overflowPunct/>
              <w:topLinePunct w:val="0"/>
              <w:autoSpaceDE/>
              <w:autoSpaceDN/>
              <w:bidi w:val="0"/>
              <w:spacing w:line="560" w:lineRule="exac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r>
      <w:tr w14:paraId="05C912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39" w:type="dxa"/>
            <w:vMerge w:val="continue"/>
            <w:shd w:val="clear" w:color="auto" w:fill="FFFFFF"/>
            <w:vAlign w:val="center"/>
          </w:tcPr>
          <w:p w14:paraId="3BF21670">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p>
        </w:tc>
        <w:tc>
          <w:tcPr>
            <w:tcW w:w="767" w:type="dxa"/>
            <w:vMerge w:val="continue"/>
            <w:shd w:val="clear" w:color="auto" w:fill="FFFFFF"/>
            <w:vAlign w:val="center"/>
          </w:tcPr>
          <w:p w14:paraId="708CBBB8">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p>
        </w:tc>
        <w:tc>
          <w:tcPr>
            <w:tcW w:w="873" w:type="dxa"/>
            <w:shd w:val="clear" w:color="auto" w:fill="FFFFFF"/>
            <w:vAlign w:val="center"/>
          </w:tcPr>
          <w:p w14:paraId="1600FCAD">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制度执行</w:t>
            </w:r>
          </w:p>
          <w:p w14:paraId="51E711AC">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有效性</w:t>
            </w:r>
          </w:p>
        </w:tc>
        <w:tc>
          <w:tcPr>
            <w:tcW w:w="2353" w:type="dxa"/>
            <w:shd w:val="clear" w:color="000000" w:fill="FFFFFF"/>
            <w:vAlign w:val="center"/>
          </w:tcPr>
          <w:p w14:paraId="77E15DE3">
            <w:pPr>
              <w:keepNext w:val="0"/>
              <w:keepLines w:val="0"/>
              <w:pageBreakBefore w:val="0"/>
              <w:widowControl/>
              <w:kinsoku/>
              <w:wordWrap/>
              <w:overflowPunct/>
              <w:topLinePunct w:val="0"/>
              <w:autoSpaceDE/>
              <w:autoSpaceDN/>
              <w:bidi w:val="0"/>
              <w:spacing w:line="560" w:lineRule="exac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项目实施是否符合相关管理规定，用以反映和考核相关管理制度的有效执行情况。</w:t>
            </w:r>
          </w:p>
        </w:tc>
        <w:tc>
          <w:tcPr>
            <w:tcW w:w="5188" w:type="dxa"/>
            <w:shd w:val="clear" w:color="000000" w:fill="FFFFFF"/>
            <w:vAlign w:val="center"/>
          </w:tcPr>
          <w:p w14:paraId="714340CC">
            <w:pPr>
              <w:keepNext w:val="0"/>
              <w:keepLines w:val="0"/>
              <w:pageBreakBefore w:val="0"/>
              <w:widowControl/>
              <w:kinsoku/>
              <w:wordWrap/>
              <w:overflowPunct/>
              <w:topLinePunct w:val="0"/>
              <w:autoSpaceDE/>
              <w:autoSpaceDN/>
              <w:bidi w:val="0"/>
              <w:spacing w:line="560" w:lineRule="exac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评价要点：</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①是否遵守相关法律法规和相关管理规定；</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②项目调整及支出调整手续是否完备；</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③项目合同书、验收报告、技术鉴定等资料是否齐全并及时归档；</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④项目实施的人员条件、场地设备、信息支撑等是否落实到位。</w:t>
            </w:r>
          </w:p>
        </w:tc>
        <w:tc>
          <w:tcPr>
            <w:tcW w:w="1300" w:type="dxa"/>
            <w:shd w:val="clear" w:color="000000" w:fill="FFFFFF"/>
            <w:vAlign w:val="center"/>
          </w:tcPr>
          <w:p w14:paraId="3487E623">
            <w:pPr>
              <w:keepNext w:val="0"/>
              <w:keepLines w:val="0"/>
              <w:pageBreakBefore w:val="0"/>
              <w:widowControl/>
              <w:kinsoku/>
              <w:wordWrap/>
              <w:overflowPunct/>
              <w:topLinePunct w:val="0"/>
              <w:autoSpaceDE/>
              <w:autoSpaceDN/>
              <w:bidi w:val="0"/>
              <w:spacing w:line="560" w:lineRule="exac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363" w:type="dxa"/>
            <w:shd w:val="clear" w:color="000000" w:fill="FFFFFF"/>
            <w:vAlign w:val="center"/>
          </w:tcPr>
          <w:p w14:paraId="00238E74">
            <w:pPr>
              <w:keepNext w:val="0"/>
              <w:keepLines w:val="0"/>
              <w:pageBreakBefore w:val="0"/>
              <w:widowControl/>
              <w:kinsoku/>
              <w:wordWrap/>
              <w:overflowPunct/>
              <w:topLinePunct w:val="0"/>
              <w:autoSpaceDE/>
              <w:autoSpaceDN/>
              <w:bidi w:val="0"/>
              <w:spacing w:line="560" w:lineRule="exac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r>
      <w:tr w14:paraId="312AB3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39" w:type="dxa"/>
            <w:shd w:val="clear" w:color="auto" w:fill="FFFFFF"/>
            <w:vAlign w:val="center"/>
          </w:tcPr>
          <w:p w14:paraId="740D8130">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产出</w:t>
            </w:r>
          </w:p>
        </w:tc>
        <w:tc>
          <w:tcPr>
            <w:tcW w:w="767" w:type="dxa"/>
            <w:shd w:val="clear" w:color="auto" w:fill="FFFFFF"/>
            <w:vAlign w:val="center"/>
          </w:tcPr>
          <w:p w14:paraId="74C93A0B">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产出数量</w:t>
            </w:r>
          </w:p>
        </w:tc>
        <w:tc>
          <w:tcPr>
            <w:tcW w:w="873" w:type="dxa"/>
            <w:shd w:val="clear" w:color="auto" w:fill="FFFFFF"/>
            <w:vAlign w:val="center"/>
          </w:tcPr>
          <w:p w14:paraId="2CCAEE24">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实际完成率</w:t>
            </w:r>
          </w:p>
        </w:tc>
        <w:tc>
          <w:tcPr>
            <w:tcW w:w="2353" w:type="dxa"/>
            <w:shd w:val="clear" w:color="000000" w:fill="FFFFFF"/>
            <w:vAlign w:val="center"/>
          </w:tcPr>
          <w:p w14:paraId="6A6A6CE8">
            <w:pPr>
              <w:keepNext w:val="0"/>
              <w:keepLines w:val="0"/>
              <w:pageBreakBefore w:val="0"/>
              <w:widowControl/>
              <w:kinsoku/>
              <w:wordWrap/>
              <w:overflowPunct/>
              <w:topLinePunct w:val="0"/>
              <w:autoSpaceDE/>
              <w:autoSpaceDN/>
              <w:bidi w:val="0"/>
              <w:spacing w:line="560" w:lineRule="exac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项目实施的实际产出数与计划产出数的比率，用以反映和考核项目产出数量目标的实现程度。</w:t>
            </w:r>
          </w:p>
        </w:tc>
        <w:tc>
          <w:tcPr>
            <w:tcW w:w="5188" w:type="dxa"/>
            <w:shd w:val="clear" w:color="000000" w:fill="FFFFFF"/>
            <w:vAlign w:val="center"/>
          </w:tcPr>
          <w:p w14:paraId="35ACD7FC">
            <w:pPr>
              <w:keepNext w:val="0"/>
              <w:keepLines w:val="0"/>
              <w:pageBreakBefore w:val="0"/>
              <w:widowControl/>
              <w:kinsoku/>
              <w:wordWrap/>
              <w:overflowPunct/>
              <w:topLinePunct w:val="0"/>
              <w:autoSpaceDE/>
              <w:autoSpaceDN/>
              <w:bidi w:val="0"/>
              <w:spacing w:line="560" w:lineRule="exac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实际完成率=（实际产出数/计划产出数）×100%。</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实际产出数：一定时期（本年度或项目期）内项目实际产出的产品或提供的服务数量。</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计划产出数：项目绩效目标确定的在一定时期（本年度或项目期）内计划产出的产品或提供的服务数量。</w:t>
            </w:r>
          </w:p>
        </w:tc>
        <w:tc>
          <w:tcPr>
            <w:tcW w:w="1300" w:type="dxa"/>
            <w:shd w:val="clear" w:color="000000" w:fill="FFFFFF"/>
            <w:vAlign w:val="center"/>
          </w:tcPr>
          <w:p w14:paraId="2F187C90">
            <w:pPr>
              <w:keepNext w:val="0"/>
              <w:keepLines w:val="0"/>
              <w:pageBreakBefore w:val="0"/>
              <w:widowControl/>
              <w:kinsoku/>
              <w:wordWrap/>
              <w:overflowPunct/>
              <w:topLinePunct w:val="0"/>
              <w:autoSpaceDE/>
              <w:autoSpaceDN/>
              <w:bidi w:val="0"/>
              <w:spacing w:line="560" w:lineRule="exac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15</w:t>
            </w:r>
          </w:p>
        </w:tc>
        <w:tc>
          <w:tcPr>
            <w:tcW w:w="1363" w:type="dxa"/>
            <w:shd w:val="clear" w:color="000000" w:fill="FFFFFF"/>
            <w:vAlign w:val="center"/>
          </w:tcPr>
          <w:p w14:paraId="626ED92D">
            <w:pPr>
              <w:keepNext w:val="0"/>
              <w:keepLines w:val="0"/>
              <w:pageBreakBefore w:val="0"/>
              <w:widowControl/>
              <w:kinsoku/>
              <w:wordWrap/>
              <w:overflowPunct/>
              <w:topLinePunct w:val="0"/>
              <w:autoSpaceDE/>
              <w:autoSpaceDN/>
              <w:bidi w:val="0"/>
              <w:spacing w:line="560" w:lineRule="exac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15</w:t>
            </w:r>
          </w:p>
        </w:tc>
      </w:tr>
      <w:tr w14:paraId="2DE174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22" w:hRule="atLeast"/>
          <w:jc w:val="center"/>
        </w:trPr>
        <w:tc>
          <w:tcPr>
            <w:tcW w:w="839" w:type="dxa"/>
            <w:vMerge w:val="restart"/>
            <w:shd w:val="clear" w:color="auto" w:fill="FFFFFF"/>
            <w:vAlign w:val="center"/>
          </w:tcPr>
          <w:p w14:paraId="303BD545">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产出</w:t>
            </w:r>
          </w:p>
        </w:tc>
        <w:tc>
          <w:tcPr>
            <w:tcW w:w="767" w:type="dxa"/>
            <w:shd w:val="clear" w:color="auto" w:fill="FFFFFF"/>
            <w:vAlign w:val="center"/>
          </w:tcPr>
          <w:p w14:paraId="2990065A">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产出质量</w:t>
            </w:r>
          </w:p>
        </w:tc>
        <w:tc>
          <w:tcPr>
            <w:tcW w:w="873" w:type="dxa"/>
            <w:shd w:val="clear" w:color="auto" w:fill="FFFFFF"/>
            <w:vAlign w:val="center"/>
          </w:tcPr>
          <w:p w14:paraId="75B02E59">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质量达标率</w:t>
            </w:r>
          </w:p>
        </w:tc>
        <w:tc>
          <w:tcPr>
            <w:tcW w:w="2353" w:type="dxa"/>
            <w:shd w:val="clear" w:color="000000" w:fill="FFFFFF"/>
            <w:vAlign w:val="center"/>
          </w:tcPr>
          <w:p w14:paraId="7BE8E939">
            <w:pPr>
              <w:keepNext w:val="0"/>
              <w:keepLines w:val="0"/>
              <w:pageBreakBefore w:val="0"/>
              <w:widowControl/>
              <w:kinsoku/>
              <w:wordWrap/>
              <w:overflowPunct/>
              <w:topLinePunct w:val="0"/>
              <w:autoSpaceDE/>
              <w:autoSpaceDN/>
              <w:bidi w:val="0"/>
              <w:spacing w:line="560" w:lineRule="exac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项目完成的质量达标产出数与实际产出数的比率，用以反映和考核项目产出质量目标的实现程度。</w:t>
            </w:r>
          </w:p>
        </w:tc>
        <w:tc>
          <w:tcPr>
            <w:tcW w:w="5188" w:type="dxa"/>
            <w:shd w:val="clear" w:color="000000" w:fill="FFFFFF"/>
            <w:vAlign w:val="center"/>
          </w:tcPr>
          <w:p w14:paraId="693B7C76">
            <w:pPr>
              <w:keepNext w:val="0"/>
              <w:keepLines w:val="0"/>
              <w:pageBreakBefore w:val="0"/>
              <w:widowControl/>
              <w:kinsoku/>
              <w:wordWrap/>
              <w:overflowPunct/>
              <w:topLinePunct w:val="0"/>
              <w:autoSpaceDE/>
              <w:autoSpaceDN/>
              <w:bidi w:val="0"/>
              <w:spacing w:line="560" w:lineRule="exac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质量达标率=（质量达标产出数/实际产出数）×100%。</w:t>
            </w:r>
          </w:p>
          <w:p w14:paraId="33F07F96">
            <w:pPr>
              <w:keepNext w:val="0"/>
              <w:keepLines w:val="0"/>
              <w:pageBreakBefore w:val="0"/>
              <w:widowControl/>
              <w:kinsoku/>
              <w:wordWrap/>
              <w:overflowPunct/>
              <w:topLinePunct w:val="0"/>
              <w:autoSpaceDE/>
              <w:autoSpaceDN/>
              <w:bidi w:val="0"/>
              <w:spacing w:line="560" w:lineRule="exac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14:paraId="431B1954">
            <w:pPr>
              <w:keepNext w:val="0"/>
              <w:keepLines w:val="0"/>
              <w:pageBreakBefore w:val="0"/>
              <w:widowControl/>
              <w:kinsoku/>
              <w:wordWrap/>
              <w:overflowPunct/>
              <w:topLinePunct w:val="0"/>
              <w:autoSpaceDE/>
              <w:autoSpaceDN/>
              <w:bidi w:val="0"/>
              <w:spacing w:line="560" w:lineRule="exac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w:t>
            </w:r>
          </w:p>
        </w:tc>
        <w:tc>
          <w:tcPr>
            <w:tcW w:w="1363" w:type="dxa"/>
            <w:shd w:val="clear" w:color="000000" w:fill="FFFFFF"/>
            <w:vAlign w:val="center"/>
          </w:tcPr>
          <w:p w14:paraId="2C83DD54">
            <w:pPr>
              <w:keepNext w:val="0"/>
              <w:keepLines w:val="0"/>
              <w:pageBreakBefore w:val="0"/>
              <w:widowControl/>
              <w:kinsoku/>
              <w:wordWrap/>
              <w:overflowPunct/>
              <w:topLinePunct w:val="0"/>
              <w:autoSpaceDE/>
              <w:autoSpaceDN/>
              <w:bidi w:val="0"/>
              <w:spacing w:line="560" w:lineRule="exac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9</w:t>
            </w:r>
          </w:p>
        </w:tc>
      </w:tr>
      <w:tr w14:paraId="344EFB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39" w:type="dxa"/>
            <w:vMerge w:val="continue"/>
            <w:shd w:val="clear" w:color="auto" w:fill="FFFFFF"/>
            <w:vAlign w:val="center"/>
          </w:tcPr>
          <w:p w14:paraId="47C318AF">
            <w:pPr>
              <w:keepNext w:val="0"/>
              <w:keepLines w:val="0"/>
              <w:pageBreakBefore w:val="0"/>
              <w:kinsoku/>
              <w:wordWrap/>
              <w:overflowPunct/>
              <w:topLinePunct w:val="0"/>
              <w:autoSpaceDE/>
              <w:autoSpaceDN/>
              <w:bidi w:val="0"/>
              <w:spacing w:line="560" w:lineRule="exact"/>
              <w:jc w:val="center"/>
              <w:rPr>
                <w:rFonts w:ascii="宋体" w:hAnsi="宋体" w:cs="宋体"/>
                <w:color w:val="000000"/>
                <w:kern w:val="0"/>
                <w:sz w:val="22"/>
                <w:szCs w:val="22"/>
                <w:highlight w:val="none"/>
              </w:rPr>
            </w:pPr>
          </w:p>
        </w:tc>
        <w:tc>
          <w:tcPr>
            <w:tcW w:w="767" w:type="dxa"/>
            <w:shd w:val="clear" w:color="auto" w:fill="FFFFFF"/>
            <w:vAlign w:val="center"/>
          </w:tcPr>
          <w:p w14:paraId="779F43DD">
            <w:pPr>
              <w:keepNext w:val="0"/>
              <w:keepLines w:val="0"/>
              <w:pageBreakBefore w:val="0"/>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产出时效</w:t>
            </w:r>
          </w:p>
        </w:tc>
        <w:tc>
          <w:tcPr>
            <w:tcW w:w="873" w:type="dxa"/>
            <w:shd w:val="clear" w:color="auto" w:fill="FFFFFF"/>
            <w:vAlign w:val="center"/>
          </w:tcPr>
          <w:p w14:paraId="5259EB83">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完成及时性</w:t>
            </w:r>
          </w:p>
        </w:tc>
        <w:tc>
          <w:tcPr>
            <w:tcW w:w="2353" w:type="dxa"/>
            <w:shd w:val="clear" w:color="000000" w:fill="FFFFFF"/>
            <w:vAlign w:val="center"/>
          </w:tcPr>
          <w:p w14:paraId="73B1FCF7">
            <w:pPr>
              <w:keepNext w:val="0"/>
              <w:keepLines w:val="0"/>
              <w:pageBreakBefore w:val="0"/>
              <w:widowControl/>
              <w:kinsoku/>
              <w:wordWrap/>
              <w:overflowPunct/>
              <w:topLinePunct w:val="0"/>
              <w:autoSpaceDE/>
              <w:autoSpaceDN/>
              <w:bidi w:val="0"/>
              <w:spacing w:line="560" w:lineRule="exac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项目实际完成时间与计划完成时间的比较，用以反映和考核项目产出时效目标的实现程度。</w:t>
            </w:r>
          </w:p>
        </w:tc>
        <w:tc>
          <w:tcPr>
            <w:tcW w:w="5188" w:type="dxa"/>
            <w:shd w:val="clear" w:color="000000" w:fill="FFFFFF"/>
            <w:vAlign w:val="center"/>
          </w:tcPr>
          <w:p w14:paraId="7F9B5696">
            <w:pPr>
              <w:keepNext w:val="0"/>
              <w:keepLines w:val="0"/>
              <w:pageBreakBefore w:val="0"/>
              <w:widowControl/>
              <w:kinsoku/>
              <w:wordWrap/>
              <w:overflowPunct/>
              <w:topLinePunct w:val="0"/>
              <w:autoSpaceDE/>
              <w:autoSpaceDN/>
              <w:bidi w:val="0"/>
              <w:spacing w:line="560" w:lineRule="exac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实际完成时间：项目实施单位完成该项目实际所耗用的时间。</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计划完成时间：按照项目实施计划或相关规定完成该项目所需的时间。</w:t>
            </w:r>
          </w:p>
        </w:tc>
        <w:tc>
          <w:tcPr>
            <w:tcW w:w="1300" w:type="dxa"/>
            <w:shd w:val="clear" w:color="000000" w:fill="FFFFFF"/>
            <w:vAlign w:val="center"/>
          </w:tcPr>
          <w:p w14:paraId="64F76716">
            <w:pPr>
              <w:keepNext w:val="0"/>
              <w:keepLines w:val="0"/>
              <w:pageBreakBefore w:val="0"/>
              <w:widowControl/>
              <w:kinsoku/>
              <w:wordWrap/>
              <w:overflowPunct/>
              <w:topLinePunct w:val="0"/>
              <w:autoSpaceDE/>
              <w:autoSpaceDN/>
              <w:bidi w:val="0"/>
              <w:spacing w:line="560" w:lineRule="exac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15</w:t>
            </w:r>
          </w:p>
        </w:tc>
        <w:tc>
          <w:tcPr>
            <w:tcW w:w="1363" w:type="dxa"/>
            <w:shd w:val="clear" w:color="000000" w:fill="FFFFFF"/>
            <w:vAlign w:val="center"/>
          </w:tcPr>
          <w:p w14:paraId="55DB7269">
            <w:pPr>
              <w:keepNext w:val="0"/>
              <w:keepLines w:val="0"/>
              <w:pageBreakBefore w:val="0"/>
              <w:widowControl/>
              <w:kinsoku/>
              <w:wordWrap/>
              <w:overflowPunct/>
              <w:topLinePunct w:val="0"/>
              <w:autoSpaceDE/>
              <w:autoSpaceDN/>
              <w:bidi w:val="0"/>
              <w:spacing w:line="560" w:lineRule="exac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15</w:t>
            </w:r>
          </w:p>
        </w:tc>
      </w:tr>
      <w:tr w14:paraId="50FFCA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continue"/>
            <w:shd w:val="clear" w:color="auto" w:fill="FFFFFF"/>
            <w:vAlign w:val="center"/>
          </w:tcPr>
          <w:p w14:paraId="2E84DD13">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p>
        </w:tc>
        <w:tc>
          <w:tcPr>
            <w:tcW w:w="767" w:type="dxa"/>
            <w:shd w:val="clear" w:color="auto" w:fill="FFFFFF"/>
            <w:vAlign w:val="center"/>
          </w:tcPr>
          <w:p w14:paraId="02AD0901">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产出成本</w:t>
            </w:r>
          </w:p>
        </w:tc>
        <w:tc>
          <w:tcPr>
            <w:tcW w:w="873" w:type="dxa"/>
            <w:shd w:val="clear" w:color="auto" w:fill="FFFFFF"/>
            <w:vAlign w:val="center"/>
          </w:tcPr>
          <w:p w14:paraId="22D97F78">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成本节约率</w:t>
            </w:r>
          </w:p>
        </w:tc>
        <w:tc>
          <w:tcPr>
            <w:tcW w:w="2353" w:type="dxa"/>
            <w:shd w:val="clear" w:color="000000" w:fill="FFFFFF"/>
            <w:vAlign w:val="center"/>
          </w:tcPr>
          <w:p w14:paraId="42F4A575">
            <w:pPr>
              <w:keepNext w:val="0"/>
              <w:keepLines w:val="0"/>
              <w:pageBreakBefore w:val="0"/>
              <w:widowControl/>
              <w:kinsoku/>
              <w:wordWrap/>
              <w:overflowPunct/>
              <w:topLinePunct w:val="0"/>
              <w:autoSpaceDE/>
              <w:autoSpaceDN/>
              <w:bidi w:val="0"/>
              <w:spacing w:line="560" w:lineRule="exac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完成项目计划工作目标的实际节约成本与计划成本的比率，用以反映和考核项目的成本节约程度。</w:t>
            </w:r>
          </w:p>
        </w:tc>
        <w:tc>
          <w:tcPr>
            <w:tcW w:w="5188" w:type="dxa"/>
            <w:shd w:val="clear" w:color="000000" w:fill="FFFFFF"/>
            <w:vAlign w:val="center"/>
          </w:tcPr>
          <w:p w14:paraId="34325B2F">
            <w:pPr>
              <w:keepNext w:val="0"/>
              <w:keepLines w:val="0"/>
              <w:pageBreakBefore w:val="0"/>
              <w:widowControl/>
              <w:kinsoku/>
              <w:wordWrap/>
              <w:overflowPunct/>
              <w:topLinePunct w:val="0"/>
              <w:autoSpaceDE/>
              <w:autoSpaceDN/>
              <w:bidi w:val="0"/>
              <w:spacing w:line="560" w:lineRule="exac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成本节约率=[（计划成本-实际成本）/计划成本]×100%。</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实际成本：项目实施单位如期、保质、保量完成既定工作目标实际所耗费的支出。</w:t>
            </w:r>
            <w:r>
              <w:rPr>
                <w:rFonts w:hint="eastAsia" w:ascii="宋体" w:hAnsi="宋体" w:cs="宋体"/>
                <w:color w:val="000000"/>
                <w:kern w:val="0"/>
                <w:sz w:val="22"/>
                <w:szCs w:val="22"/>
                <w:highlight w:val="none"/>
              </w:rPr>
              <w:br w:type="textWrapping"/>
            </w:r>
            <w:r>
              <w:rPr>
                <w:rFonts w:hint="eastAsia" w:ascii="宋体" w:hAnsi="宋体" w:cs="宋体"/>
                <w:color w:val="000000"/>
                <w:kern w:val="0"/>
                <w:sz w:val="22"/>
                <w:szCs w:val="22"/>
                <w:highlight w:val="none"/>
              </w:rPr>
              <w:t>计划成本：项目实施单位为完成工作目标计划安排的支出，一般以项目预算为参考。</w:t>
            </w:r>
          </w:p>
        </w:tc>
        <w:tc>
          <w:tcPr>
            <w:tcW w:w="1300" w:type="dxa"/>
            <w:shd w:val="clear" w:color="000000" w:fill="FFFFFF"/>
            <w:vAlign w:val="center"/>
          </w:tcPr>
          <w:p w14:paraId="3B1B8FE5">
            <w:pPr>
              <w:keepNext w:val="0"/>
              <w:keepLines w:val="0"/>
              <w:pageBreakBefore w:val="0"/>
              <w:widowControl/>
              <w:kinsoku/>
              <w:wordWrap/>
              <w:overflowPunct/>
              <w:topLinePunct w:val="0"/>
              <w:autoSpaceDE/>
              <w:autoSpaceDN/>
              <w:bidi w:val="0"/>
              <w:spacing w:line="560" w:lineRule="exac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w:t>
            </w:r>
          </w:p>
        </w:tc>
        <w:tc>
          <w:tcPr>
            <w:tcW w:w="1363" w:type="dxa"/>
            <w:shd w:val="clear" w:color="000000" w:fill="FFFFFF"/>
            <w:vAlign w:val="center"/>
          </w:tcPr>
          <w:p w14:paraId="036F3F92">
            <w:pPr>
              <w:keepNext w:val="0"/>
              <w:keepLines w:val="0"/>
              <w:pageBreakBefore w:val="0"/>
              <w:widowControl/>
              <w:kinsoku/>
              <w:wordWrap/>
              <w:overflowPunct/>
              <w:topLinePunct w:val="0"/>
              <w:autoSpaceDE/>
              <w:autoSpaceDN/>
              <w:bidi w:val="0"/>
              <w:spacing w:line="560" w:lineRule="exac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w:t>
            </w:r>
          </w:p>
        </w:tc>
      </w:tr>
      <w:tr w14:paraId="1DCA72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39" w:type="dxa"/>
            <w:vMerge w:val="restart"/>
            <w:shd w:val="clear" w:color="auto" w:fill="FFFFFF"/>
            <w:vAlign w:val="center"/>
          </w:tcPr>
          <w:p w14:paraId="242B5F00">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效益　</w:t>
            </w:r>
          </w:p>
        </w:tc>
        <w:tc>
          <w:tcPr>
            <w:tcW w:w="767" w:type="dxa"/>
            <w:vMerge w:val="restart"/>
            <w:shd w:val="clear" w:color="auto" w:fill="FFFFFF"/>
            <w:vAlign w:val="center"/>
          </w:tcPr>
          <w:p w14:paraId="2EDF183A">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项目效益　</w:t>
            </w:r>
          </w:p>
        </w:tc>
        <w:tc>
          <w:tcPr>
            <w:tcW w:w="873" w:type="dxa"/>
            <w:shd w:val="clear" w:color="auto" w:fill="FFFFFF"/>
            <w:vAlign w:val="center"/>
          </w:tcPr>
          <w:p w14:paraId="1DD2A6FD">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实施效益</w:t>
            </w:r>
          </w:p>
        </w:tc>
        <w:tc>
          <w:tcPr>
            <w:tcW w:w="2353" w:type="dxa"/>
            <w:shd w:val="clear" w:color="auto" w:fill="FFFFFF"/>
            <w:vAlign w:val="center"/>
          </w:tcPr>
          <w:p w14:paraId="6B25A487">
            <w:pPr>
              <w:keepNext w:val="0"/>
              <w:keepLines w:val="0"/>
              <w:pageBreakBefore w:val="0"/>
              <w:widowControl/>
              <w:kinsoku/>
              <w:wordWrap/>
              <w:overflowPunct/>
              <w:topLinePunct w:val="0"/>
              <w:autoSpaceDE/>
              <w:autoSpaceDN/>
              <w:bidi w:val="0"/>
              <w:spacing w:line="560" w:lineRule="exact"/>
              <w:jc w:val="lef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项目实施所产生的效益。</w:t>
            </w:r>
          </w:p>
        </w:tc>
        <w:tc>
          <w:tcPr>
            <w:tcW w:w="5188" w:type="dxa"/>
            <w:shd w:val="clear" w:color="auto" w:fill="FFFFFF"/>
            <w:vAlign w:val="center"/>
          </w:tcPr>
          <w:p w14:paraId="5C980518">
            <w:pPr>
              <w:keepNext w:val="0"/>
              <w:keepLines w:val="0"/>
              <w:pageBreakBefore w:val="0"/>
              <w:widowControl/>
              <w:kinsoku/>
              <w:wordWrap/>
              <w:overflowPunct/>
              <w:topLinePunct w:val="0"/>
              <w:autoSpaceDE/>
              <w:autoSpaceDN/>
              <w:bidi w:val="0"/>
              <w:spacing w:line="560" w:lineRule="exac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项目实施所产生的社会效益、经济效益、生态效益、可持续影响等。可根据项目实际情况有选择地设置和细化。</w:t>
            </w:r>
          </w:p>
        </w:tc>
        <w:tc>
          <w:tcPr>
            <w:tcW w:w="1300" w:type="dxa"/>
            <w:shd w:val="clear" w:color="auto" w:fill="FFFFFF"/>
            <w:vAlign w:val="center"/>
          </w:tcPr>
          <w:p w14:paraId="5F41AB7D">
            <w:pPr>
              <w:keepNext w:val="0"/>
              <w:keepLines w:val="0"/>
              <w:pageBreakBefore w:val="0"/>
              <w:widowControl/>
              <w:kinsoku/>
              <w:wordWrap/>
              <w:overflowPunct/>
              <w:topLinePunct w:val="0"/>
              <w:autoSpaceDE/>
              <w:autoSpaceDN/>
              <w:bidi w:val="0"/>
              <w:spacing w:line="560" w:lineRule="exac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30</w:t>
            </w:r>
          </w:p>
        </w:tc>
        <w:tc>
          <w:tcPr>
            <w:tcW w:w="1363" w:type="dxa"/>
            <w:shd w:val="clear" w:color="auto" w:fill="FFFFFF"/>
            <w:vAlign w:val="center"/>
          </w:tcPr>
          <w:p w14:paraId="631FD2CD">
            <w:pPr>
              <w:keepNext w:val="0"/>
              <w:keepLines w:val="0"/>
              <w:pageBreakBefore w:val="0"/>
              <w:widowControl/>
              <w:kinsoku/>
              <w:wordWrap/>
              <w:overflowPunct/>
              <w:topLinePunct w:val="0"/>
              <w:autoSpaceDE/>
              <w:autoSpaceDN/>
              <w:bidi w:val="0"/>
              <w:spacing w:line="560" w:lineRule="exac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28</w:t>
            </w:r>
          </w:p>
        </w:tc>
      </w:tr>
      <w:tr w14:paraId="32A974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39" w:type="dxa"/>
            <w:vMerge w:val="continue"/>
            <w:shd w:val="clear" w:color="auto" w:fill="FFFFFF"/>
            <w:vAlign w:val="center"/>
          </w:tcPr>
          <w:p w14:paraId="700C73BA">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p>
        </w:tc>
        <w:tc>
          <w:tcPr>
            <w:tcW w:w="767" w:type="dxa"/>
            <w:vMerge w:val="continue"/>
            <w:shd w:val="clear" w:color="auto" w:fill="FFFFFF"/>
            <w:vAlign w:val="center"/>
          </w:tcPr>
          <w:p w14:paraId="3A0C4A89">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p>
        </w:tc>
        <w:tc>
          <w:tcPr>
            <w:tcW w:w="873" w:type="dxa"/>
            <w:shd w:val="clear" w:color="auto" w:fill="FFFFFF"/>
            <w:vAlign w:val="center"/>
          </w:tcPr>
          <w:p w14:paraId="6AFC63D2">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满意度</w:t>
            </w:r>
          </w:p>
        </w:tc>
        <w:tc>
          <w:tcPr>
            <w:tcW w:w="2353" w:type="dxa"/>
            <w:shd w:val="clear" w:color="000000" w:fill="FFFFFF"/>
            <w:vAlign w:val="center"/>
          </w:tcPr>
          <w:p w14:paraId="1D216AEC">
            <w:pPr>
              <w:keepNext w:val="0"/>
              <w:keepLines w:val="0"/>
              <w:pageBreakBefore w:val="0"/>
              <w:widowControl/>
              <w:kinsoku/>
              <w:wordWrap/>
              <w:overflowPunct/>
              <w:topLinePunct w:val="0"/>
              <w:autoSpaceDE/>
              <w:autoSpaceDN/>
              <w:bidi w:val="0"/>
              <w:spacing w:line="560" w:lineRule="exac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社会公众或服务对象对项目实施效果的满意程度。</w:t>
            </w:r>
          </w:p>
        </w:tc>
        <w:tc>
          <w:tcPr>
            <w:tcW w:w="5188" w:type="dxa"/>
            <w:shd w:val="clear" w:color="000000" w:fill="FFFFFF"/>
            <w:vAlign w:val="center"/>
          </w:tcPr>
          <w:p w14:paraId="09FB0766">
            <w:pPr>
              <w:keepNext w:val="0"/>
              <w:keepLines w:val="0"/>
              <w:pageBreakBefore w:val="0"/>
              <w:widowControl/>
              <w:kinsoku/>
              <w:wordWrap/>
              <w:overflowPunct/>
              <w:topLinePunct w:val="0"/>
              <w:autoSpaceDE/>
              <w:autoSpaceDN/>
              <w:bidi w:val="0"/>
              <w:spacing w:line="560" w:lineRule="exac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社会公众或服务对象是指因该项目实施而受到影响的部门（单位）、群体或个人。一般采取社会调查的方式。</w:t>
            </w:r>
          </w:p>
        </w:tc>
        <w:tc>
          <w:tcPr>
            <w:tcW w:w="1300" w:type="dxa"/>
            <w:shd w:val="clear" w:color="000000" w:fill="FFFFFF"/>
            <w:vAlign w:val="center"/>
          </w:tcPr>
          <w:p w14:paraId="3E63EEA6">
            <w:pPr>
              <w:keepNext w:val="0"/>
              <w:keepLines w:val="0"/>
              <w:pageBreakBefore w:val="0"/>
              <w:widowControl/>
              <w:kinsoku/>
              <w:wordWrap/>
              <w:overflowPunct/>
              <w:topLinePunct w:val="0"/>
              <w:autoSpaceDE/>
              <w:autoSpaceDN/>
              <w:bidi w:val="0"/>
              <w:spacing w:line="560" w:lineRule="exac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w:t>
            </w:r>
          </w:p>
        </w:tc>
        <w:tc>
          <w:tcPr>
            <w:tcW w:w="1363" w:type="dxa"/>
            <w:shd w:val="clear" w:color="000000" w:fill="FFFFFF"/>
            <w:vAlign w:val="center"/>
          </w:tcPr>
          <w:p w14:paraId="0DAECE4F">
            <w:pPr>
              <w:keepNext w:val="0"/>
              <w:keepLines w:val="0"/>
              <w:pageBreakBefore w:val="0"/>
              <w:widowControl/>
              <w:kinsoku/>
              <w:wordWrap/>
              <w:overflowPunct/>
              <w:topLinePunct w:val="0"/>
              <w:autoSpaceDE/>
              <w:autoSpaceDN/>
              <w:bidi w:val="0"/>
              <w:spacing w:line="560" w:lineRule="exac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9</w:t>
            </w:r>
          </w:p>
        </w:tc>
      </w:tr>
    </w:tbl>
    <w:p w14:paraId="079F1DBB">
      <w:pPr>
        <w:pStyle w:val="19"/>
        <w:keepNext w:val="0"/>
        <w:keepLines w:val="0"/>
        <w:pageBreakBefore w:val="0"/>
        <w:kinsoku/>
        <w:wordWrap/>
        <w:overflowPunct/>
        <w:topLinePunct w:val="0"/>
        <w:autoSpaceDE/>
        <w:autoSpaceDN/>
        <w:bidi w:val="0"/>
        <w:spacing w:before="0" w:after="0" w:line="560" w:lineRule="exact"/>
        <w:rPr>
          <w:highlight w:val="none"/>
        </w:rPr>
      </w:pPr>
    </w:p>
    <w:p w14:paraId="303265C3">
      <w:pPr>
        <w:keepNext w:val="0"/>
        <w:keepLines w:val="0"/>
        <w:pageBreakBefore w:val="0"/>
        <w:kinsoku/>
        <w:wordWrap/>
        <w:overflowPunct/>
        <w:topLinePunct w:val="0"/>
        <w:autoSpaceDE/>
        <w:autoSpaceDN/>
        <w:bidi w:val="0"/>
        <w:spacing w:line="560" w:lineRule="exact"/>
        <w:rPr>
          <w:highlight w:val="none"/>
        </w:rPr>
      </w:pPr>
    </w:p>
    <w:p w14:paraId="1FD5646C">
      <w:pPr>
        <w:keepNext w:val="0"/>
        <w:keepLines w:val="0"/>
        <w:pageBreakBefore w:val="0"/>
        <w:kinsoku/>
        <w:wordWrap/>
        <w:overflowPunct/>
        <w:topLinePunct w:val="0"/>
        <w:autoSpaceDE/>
        <w:autoSpaceDN/>
        <w:bidi w:val="0"/>
        <w:spacing w:line="560" w:lineRule="exact"/>
        <w:ind w:firstLine="640"/>
        <w:rPr>
          <w:rStyle w:val="24"/>
          <w:rFonts w:ascii="黑体" w:hAnsi="黑体" w:eastAsia="黑体"/>
          <w:bCs w:val="0"/>
          <w:spacing w:val="-4"/>
          <w:sz w:val="32"/>
          <w:szCs w:val="32"/>
          <w:highlight w:val="none"/>
        </w:rPr>
      </w:pPr>
    </w:p>
    <w:p w14:paraId="22AD414C">
      <w:pPr>
        <w:keepNext w:val="0"/>
        <w:keepLines w:val="0"/>
        <w:pageBreakBefore w:val="0"/>
        <w:kinsoku/>
        <w:wordWrap/>
        <w:overflowPunct/>
        <w:topLinePunct w:val="0"/>
        <w:autoSpaceDE/>
        <w:autoSpaceDN/>
        <w:bidi w:val="0"/>
        <w:spacing w:line="560" w:lineRule="exact"/>
        <w:ind w:firstLine="640"/>
        <w:rPr>
          <w:rStyle w:val="24"/>
          <w:rFonts w:ascii="黑体" w:hAnsi="黑体" w:eastAsia="黑体"/>
          <w:bCs w:val="0"/>
          <w:spacing w:val="-4"/>
          <w:sz w:val="32"/>
          <w:szCs w:val="32"/>
          <w:highlight w:val="none"/>
        </w:rPr>
      </w:pPr>
    </w:p>
    <w:p w14:paraId="064A64EC">
      <w:pPr>
        <w:keepNext w:val="0"/>
        <w:keepLines w:val="0"/>
        <w:pageBreakBefore w:val="0"/>
        <w:kinsoku/>
        <w:wordWrap/>
        <w:overflowPunct/>
        <w:topLinePunct w:val="0"/>
        <w:autoSpaceDE/>
        <w:autoSpaceDN/>
        <w:bidi w:val="0"/>
        <w:spacing w:line="560" w:lineRule="exact"/>
        <w:ind w:firstLine="640"/>
        <w:rPr>
          <w:rStyle w:val="24"/>
          <w:rFonts w:ascii="黑体" w:hAnsi="黑体" w:eastAsia="黑体"/>
          <w:bCs w:val="0"/>
          <w:spacing w:val="-4"/>
          <w:sz w:val="32"/>
          <w:szCs w:val="32"/>
          <w:highlight w:val="none"/>
        </w:rPr>
      </w:pPr>
    </w:p>
    <w:p w14:paraId="10E731F3">
      <w:pPr>
        <w:keepNext w:val="0"/>
        <w:keepLines w:val="0"/>
        <w:pageBreakBefore w:val="0"/>
        <w:kinsoku/>
        <w:wordWrap/>
        <w:overflowPunct/>
        <w:topLinePunct w:val="0"/>
        <w:autoSpaceDE/>
        <w:autoSpaceDN/>
        <w:bidi w:val="0"/>
        <w:spacing w:line="560" w:lineRule="exact"/>
        <w:ind w:firstLine="640"/>
        <w:rPr>
          <w:rStyle w:val="24"/>
          <w:rFonts w:ascii="黑体" w:hAnsi="黑体" w:eastAsia="黑体"/>
          <w:bCs w:val="0"/>
          <w:spacing w:val="-4"/>
          <w:sz w:val="32"/>
          <w:szCs w:val="32"/>
          <w:highlight w:val="none"/>
        </w:rPr>
      </w:pPr>
    </w:p>
    <w:p w14:paraId="69961933">
      <w:pPr>
        <w:keepNext w:val="0"/>
        <w:keepLines w:val="0"/>
        <w:pageBreakBefore w:val="0"/>
        <w:kinsoku/>
        <w:wordWrap/>
        <w:overflowPunct/>
        <w:topLinePunct w:val="0"/>
        <w:autoSpaceDE/>
        <w:autoSpaceDN/>
        <w:bidi w:val="0"/>
        <w:spacing w:line="560" w:lineRule="exact"/>
        <w:ind w:firstLine="640"/>
        <w:rPr>
          <w:rStyle w:val="24"/>
          <w:rFonts w:ascii="黑体" w:hAnsi="黑体" w:eastAsia="黑体"/>
          <w:bCs w:val="0"/>
          <w:spacing w:val="-4"/>
          <w:sz w:val="32"/>
          <w:szCs w:val="32"/>
          <w:highlight w:val="none"/>
        </w:rPr>
      </w:pPr>
    </w:p>
    <w:p w14:paraId="07856DDE">
      <w:pPr>
        <w:keepNext w:val="0"/>
        <w:keepLines w:val="0"/>
        <w:pageBreakBefore w:val="0"/>
        <w:kinsoku/>
        <w:wordWrap/>
        <w:overflowPunct/>
        <w:topLinePunct w:val="0"/>
        <w:autoSpaceDE/>
        <w:autoSpaceDN/>
        <w:bidi w:val="0"/>
        <w:spacing w:line="560" w:lineRule="exact"/>
        <w:ind w:firstLine="640"/>
        <w:rPr>
          <w:rStyle w:val="24"/>
          <w:rFonts w:ascii="黑体" w:hAnsi="黑体" w:eastAsia="黑体"/>
          <w:bCs w:val="0"/>
          <w:spacing w:val="-4"/>
          <w:sz w:val="32"/>
          <w:szCs w:val="32"/>
          <w:highlight w:val="none"/>
        </w:rPr>
      </w:pPr>
    </w:p>
    <w:p w14:paraId="103E4DE8">
      <w:pPr>
        <w:keepNext w:val="0"/>
        <w:keepLines w:val="0"/>
        <w:pageBreakBefore w:val="0"/>
        <w:kinsoku/>
        <w:wordWrap/>
        <w:overflowPunct/>
        <w:topLinePunct w:val="0"/>
        <w:autoSpaceDE/>
        <w:autoSpaceDN/>
        <w:bidi w:val="0"/>
        <w:spacing w:line="560" w:lineRule="exact"/>
        <w:rPr>
          <w:rStyle w:val="24"/>
          <w:rFonts w:ascii="仿宋" w:hAnsi="仿宋" w:eastAsia="仿宋"/>
          <w:b w:val="0"/>
          <w:spacing w:val="-4"/>
          <w:sz w:val="32"/>
          <w:szCs w:val="32"/>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2AD3D406">
        <w:pPr>
          <w:pStyle w:val="15"/>
          <w:jc w:val="center"/>
        </w:pPr>
        <w:r>
          <w:fldChar w:fldCharType="begin"/>
        </w:r>
        <w:r>
          <w:instrText xml:space="preserve">PAGE   \* MERGEFORMAT</w:instrText>
        </w:r>
        <w:r>
          <w:fldChar w:fldCharType="separate"/>
        </w:r>
        <w:r>
          <w:rPr>
            <w:lang w:val="zh-CN"/>
          </w:rPr>
          <w:t>17</w:t>
        </w:r>
        <w:r>
          <w:fldChar w:fldCharType="end"/>
        </w:r>
      </w:p>
    </w:sdtContent>
  </w:sdt>
  <w:p w14:paraId="16961571">
    <w:pPr>
      <w:pStyle w:val="1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0D4C60"/>
    <w:multiLevelType w:val="singleLevel"/>
    <w:tmpl w:val="A20D4C60"/>
    <w:lvl w:ilvl="0" w:tentative="0">
      <w:start w:val="2"/>
      <w:numFmt w:val="chineseCounting"/>
      <w:suff w:val="nothing"/>
      <w:lvlText w:val="（%1）"/>
      <w:lvlJc w:val="left"/>
      <w:rPr>
        <w:rFonts w:hint="eastAsia"/>
      </w:rPr>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EE5C6BF8"/>
    <w:multiLevelType w:val="singleLevel"/>
    <w:tmpl w:val="EE5C6BF8"/>
    <w:lvl w:ilvl="0" w:tentative="0">
      <w:start w:val="2"/>
      <w:numFmt w:val="decimal"/>
      <w:suff w:val="nothing"/>
      <w:lvlText w:val="%1、"/>
      <w:lvlJc w:val="left"/>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45047"/>
    <w:rsid w:val="00056465"/>
    <w:rsid w:val="000E50F0"/>
    <w:rsid w:val="000E586C"/>
    <w:rsid w:val="00121AE4"/>
    <w:rsid w:val="00146AAD"/>
    <w:rsid w:val="001B3A40"/>
    <w:rsid w:val="002B5FF3"/>
    <w:rsid w:val="003C18BC"/>
    <w:rsid w:val="003E2CC6"/>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DF7C45"/>
    <w:rsid w:val="00E31565"/>
    <w:rsid w:val="00E46C51"/>
    <w:rsid w:val="00E769FE"/>
    <w:rsid w:val="00EA2CBE"/>
    <w:rsid w:val="00F32FEE"/>
    <w:rsid w:val="00F67D4B"/>
    <w:rsid w:val="00F71278"/>
    <w:rsid w:val="00FB10BB"/>
    <w:rsid w:val="01902364"/>
    <w:rsid w:val="01972CB4"/>
    <w:rsid w:val="02ED1672"/>
    <w:rsid w:val="049E7780"/>
    <w:rsid w:val="051A56F5"/>
    <w:rsid w:val="05C3570A"/>
    <w:rsid w:val="066D6EAA"/>
    <w:rsid w:val="06CB3EA6"/>
    <w:rsid w:val="07526DE1"/>
    <w:rsid w:val="086B16EC"/>
    <w:rsid w:val="08C662D4"/>
    <w:rsid w:val="09BD4D95"/>
    <w:rsid w:val="0A3C7BF2"/>
    <w:rsid w:val="0F395CCB"/>
    <w:rsid w:val="0F8A207D"/>
    <w:rsid w:val="0F8D41CB"/>
    <w:rsid w:val="10562A30"/>
    <w:rsid w:val="10AE2255"/>
    <w:rsid w:val="10AF10E8"/>
    <w:rsid w:val="10D87BF5"/>
    <w:rsid w:val="110D106D"/>
    <w:rsid w:val="11613707"/>
    <w:rsid w:val="11C75270"/>
    <w:rsid w:val="12637CC3"/>
    <w:rsid w:val="12B94B94"/>
    <w:rsid w:val="12E657C5"/>
    <w:rsid w:val="132178FD"/>
    <w:rsid w:val="13804FE5"/>
    <w:rsid w:val="167C7687"/>
    <w:rsid w:val="168B3546"/>
    <w:rsid w:val="17A24A91"/>
    <w:rsid w:val="182A2C4D"/>
    <w:rsid w:val="18E67868"/>
    <w:rsid w:val="1A2374E0"/>
    <w:rsid w:val="1B316402"/>
    <w:rsid w:val="1BBE0868"/>
    <w:rsid w:val="1C317CE2"/>
    <w:rsid w:val="1D506432"/>
    <w:rsid w:val="1DD45808"/>
    <w:rsid w:val="1DED42AC"/>
    <w:rsid w:val="1ED7678D"/>
    <w:rsid w:val="20005763"/>
    <w:rsid w:val="20FB313D"/>
    <w:rsid w:val="21B7388F"/>
    <w:rsid w:val="220B4804"/>
    <w:rsid w:val="24640CFE"/>
    <w:rsid w:val="269B076E"/>
    <w:rsid w:val="26BD7E07"/>
    <w:rsid w:val="282475E3"/>
    <w:rsid w:val="283B4C26"/>
    <w:rsid w:val="299B2D14"/>
    <w:rsid w:val="29D86B19"/>
    <w:rsid w:val="2A1428D8"/>
    <w:rsid w:val="2A2C4516"/>
    <w:rsid w:val="2C6100C1"/>
    <w:rsid w:val="2DF47111"/>
    <w:rsid w:val="30B44E5D"/>
    <w:rsid w:val="3264220D"/>
    <w:rsid w:val="32B524E8"/>
    <w:rsid w:val="344477A5"/>
    <w:rsid w:val="34D068D7"/>
    <w:rsid w:val="34E820E5"/>
    <w:rsid w:val="394601DF"/>
    <w:rsid w:val="3963178C"/>
    <w:rsid w:val="3966541D"/>
    <w:rsid w:val="3A463B2D"/>
    <w:rsid w:val="3AEE3CBE"/>
    <w:rsid w:val="3B9C5130"/>
    <w:rsid w:val="3C111FEB"/>
    <w:rsid w:val="3C1C2913"/>
    <w:rsid w:val="3CEB14FD"/>
    <w:rsid w:val="3D516B82"/>
    <w:rsid w:val="3E1E4211"/>
    <w:rsid w:val="3E393551"/>
    <w:rsid w:val="3E611CC5"/>
    <w:rsid w:val="402F242C"/>
    <w:rsid w:val="41CC2676"/>
    <w:rsid w:val="42A15317"/>
    <w:rsid w:val="42CB25FF"/>
    <w:rsid w:val="43E409D3"/>
    <w:rsid w:val="46B21672"/>
    <w:rsid w:val="4C3D06DD"/>
    <w:rsid w:val="4DB804C7"/>
    <w:rsid w:val="4F3D1A5E"/>
    <w:rsid w:val="4F552460"/>
    <w:rsid w:val="4FCC6863"/>
    <w:rsid w:val="500A214A"/>
    <w:rsid w:val="50266637"/>
    <w:rsid w:val="522D604D"/>
    <w:rsid w:val="52557A91"/>
    <w:rsid w:val="5297585E"/>
    <w:rsid w:val="52AD7D6F"/>
    <w:rsid w:val="540A26D4"/>
    <w:rsid w:val="5478508D"/>
    <w:rsid w:val="5549519D"/>
    <w:rsid w:val="5557596B"/>
    <w:rsid w:val="56281B09"/>
    <w:rsid w:val="566275BF"/>
    <w:rsid w:val="5682235E"/>
    <w:rsid w:val="56AA7163"/>
    <w:rsid w:val="58222934"/>
    <w:rsid w:val="595B0FF2"/>
    <w:rsid w:val="5B596DFC"/>
    <w:rsid w:val="5D11498B"/>
    <w:rsid w:val="5DA4453B"/>
    <w:rsid w:val="5DF03945"/>
    <w:rsid w:val="5F320719"/>
    <w:rsid w:val="62B54AAD"/>
    <w:rsid w:val="62C23F67"/>
    <w:rsid w:val="6359037F"/>
    <w:rsid w:val="637C2815"/>
    <w:rsid w:val="64100660"/>
    <w:rsid w:val="64BB6CE8"/>
    <w:rsid w:val="65B15D02"/>
    <w:rsid w:val="68FF12E1"/>
    <w:rsid w:val="692A73F6"/>
    <w:rsid w:val="71AF2A98"/>
    <w:rsid w:val="723A3F28"/>
    <w:rsid w:val="72805034"/>
    <w:rsid w:val="74BD4319"/>
    <w:rsid w:val="75C6501D"/>
    <w:rsid w:val="75FD08D2"/>
    <w:rsid w:val="780B1B95"/>
    <w:rsid w:val="7A353D0B"/>
    <w:rsid w:val="7AAE20A2"/>
    <w:rsid w:val="7CB14F61"/>
    <w:rsid w:val="7D3A5E2F"/>
    <w:rsid w:val="7DEE7E4B"/>
    <w:rsid w:val="7EF86A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7"/>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8"/>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9"/>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30"/>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31"/>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32"/>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3"/>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4"/>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5"/>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3">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szCs w:val="18"/>
    </w:rPr>
  </w:style>
  <w:style w:type="paragraph" w:styleId="12">
    <w:name w:val="annotation text"/>
    <w:basedOn w:val="1"/>
    <w:link w:val="55"/>
    <w:semiHidden/>
    <w:unhideWhenUsed/>
    <w:qFormat/>
    <w:uiPriority w:val="99"/>
    <w:pPr>
      <w:jc w:val="left"/>
    </w:pPr>
  </w:style>
  <w:style w:type="paragraph" w:styleId="13">
    <w:name w:val="Body Text"/>
    <w:basedOn w:val="1"/>
    <w:qFormat/>
    <w:uiPriority w:val="0"/>
    <w:pPr>
      <w:spacing w:after="120"/>
    </w:pPr>
  </w:style>
  <w:style w:type="paragraph" w:styleId="14">
    <w:name w:val="Balloon Text"/>
    <w:basedOn w:val="1"/>
    <w:link w:val="52"/>
    <w:semiHidden/>
    <w:unhideWhenUsed/>
    <w:qFormat/>
    <w:uiPriority w:val="99"/>
    <w:rPr>
      <w:sz w:val="18"/>
      <w:szCs w:val="18"/>
    </w:rPr>
  </w:style>
  <w:style w:type="paragraph" w:styleId="15">
    <w:name w:val="footer"/>
    <w:basedOn w:val="1"/>
    <w:link w:val="51"/>
    <w:unhideWhenUsed/>
    <w:qFormat/>
    <w:uiPriority w:val="99"/>
    <w:pPr>
      <w:tabs>
        <w:tab w:val="center" w:pos="4153"/>
        <w:tab w:val="right" w:pos="8306"/>
      </w:tabs>
      <w:snapToGrid w:val="0"/>
      <w:jc w:val="left"/>
    </w:pPr>
    <w:rPr>
      <w:rFonts w:ascii="Calibri" w:hAnsi="Calibri"/>
      <w:sz w:val="18"/>
      <w:szCs w:val="18"/>
    </w:rPr>
  </w:style>
  <w:style w:type="paragraph" w:styleId="16">
    <w:name w:val="header"/>
    <w:basedOn w:val="1"/>
    <w:link w:val="50"/>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7">
    <w:name w:val="Subtitle"/>
    <w:basedOn w:val="1"/>
    <w:next w:val="1"/>
    <w:link w:val="37"/>
    <w:qFormat/>
    <w:uiPriority w:val="11"/>
    <w:pPr>
      <w:widowControl/>
      <w:spacing w:after="60"/>
      <w:jc w:val="center"/>
      <w:outlineLvl w:val="1"/>
    </w:pPr>
    <w:rPr>
      <w:rFonts w:asciiTheme="majorHAnsi" w:hAnsiTheme="majorHAnsi" w:eastAsiaTheme="majorEastAsia"/>
      <w:kern w:val="0"/>
      <w:sz w:val="24"/>
    </w:rPr>
  </w:style>
  <w:style w:type="paragraph" w:styleId="18">
    <w:name w:val="Normal (Web)"/>
    <w:basedOn w:val="1"/>
    <w:qFormat/>
    <w:uiPriority w:val="99"/>
    <w:pPr>
      <w:spacing w:before="100" w:beforeAutospacing="1" w:after="100" w:afterAutospacing="1"/>
      <w:jc w:val="left"/>
    </w:pPr>
    <w:rPr>
      <w:sz w:val="24"/>
    </w:rPr>
  </w:style>
  <w:style w:type="paragraph" w:styleId="19">
    <w:name w:val="Title"/>
    <w:basedOn w:val="1"/>
    <w:next w:val="1"/>
    <w:link w:val="36"/>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20">
    <w:name w:val="annotation subject"/>
    <w:basedOn w:val="12"/>
    <w:next w:val="12"/>
    <w:link w:val="56"/>
    <w:semiHidden/>
    <w:unhideWhenUsed/>
    <w:qFormat/>
    <w:uiPriority w:val="99"/>
    <w:rPr>
      <w:b/>
      <w:bCs/>
    </w:rPr>
  </w:style>
  <w:style w:type="paragraph" w:styleId="21">
    <w:name w:val="Body Text First Indent"/>
    <w:basedOn w:val="13"/>
    <w:qFormat/>
    <w:uiPriority w:val="0"/>
    <w:pPr>
      <w:spacing w:after="0"/>
      <w:ind w:firstLine="200" w:firstLineChars="200"/>
    </w:pPr>
  </w:style>
  <w:style w:type="character" w:styleId="24">
    <w:name w:val="Strong"/>
    <w:basedOn w:val="23"/>
    <w:qFormat/>
    <w:uiPriority w:val="0"/>
    <w:rPr>
      <w:b/>
      <w:bCs/>
    </w:rPr>
  </w:style>
  <w:style w:type="character" w:styleId="25">
    <w:name w:val="Emphasis"/>
    <w:basedOn w:val="23"/>
    <w:qFormat/>
    <w:uiPriority w:val="20"/>
    <w:rPr>
      <w:rFonts w:asciiTheme="minorHAnsi" w:hAnsiTheme="minorHAnsi"/>
      <w:b/>
      <w:i/>
      <w:iCs/>
    </w:rPr>
  </w:style>
  <w:style w:type="character" w:styleId="26">
    <w:name w:val="annotation reference"/>
    <w:basedOn w:val="23"/>
    <w:semiHidden/>
    <w:unhideWhenUsed/>
    <w:qFormat/>
    <w:uiPriority w:val="99"/>
    <w:rPr>
      <w:sz w:val="21"/>
      <w:szCs w:val="21"/>
    </w:rPr>
  </w:style>
  <w:style w:type="character" w:customStyle="1" w:styleId="27">
    <w:name w:val="标题 1 字符"/>
    <w:basedOn w:val="23"/>
    <w:link w:val="3"/>
    <w:qFormat/>
    <w:uiPriority w:val="9"/>
    <w:rPr>
      <w:rFonts w:asciiTheme="majorHAnsi" w:hAnsiTheme="majorHAnsi" w:eastAsiaTheme="majorEastAsia"/>
      <w:b/>
      <w:bCs/>
      <w:kern w:val="32"/>
      <w:sz w:val="32"/>
      <w:szCs w:val="32"/>
    </w:rPr>
  </w:style>
  <w:style w:type="character" w:customStyle="1" w:styleId="28">
    <w:name w:val="标题 2 字符"/>
    <w:basedOn w:val="23"/>
    <w:link w:val="4"/>
    <w:semiHidden/>
    <w:qFormat/>
    <w:uiPriority w:val="9"/>
    <w:rPr>
      <w:rFonts w:asciiTheme="majorHAnsi" w:hAnsiTheme="majorHAnsi" w:eastAsiaTheme="majorEastAsia"/>
      <w:b/>
      <w:bCs/>
      <w:i/>
      <w:iCs/>
      <w:sz w:val="28"/>
      <w:szCs w:val="28"/>
    </w:rPr>
  </w:style>
  <w:style w:type="character" w:customStyle="1" w:styleId="29">
    <w:name w:val="标题 3 字符"/>
    <w:basedOn w:val="23"/>
    <w:link w:val="5"/>
    <w:semiHidden/>
    <w:qFormat/>
    <w:uiPriority w:val="9"/>
    <w:rPr>
      <w:rFonts w:asciiTheme="majorHAnsi" w:hAnsiTheme="majorHAnsi" w:eastAsiaTheme="majorEastAsia"/>
      <w:b/>
      <w:bCs/>
      <w:sz w:val="26"/>
      <w:szCs w:val="26"/>
    </w:rPr>
  </w:style>
  <w:style w:type="character" w:customStyle="1" w:styleId="30">
    <w:name w:val="标题 4 字符"/>
    <w:basedOn w:val="23"/>
    <w:link w:val="6"/>
    <w:semiHidden/>
    <w:qFormat/>
    <w:uiPriority w:val="9"/>
    <w:rPr>
      <w:b/>
      <w:bCs/>
      <w:sz w:val="28"/>
      <w:szCs w:val="28"/>
    </w:rPr>
  </w:style>
  <w:style w:type="character" w:customStyle="1" w:styleId="31">
    <w:name w:val="标题 5 字符"/>
    <w:basedOn w:val="23"/>
    <w:link w:val="7"/>
    <w:semiHidden/>
    <w:qFormat/>
    <w:uiPriority w:val="9"/>
    <w:rPr>
      <w:b/>
      <w:bCs/>
      <w:i/>
      <w:iCs/>
      <w:sz w:val="26"/>
      <w:szCs w:val="26"/>
    </w:rPr>
  </w:style>
  <w:style w:type="character" w:customStyle="1" w:styleId="32">
    <w:name w:val="标题 6 字符"/>
    <w:basedOn w:val="23"/>
    <w:link w:val="8"/>
    <w:semiHidden/>
    <w:qFormat/>
    <w:uiPriority w:val="9"/>
    <w:rPr>
      <w:b/>
      <w:bCs/>
    </w:rPr>
  </w:style>
  <w:style w:type="character" w:customStyle="1" w:styleId="33">
    <w:name w:val="标题 7 字符"/>
    <w:basedOn w:val="23"/>
    <w:link w:val="9"/>
    <w:semiHidden/>
    <w:qFormat/>
    <w:uiPriority w:val="9"/>
    <w:rPr>
      <w:sz w:val="24"/>
      <w:szCs w:val="24"/>
    </w:rPr>
  </w:style>
  <w:style w:type="character" w:customStyle="1" w:styleId="34">
    <w:name w:val="标题 8 字符"/>
    <w:basedOn w:val="23"/>
    <w:link w:val="10"/>
    <w:semiHidden/>
    <w:qFormat/>
    <w:uiPriority w:val="9"/>
    <w:rPr>
      <w:i/>
      <w:iCs/>
      <w:sz w:val="24"/>
      <w:szCs w:val="24"/>
    </w:rPr>
  </w:style>
  <w:style w:type="character" w:customStyle="1" w:styleId="35">
    <w:name w:val="标题 9 字符"/>
    <w:basedOn w:val="23"/>
    <w:link w:val="11"/>
    <w:semiHidden/>
    <w:qFormat/>
    <w:uiPriority w:val="9"/>
    <w:rPr>
      <w:rFonts w:asciiTheme="majorHAnsi" w:hAnsiTheme="majorHAnsi" w:eastAsiaTheme="majorEastAsia"/>
    </w:rPr>
  </w:style>
  <w:style w:type="character" w:customStyle="1" w:styleId="36">
    <w:name w:val="标题 字符"/>
    <w:basedOn w:val="23"/>
    <w:link w:val="19"/>
    <w:qFormat/>
    <w:uiPriority w:val="10"/>
    <w:rPr>
      <w:rFonts w:asciiTheme="majorHAnsi" w:hAnsiTheme="majorHAnsi" w:eastAsiaTheme="majorEastAsia"/>
      <w:b/>
      <w:bCs/>
      <w:kern w:val="28"/>
      <w:sz w:val="32"/>
      <w:szCs w:val="32"/>
    </w:rPr>
  </w:style>
  <w:style w:type="character" w:customStyle="1" w:styleId="37">
    <w:name w:val="副标题 字符"/>
    <w:basedOn w:val="23"/>
    <w:link w:val="17"/>
    <w:qFormat/>
    <w:uiPriority w:val="11"/>
    <w:rPr>
      <w:rFonts w:asciiTheme="majorHAnsi" w:hAnsiTheme="majorHAnsi" w:eastAsiaTheme="majorEastAsia"/>
      <w:sz w:val="24"/>
      <w:szCs w:val="24"/>
    </w:rPr>
  </w:style>
  <w:style w:type="paragraph" w:styleId="38">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9">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40">
    <w:name w:val="Quote"/>
    <w:basedOn w:val="1"/>
    <w:next w:val="1"/>
    <w:link w:val="41"/>
    <w:qFormat/>
    <w:uiPriority w:val="29"/>
    <w:pPr>
      <w:widowControl/>
      <w:jc w:val="left"/>
    </w:pPr>
    <w:rPr>
      <w:rFonts w:asciiTheme="minorHAnsi" w:hAnsiTheme="minorHAnsi" w:eastAsiaTheme="minorEastAsia"/>
      <w:i/>
      <w:kern w:val="0"/>
      <w:sz w:val="24"/>
    </w:rPr>
  </w:style>
  <w:style w:type="character" w:customStyle="1" w:styleId="41">
    <w:name w:val="引用 字符"/>
    <w:basedOn w:val="23"/>
    <w:link w:val="40"/>
    <w:qFormat/>
    <w:uiPriority w:val="29"/>
    <w:rPr>
      <w:i/>
      <w:sz w:val="24"/>
      <w:szCs w:val="24"/>
    </w:rPr>
  </w:style>
  <w:style w:type="paragraph" w:styleId="42">
    <w:name w:val="Intense Quote"/>
    <w:basedOn w:val="1"/>
    <w:next w:val="1"/>
    <w:link w:val="43"/>
    <w:qFormat/>
    <w:uiPriority w:val="30"/>
    <w:pPr>
      <w:widowControl/>
      <w:ind w:left="720" w:right="720"/>
      <w:jc w:val="left"/>
    </w:pPr>
    <w:rPr>
      <w:rFonts w:asciiTheme="minorHAnsi" w:hAnsiTheme="minorHAnsi" w:eastAsiaTheme="minorEastAsia"/>
      <w:b/>
      <w:i/>
      <w:kern w:val="0"/>
      <w:sz w:val="24"/>
      <w:szCs w:val="22"/>
    </w:rPr>
  </w:style>
  <w:style w:type="character" w:customStyle="1" w:styleId="43">
    <w:name w:val="明显引用 字符"/>
    <w:basedOn w:val="23"/>
    <w:link w:val="42"/>
    <w:qFormat/>
    <w:uiPriority w:val="30"/>
    <w:rPr>
      <w:b/>
      <w:i/>
      <w:sz w:val="24"/>
    </w:rPr>
  </w:style>
  <w:style w:type="character" w:customStyle="1" w:styleId="44">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5">
    <w:name w:val="明显强调1"/>
    <w:basedOn w:val="23"/>
    <w:qFormat/>
    <w:uiPriority w:val="21"/>
    <w:rPr>
      <w:b/>
      <w:i/>
      <w:sz w:val="24"/>
      <w:szCs w:val="24"/>
      <w:u w:val="single"/>
    </w:rPr>
  </w:style>
  <w:style w:type="character" w:customStyle="1" w:styleId="46">
    <w:name w:val="不明显参考1"/>
    <w:basedOn w:val="23"/>
    <w:qFormat/>
    <w:uiPriority w:val="31"/>
    <w:rPr>
      <w:sz w:val="24"/>
      <w:szCs w:val="24"/>
      <w:u w:val="single"/>
    </w:rPr>
  </w:style>
  <w:style w:type="character" w:customStyle="1" w:styleId="47">
    <w:name w:val="明显参考1"/>
    <w:basedOn w:val="23"/>
    <w:qFormat/>
    <w:uiPriority w:val="32"/>
    <w:rPr>
      <w:b/>
      <w:sz w:val="24"/>
      <w:u w:val="single"/>
    </w:rPr>
  </w:style>
  <w:style w:type="character" w:customStyle="1" w:styleId="48">
    <w:name w:val="书籍标题1"/>
    <w:basedOn w:val="23"/>
    <w:qFormat/>
    <w:uiPriority w:val="33"/>
    <w:rPr>
      <w:rFonts w:asciiTheme="majorHAnsi" w:hAnsiTheme="majorHAnsi" w:eastAsiaTheme="majorEastAsia"/>
      <w:b/>
      <w:i/>
      <w:sz w:val="24"/>
      <w:szCs w:val="24"/>
    </w:rPr>
  </w:style>
  <w:style w:type="paragraph" w:customStyle="1" w:styleId="49">
    <w:name w:val="TOC 标题1"/>
    <w:basedOn w:val="3"/>
    <w:next w:val="1"/>
    <w:semiHidden/>
    <w:unhideWhenUsed/>
    <w:qFormat/>
    <w:uiPriority w:val="39"/>
    <w:pPr>
      <w:outlineLvl w:val="9"/>
    </w:pPr>
    <w:rPr>
      <w:lang w:eastAsia="en-US" w:bidi="en-US"/>
    </w:rPr>
  </w:style>
  <w:style w:type="character" w:customStyle="1" w:styleId="50">
    <w:name w:val="页眉 字符"/>
    <w:basedOn w:val="23"/>
    <w:link w:val="16"/>
    <w:qFormat/>
    <w:uiPriority w:val="99"/>
    <w:rPr>
      <w:rFonts w:ascii="Calibri" w:hAnsi="Calibri" w:eastAsia="宋体"/>
      <w:kern w:val="2"/>
      <w:sz w:val="18"/>
      <w:szCs w:val="18"/>
    </w:rPr>
  </w:style>
  <w:style w:type="character" w:customStyle="1" w:styleId="51">
    <w:name w:val="页脚 字符"/>
    <w:basedOn w:val="23"/>
    <w:link w:val="15"/>
    <w:qFormat/>
    <w:uiPriority w:val="99"/>
    <w:rPr>
      <w:rFonts w:ascii="Calibri" w:hAnsi="Calibri" w:eastAsia="宋体"/>
      <w:kern w:val="2"/>
      <w:sz w:val="18"/>
      <w:szCs w:val="18"/>
    </w:rPr>
  </w:style>
  <w:style w:type="character" w:customStyle="1" w:styleId="52">
    <w:name w:val="批注框文本 字符"/>
    <w:basedOn w:val="23"/>
    <w:link w:val="14"/>
    <w:semiHidden/>
    <w:qFormat/>
    <w:uiPriority w:val="99"/>
    <w:rPr>
      <w:rFonts w:ascii="Times New Roman" w:hAnsi="Times New Roman" w:eastAsia="宋体"/>
      <w:kern w:val="2"/>
      <w:sz w:val="18"/>
      <w:szCs w:val="18"/>
    </w:rPr>
  </w:style>
  <w:style w:type="paragraph" w:customStyle="1" w:styleId="53">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4">
    <w:name w:val="fontstyle01"/>
    <w:qFormat/>
    <w:uiPriority w:val="0"/>
    <w:rPr>
      <w:rFonts w:ascii="仿宋_GB2312" w:hAnsi="仿宋_GB2312" w:eastAsia="仿宋_GB2312" w:cs="仿宋_GB2312"/>
      <w:color w:val="000000"/>
      <w:sz w:val="32"/>
      <w:szCs w:val="32"/>
    </w:rPr>
  </w:style>
  <w:style w:type="character" w:customStyle="1" w:styleId="55">
    <w:name w:val="批注文字 字符"/>
    <w:basedOn w:val="23"/>
    <w:link w:val="12"/>
    <w:semiHidden/>
    <w:qFormat/>
    <w:uiPriority w:val="99"/>
    <w:rPr>
      <w:rFonts w:ascii="Times New Roman" w:hAnsi="Times New Roman" w:eastAsia="宋体" w:cs="Times New Roman"/>
      <w:kern w:val="2"/>
      <w:sz w:val="21"/>
      <w:szCs w:val="24"/>
    </w:rPr>
  </w:style>
  <w:style w:type="character" w:customStyle="1" w:styleId="56">
    <w:name w:val="批注主题 字符"/>
    <w:basedOn w:val="55"/>
    <w:link w:val="20"/>
    <w:semiHidden/>
    <w:qFormat/>
    <w:uiPriority w:val="99"/>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25</Pages>
  <Words>6397</Words>
  <Characters>6799</Characters>
  <Lines>55</Lines>
  <Paragraphs>15</Paragraphs>
  <TotalTime>10</TotalTime>
  <ScaleCrop>false</ScaleCrop>
  <LinksUpToDate>false</LinksUpToDate>
  <CharactersWithSpaces>6838</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周而</cp:lastModifiedBy>
  <cp:lastPrinted>2021-03-31T09:53:00Z</cp:lastPrinted>
  <dcterms:modified xsi:type="dcterms:W3CDTF">2025-09-03T04:12:46Z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43605FC02BAD411393B13725191F6260</vt:lpwstr>
  </property>
  <property fmtid="{D5CDD505-2E9C-101B-9397-08002B2CF9AE}" pid="4" name="KSOTemplateDocerSaveRecord">
    <vt:lpwstr>eyJoZGlkIjoiN2VjMGM4YTNmZTY1NDFjMWFjNmVmZmU0NDA2ZTk0ZmMiLCJ1c2VySWQiOiI4NjI1NDMxNDkifQ==</vt:lpwstr>
  </property>
</Properties>
</file>