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both"/>
        <w:rPr>
          <w:rFonts w:hint="default" w:ascii="华文中宋" w:hAnsi="华文中宋" w:eastAsia="华文中宋" w:cs="宋体"/>
          <w:b/>
          <w:kern w:val="0"/>
          <w:sz w:val="52"/>
          <w:szCs w:val="52"/>
          <w:lang w:val="en-US"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大黑简体" w:hAnsi="方正大黑简体" w:eastAsia="方正大黑简体" w:cs="方正大黑简体"/>
          <w:b/>
          <w:kern w:val="0"/>
          <w:sz w:val="52"/>
          <w:szCs w:val="52"/>
          <w:highlight w:val="none"/>
        </w:rPr>
      </w:pPr>
    </w:p>
    <w:p>
      <w:pPr>
        <w:spacing w:line="540" w:lineRule="exact"/>
        <w:jc w:val="center"/>
        <w:rPr>
          <w:rFonts w:hint="eastAsia" w:ascii="方正小标宋简体" w:hAnsi="方正小标宋简体" w:eastAsia="方正小标宋简体" w:cs="方正小标宋简体"/>
          <w:kern w:val="0"/>
          <w:sz w:val="44"/>
          <w:szCs w:val="44"/>
          <w:highlight w:val="none"/>
          <w:lang w:eastAsia="zh-CN"/>
        </w:rPr>
      </w:pPr>
      <w:r>
        <w:rPr>
          <w:rFonts w:hint="eastAsia" w:ascii="方正小标宋简体" w:hAnsi="方正小标宋简体" w:eastAsia="方正小标宋简体" w:cs="方正小标宋简体"/>
          <w:kern w:val="0"/>
          <w:sz w:val="44"/>
          <w:szCs w:val="44"/>
          <w:highlight w:val="none"/>
        </w:rPr>
        <w:t>防震减灾“三网一员”工作经费</w:t>
      </w:r>
      <w:r>
        <w:rPr>
          <w:rFonts w:hint="eastAsia" w:ascii="方正小标宋简体" w:hAnsi="方正小标宋简体" w:eastAsia="方正小标宋简体" w:cs="方正小标宋简体"/>
          <w:kern w:val="0"/>
          <w:sz w:val="44"/>
          <w:szCs w:val="44"/>
          <w:highlight w:val="none"/>
          <w:lang w:eastAsia="zh-CN"/>
        </w:rPr>
        <w:t>补贴</w:t>
      </w:r>
    </w:p>
    <w:p>
      <w:pPr>
        <w:spacing w:line="540" w:lineRule="exact"/>
        <w:jc w:val="center"/>
        <w:rPr>
          <w:rFonts w:hint="eastAsia" w:ascii="方正小标宋简体" w:hAnsi="方正小标宋简体" w:eastAsia="方正小标宋简体" w:cs="方正小标宋简体"/>
          <w:kern w:val="0"/>
          <w:sz w:val="44"/>
          <w:szCs w:val="44"/>
          <w:highlight w:val="none"/>
        </w:rPr>
      </w:pPr>
      <w:r>
        <w:rPr>
          <w:rFonts w:hint="eastAsia" w:ascii="方正小标宋简体" w:hAnsi="方正小标宋简体" w:eastAsia="方正小标宋简体" w:cs="方正小标宋简体"/>
          <w:kern w:val="0"/>
          <w:sz w:val="44"/>
          <w:szCs w:val="44"/>
          <w:highlight w:val="none"/>
        </w:rPr>
        <w:t>项目支出绩效</w:t>
      </w:r>
      <w:r>
        <w:rPr>
          <w:rFonts w:hint="eastAsia" w:ascii="方正小标宋简体" w:hAnsi="方正小标宋简体" w:eastAsia="方正小标宋简体" w:cs="方正小标宋简体"/>
          <w:kern w:val="0"/>
          <w:sz w:val="44"/>
          <w:szCs w:val="44"/>
          <w:highlight w:val="none"/>
          <w:lang w:eastAsia="zh-CN"/>
        </w:rPr>
        <w:t>评价</w:t>
      </w:r>
      <w:r>
        <w:rPr>
          <w:rFonts w:hint="eastAsia" w:ascii="方正小标宋简体" w:hAnsi="方正小标宋简体" w:eastAsia="方正小标宋简体" w:cs="方正小标宋简体"/>
          <w:kern w:val="0"/>
          <w:sz w:val="44"/>
          <w:szCs w:val="44"/>
          <w:highlight w:val="none"/>
        </w:rPr>
        <w:t>报告</w:t>
      </w:r>
    </w:p>
    <w:p>
      <w:pPr>
        <w:spacing w:line="540" w:lineRule="exact"/>
        <w:jc w:val="center"/>
        <w:rPr>
          <w:rFonts w:hint="eastAsia" w:ascii="方正小标宋_GBK" w:hAnsi="华文中宋" w:eastAsia="方正小标宋_GBK" w:cs="宋体"/>
          <w:kern w:val="0"/>
          <w:sz w:val="48"/>
          <w:szCs w:val="48"/>
          <w:highlight w:val="none"/>
        </w:rPr>
      </w:pPr>
    </w:p>
    <w:p>
      <w:pPr>
        <w:spacing w:line="540" w:lineRule="exact"/>
        <w:jc w:val="center"/>
        <w:rPr>
          <w:rFonts w:hint="eastAsia" w:ascii="仿宋_GB2312" w:hAnsi="仿宋_GB2312" w:eastAsia="仿宋_GB2312" w:cs="仿宋_GB2312"/>
          <w:b w:val="0"/>
          <w:bCs w:val="0"/>
          <w:kern w:val="0"/>
          <w:sz w:val="36"/>
          <w:szCs w:val="36"/>
          <w:highlight w:val="none"/>
        </w:rPr>
      </w:pPr>
      <w:r>
        <w:rPr>
          <w:rFonts w:hint="eastAsia" w:ascii="仿宋_GB2312" w:hAnsi="仿宋_GB2312" w:eastAsia="仿宋_GB2312" w:cs="仿宋_GB2312"/>
          <w:b w:val="0"/>
          <w:bCs w:val="0"/>
          <w:kern w:val="0"/>
          <w:sz w:val="36"/>
          <w:szCs w:val="36"/>
          <w:highlight w:val="none"/>
        </w:rPr>
        <w:t>（ 20</w:t>
      </w:r>
      <w:r>
        <w:rPr>
          <w:rFonts w:hint="eastAsia" w:ascii="仿宋_GB2312" w:hAnsi="仿宋_GB2312" w:eastAsia="仿宋_GB2312" w:cs="仿宋_GB2312"/>
          <w:b w:val="0"/>
          <w:bCs w:val="0"/>
          <w:kern w:val="0"/>
          <w:sz w:val="36"/>
          <w:szCs w:val="36"/>
          <w:highlight w:val="none"/>
          <w:lang w:val="en-US" w:eastAsia="zh-CN"/>
        </w:rPr>
        <w:t>20</w:t>
      </w:r>
      <w:r>
        <w:rPr>
          <w:rFonts w:hint="eastAsia" w:ascii="仿宋_GB2312" w:hAnsi="仿宋_GB2312" w:eastAsia="仿宋_GB2312" w:cs="仿宋_GB2312"/>
          <w:b w:val="0"/>
          <w:bCs w:val="0"/>
          <w:kern w:val="0"/>
          <w:sz w:val="36"/>
          <w:szCs w:val="36"/>
          <w:highlight w:val="none"/>
        </w:rPr>
        <w:t>年度）</w:t>
      </w:r>
    </w:p>
    <w:p>
      <w:pPr>
        <w:spacing w:line="540" w:lineRule="exact"/>
        <w:jc w:val="center"/>
        <w:rPr>
          <w:rFonts w:hAnsi="宋体" w:eastAsia="仿宋_GB2312" w:cs="宋体"/>
          <w:kern w:val="0"/>
          <w:sz w:val="30"/>
          <w:szCs w:val="30"/>
          <w:highlight w:val="none"/>
        </w:rPr>
      </w:pPr>
    </w:p>
    <w:p>
      <w:pPr>
        <w:spacing w:line="540" w:lineRule="exact"/>
        <w:jc w:val="center"/>
        <w:rPr>
          <w:rFonts w:hAnsi="宋体" w:eastAsia="仿宋_GB2312" w:cs="宋体"/>
          <w:kern w:val="0"/>
          <w:sz w:val="30"/>
          <w:szCs w:val="30"/>
          <w:highlight w:val="none"/>
        </w:rPr>
      </w:pPr>
    </w:p>
    <w:p>
      <w:pPr>
        <w:spacing w:line="540" w:lineRule="exact"/>
        <w:jc w:val="center"/>
        <w:rPr>
          <w:rFonts w:hAnsi="宋体" w:eastAsia="仿宋_GB2312" w:cs="宋体"/>
          <w:kern w:val="0"/>
          <w:sz w:val="30"/>
          <w:szCs w:val="30"/>
          <w:highlight w:val="none"/>
        </w:rPr>
      </w:pPr>
    </w:p>
    <w:p>
      <w:pPr>
        <w:spacing w:line="540" w:lineRule="exact"/>
        <w:jc w:val="center"/>
        <w:rPr>
          <w:rFonts w:hAnsi="宋体" w:eastAsia="仿宋_GB2312" w:cs="宋体"/>
          <w:kern w:val="0"/>
          <w:sz w:val="30"/>
          <w:szCs w:val="30"/>
          <w:highlight w:val="none"/>
        </w:rPr>
      </w:pPr>
    </w:p>
    <w:p>
      <w:pPr>
        <w:spacing w:line="540" w:lineRule="exact"/>
        <w:rPr>
          <w:rFonts w:hAnsi="宋体" w:eastAsia="仿宋_GB2312" w:cs="宋体"/>
          <w:kern w:val="0"/>
          <w:sz w:val="30"/>
          <w:szCs w:val="30"/>
          <w:highlight w:val="none"/>
        </w:rPr>
      </w:pPr>
    </w:p>
    <w:p>
      <w:pPr>
        <w:spacing w:line="700" w:lineRule="exact"/>
        <w:ind w:firstLine="720" w:firstLineChars="200"/>
        <w:jc w:val="center"/>
        <w:rPr>
          <w:rFonts w:hint="eastAsia" w:ascii="仿宋_GB2312" w:hAnsi="仿宋_GB2312" w:eastAsia="仿宋_GB2312" w:cs="仿宋_GB2312"/>
          <w:kern w:val="0"/>
          <w:sz w:val="36"/>
          <w:szCs w:val="36"/>
          <w:highlight w:val="none"/>
          <w:lang w:val="en-US" w:eastAsia="zh-CN"/>
        </w:rPr>
      </w:pPr>
      <w:r>
        <w:rPr>
          <w:rFonts w:hint="eastAsia" w:ascii="仿宋_GB2312" w:hAnsi="仿宋_GB2312" w:eastAsia="仿宋_GB2312" w:cs="仿宋_GB2312"/>
          <w:kern w:val="0"/>
          <w:sz w:val="36"/>
          <w:szCs w:val="36"/>
          <w:highlight w:val="none"/>
          <w:lang w:val="en-US" w:eastAsia="zh-CN"/>
        </w:rPr>
        <w:t xml:space="preserve">  </w:t>
      </w:r>
      <w:r>
        <w:rPr>
          <w:rFonts w:hint="eastAsia" w:ascii="仿宋_GB2312" w:hAnsi="仿宋_GB2312" w:eastAsia="仿宋_GB2312" w:cs="仿宋_GB2312"/>
          <w:kern w:val="0"/>
          <w:sz w:val="36"/>
          <w:szCs w:val="36"/>
          <w:highlight w:val="none"/>
        </w:rPr>
        <w:t>项目名称：</w:t>
      </w:r>
      <w:r>
        <w:rPr>
          <w:rFonts w:hint="eastAsia" w:ascii="仿宋_GB2312" w:hAnsi="仿宋_GB2312" w:eastAsia="仿宋_GB2312" w:cs="仿宋_GB2312"/>
          <w:kern w:val="0"/>
          <w:sz w:val="36"/>
          <w:szCs w:val="36"/>
          <w:highlight w:val="none"/>
          <w:lang w:eastAsia="zh-CN"/>
        </w:rPr>
        <w:t>防震减灾“三网一员”工作经费补贴</w:t>
      </w:r>
    </w:p>
    <w:p>
      <w:pPr>
        <w:spacing w:line="700" w:lineRule="exact"/>
        <w:ind w:firstLine="1080" w:firstLineChars="300"/>
        <w:jc w:val="both"/>
        <w:rPr>
          <w:rFonts w:hint="eastAsia" w:ascii="仿宋_GB2312" w:hAnsi="仿宋_GB2312" w:eastAsia="仿宋_GB2312" w:cs="仿宋_GB2312"/>
          <w:kern w:val="0"/>
          <w:sz w:val="36"/>
          <w:szCs w:val="36"/>
          <w:highlight w:val="none"/>
          <w:lang w:val="en-US" w:eastAsia="zh-CN"/>
        </w:rPr>
      </w:pPr>
      <w:r>
        <w:rPr>
          <w:rFonts w:hint="eastAsia" w:ascii="仿宋_GB2312" w:hAnsi="仿宋_GB2312" w:eastAsia="仿宋_GB2312" w:cs="仿宋_GB2312"/>
          <w:kern w:val="0"/>
          <w:sz w:val="36"/>
          <w:szCs w:val="36"/>
          <w:highlight w:val="none"/>
        </w:rPr>
        <w:t>实施单位（公章）：</w:t>
      </w:r>
      <w:r>
        <w:rPr>
          <w:rFonts w:hint="eastAsia" w:ascii="仿宋_GB2312" w:hAnsi="仿宋_GB2312" w:eastAsia="仿宋_GB2312" w:cs="仿宋_GB2312"/>
          <w:kern w:val="0"/>
          <w:sz w:val="36"/>
          <w:szCs w:val="36"/>
          <w:highlight w:val="none"/>
          <w:lang w:val="en-US" w:eastAsia="zh-CN"/>
        </w:rPr>
        <w:t>塔城地区地震局</w:t>
      </w:r>
    </w:p>
    <w:p>
      <w:pPr>
        <w:spacing w:line="700" w:lineRule="exact"/>
        <w:ind w:firstLine="1080" w:firstLineChars="300"/>
        <w:jc w:val="both"/>
        <w:rPr>
          <w:rFonts w:hint="eastAsia" w:ascii="仿宋_GB2312" w:hAnsi="仿宋_GB2312" w:eastAsia="仿宋_GB2312" w:cs="仿宋_GB2312"/>
          <w:kern w:val="0"/>
          <w:sz w:val="36"/>
          <w:szCs w:val="36"/>
          <w:highlight w:val="none"/>
          <w:lang w:val="en-US" w:eastAsia="zh-CN"/>
        </w:rPr>
      </w:pPr>
      <w:r>
        <w:rPr>
          <w:rFonts w:hint="eastAsia" w:ascii="仿宋_GB2312" w:hAnsi="仿宋_GB2312" w:eastAsia="仿宋_GB2312" w:cs="仿宋_GB2312"/>
          <w:kern w:val="0"/>
          <w:sz w:val="36"/>
          <w:szCs w:val="36"/>
          <w:highlight w:val="none"/>
        </w:rPr>
        <w:t>主管部门（公章）：</w:t>
      </w:r>
      <w:r>
        <w:rPr>
          <w:rFonts w:hint="eastAsia" w:ascii="仿宋_GB2312" w:hAnsi="仿宋_GB2312" w:eastAsia="仿宋_GB2312" w:cs="仿宋_GB2312"/>
          <w:kern w:val="0"/>
          <w:sz w:val="36"/>
          <w:szCs w:val="36"/>
          <w:highlight w:val="none"/>
          <w:lang w:val="en-US" w:eastAsia="zh-CN"/>
        </w:rPr>
        <w:t>塔城地区地震局</w:t>
      </w:r>
    </w:p>
    <w:p>
      <w:pPr>
        <w:spacing w:line="700" w:lineRule="exact"/>
        <w:ind w:firstLine="1080" w:firstLineChars="300"/>
        <w:jc w:val="both"/>
        <w:rPr>
          <w:rFonts w:hint="eastAsia" w:ascii="仿宋_GB2312" w:hAnsi="仿宋_GB2312" w:eastAsia="仿宋_GB2312" w:cs="仿宋_GB2312"/>
          <w:kern w:val="0"/>
          <w:sz w:val="36"/>
          <w:szCs w:val="36"/>
          <w:highlight w:val="none"/>
          <w:lang w:val="en-US" w:eastAsia="zh-CN"/>
        </w:rPr>
      </w:pPr>
      <w:r>
        <w:rPr>
          <w:rFonts w:hint="eastAsia" w:ascii="仿宋_GB2312" w:hAnsi="仿宋_GB2312" w:eastAsia="仿宋_GB2312" w:cs="仿宋_GB2312"/>
          <w:kern w:val="0"/>
          <w:sz w:val="36"/>
          <w:szCs w:val="36"/>
          <w:highlight w:val="none"/>
        </w:rPr>
        <w:t>项目负责人（签章）：</w:t>
      </w:r>
      <w:r>
        <w:rPr>
          <w:rFonts w:hint="eastAsia" w:ascii="仿宋_GB2312" w:hAnsi="仿宋_GB2312" w:eastAsia="仿宋_GB2312" w:cs="仿宋_GB2312"/>
          <w:kern w:val="0"/>
          <w:sz w:val="36"/>
          <w:szCs w:val="36"/>
          <w:highlight w:val="none"/>
          <w:lang w:val="en-US" w:eastAsia="zh-CN"/>
        </w:rPr>
        <w:t>周亚新</w:t>
      </w:r>
    </w:p>
    <w:p>
      <w:pPr>
        <w:spacing w:line="700" w:lineRule="exact"/>
        <w:ind w:firstLine="1080" w:firstLineChars="300"/>
        <w:jc w:val="both"/>
        <w:rPr>
          <w:rFonts w:hint="eastAsia" w:ascii="仿宋_GB2312" w:hAnsi="仿宋_GB2312" w:eastAsia="仿宋_GB2312" w:cs="仿宋_GB2312"/>
          <w:kern w:val="0"/>
          <w:sz w:val="36"/>
          <w:szCs w:val="36"/>
          <w:highlight w:val="none"/>
        </w:rPr>
      </w:pPr>
      <w:r>
        <w:rPr>
          <w:rFonts w:hint="eastAsia" w:ascii="仿宋_GB2312" w:hAnsi="仿宋_GB2312" w:eastAsia="仿宋_GB2312" w:cs="仿宋_GB2312"/>
          <w:kern w:val="0"/>
          <w:sz w:val="36"/>
          <w:szCs w:val="36"/>
          <w:highlight w:val="none"/>
        </w:rPr>
        <w:t>填报时间：</w:t>
      </w:r>
      <w:r>
        <w:rPr>
          <w:rFonts w:hint="eastAsia" w:ascii="仿宋_GB2312" w:hAnsi="仿宋_GB2312" w:eastAsia="仿宋_GB2312" w:cs="仿宋_GB2312"/>
          <w:kern w:val="0"/>
          <w:sz w:val="36"/>
          <w:szCs w:val="36"/>
          <w:highlight w:val="none"/>
          <w:lang w:val="en-US" w:eastAsia="zh-CN"/>
        </w:rPr>
        <w:t>2021</w:t>
      </w:r>
      <w:r>
        <w:rPr>
          <w:rFonts w:hint="eastAsia" w:ascii="仿宋_GB2312" w:hAnsi="仿宋_GB2312" w:eastAsia="仿宋_GB2312" w:cs="仿宋_GB2312"/>
          <w:kern w:val="0"/>
          <w:sz w:val="36"/>
          <w:szCs w:val="36"/>
          <w:highlight w:val="none"/>
        </w:rPr>
        <w:t>年</w:t>
      </w:r>
      <w:r>
        <w:rPr>
          <w:rFonts w:hint="eastAsia" w:ascii="仿宋_GB2312" w:hAnsi="仿宋_GB2312" w:eastAsia="仿宋_GB2312" w:cs="仿宋_GB2312"/>
          <w:kern w:val="0"/>
          <w:sz w:val="36"/>
          <w:szCs w:val="36"/>
          <w:highlight w:val="none"/>
          <w:lang w:val="en-US" w:eastAsia="zh-CN"/>
        </w:rPr>
        <w:t>4</w:t>
      </w:r>
      <w:r>
        <w:rPr>
          <w:rFonts w:hint="eastAsia" w:ascii="仿宋_GB2312" w:hAnsi="仿宋_GB2312" w:eastAsia="仿宋_GB2312" w:cs="仿宋_GB2312"/>
          <w:kern w:val="0"/>
          <w:sz w:val="36"/>
          <w:szCs w:val="36"/>
          <w:highlight w:val="none"/>
        </w:rPr>
        <w:t>月</w:t>
      </w:r>
      <w:r>
        <w:rPr>
          <w:rFonts w:hint="eastAsia" w:ascii="仿宋_GB2312" w:hAnsi="仿宋_GB2312" w:eastAsia="仿宋_GB2312" w:cs="仿宋_GB2312"/>
          <w:kern w:val="0"/>
          <w:sz w:val="36"/>
          <w:szCs w:val="36"/>
          <w:highlight w:val="none"/>
          <w:lang w:val="en-US" w:eastAsia="zh-CN"/>
        </w:rPr>
        <w:t>2</w:t>
      </w:r>
      <w:r>
        <w:rPr>
          <w:rFonts w:hint="eastAsia" w:ascii="仿宋_GB2312" w:hAnsi="仿宋_GB2312" w:eastAsia="仿宋_GB2312" w:cs="仿宋_GB2312"/>
          <w:kern w:val="0"/>
          <w:sz w:val="36"/>
          <w:szCs w:val="36"/>
          <w:highlight w:val="none"/>
        </w:rPr>
        <w:t>日</w:t>
      </w:r>
    </w:p>
    <w:p>
      <w:pPr>
        <w:spacing w:line="540" w:lineRule="exact"/>
        <w:jc w:val="center"/>
        <w:rPr>
          <w:rFonts w:hAnsi="宋体" w:eastAsia="仿宋_GB2312" w:cs="宋体"/>
          <w:kern w:val="0"/>
          <w:sz w:val="30"/>
          <w:szCs w:val="30"/>
          <w:highlight w:val="none"/>
        </w:rPr>
      </w:pPr>
    </w:p>
    <w:p>
      <w:pPr>
        <w:pStyle w:val="15"/>
        <w:rPr>
          <w:rFonts w:hAnsi="宋体" w:eastAsia="仿宋_GB2312" w:cs="宋体"/>
          <w:kern w:val="0"/>
          <w:sz w:val="30"/>
          <w:szCs w:val="30"/>
          <w:highlight w:val="none"/>
        </w:rPr>
      </w:pPr>
    </w:p>
    <w:p>
      <w:pPr>
        <w:pStyle w:val="15"/>
        <w:rPr>
          <w:rFonts w:hAnsi="宋体" w:eastAsia="仿宋_GB2312" w:cs="宋体"/>
          <w:kern w:val="0"/>
          <w:sz w:val="30"/>
          <w:szCs w:val="30"/>
          <w:highlight w:val="none"/>
        </w:rPr>
      </w:pPr>
    </w:p>
    <w:p>
      <w:pPr>
        <w:pStyle w:val="15"/>
        <w:rPr>
          <w:rFonts w:hAnsi="宋体" w:eastAsia="仿宋_GB2312" w:cs="宋体"/>
          <w:kern w:val="0"/>
          <w:sz w:val="30"/>
          <w:szCs w:val="30"/>
          <w:highlight w:val="none"/>
        </w:rPr>
      </w:pPr>
    </w:p>
    <w:p>
      <w:pPr>
        <w:pStyle w:val="15"/>
        <w:jc w:val="both"/>
        <w:outlineLvl w:val="1"/>
        <w:rPr>
          <w:rFonts w:hAnsi="宋体" w:eastAsia="仿宋_GB2312" w:cs="宋体"/>
          <w:kern w:val="0"/>
          <w:sz w:val="30"/>
          <w:szCs w:val="30"/>
          <w:highlight w:val="none"/>
        </w:rPr>
      </w:pPr>
    </w:p>
    <w:p>
      <w:pPr>
        <w:pStyle w:val="15"/>
        <w:keepLines w:val="0"/>
        <w:pageBreakBefore w:val="0"/>
        <w:kinsoku/>
        <w:wordWrap/>
        <w:overflowPunct/>
        <w:topLinePunct w:val="0"/>
        <w:autoSpaceDE/>
        <w:autoSpaceDN/>
        <w:bidi w:val="0"/>
        <w:adjustRightInd/>
        <w:spacing w:line="560" w:lineRule="exact"/>
        <w:textAlignment w:val="auto"/>
        <w:outlineLvl w:val="1"/>
        <w:rPr>
          <w:rFonts w:hint="eastAsia" w:ascii="黑体" w:hAnsi="黑体" w:eastAsia="黑体" w:cs="黑体"/>
          <w:b/>
          <w:bCs/>
          <w:kern w:val="0"/>
          <w:sz w:val="30"/>
          <w:szCs w:val="30"/>
          <w:highlight w:val="none"/>
        </w:rPr>
      </w:pPr>
    </w:p>
    <w:p>
      <w:pPr>
        <w:pStyle w:val="15"/>
        <w:keepLines w:val="0"/>
        <w:pageBreakBefore w:val="0"/>
        <w:kinsoku/>
        <w:wordWrap/>
        <w:overflowPunct/>
        <w:topLinePunct w:val="0"/>
        <w:autoSpaceDE/>
        <w:autoSpaceDN/>
        <w:bidi w:val="0"/>
        <w:adjustRightInd/>
        <w:spacing w:line="560" w:lineRule="exact"/>
        <w:textAlignment w:val="auto"/>
        <w:rPr>
          <w:rFonts w:hint="eastAsia" w:ascii="黑体" w:hAnsi="黑体" w:eastAsia="黑体" w:cs="黑体"/>
          <w:b/>
          <w:bCs/>
          <w:kern w:val="0"/>
          <w:sz w:val="32"/>
          <w:szCs w:val="32"/>
          <w:highlight w:val="none"/>
          <w:u w:val="none"/>
          <w:lang w:eastAsia="zh-CN"/>
        </w:rPr>
      </w:pPr>
      <w:r>
        <w:rPr>
          <w:rFonts w:hint="eastAsia" w:ascii="黑体" w:hAnsi="黑体" w:eastAsia="黑体" w:cs="黑体"/>
          <w:b/>
          <w:bCs/>
          <w:kern w:val="0"/>
          <w:sz w:val="32"/>
          <w:szCs w:val="32"/>
          <w:highlight w:val="none"/>
          <w:u w:val="none"/>
          <w:lang w:eastAsia="zh-CN"/>
        </w:rPr>
        <w:t>目</w:t>
      </w:r>
      <w:r>
        <w:rPr>
          <w:rFonts w:hint="eastAsia" w:ascii="黑体" w:hAnsi="黑体" w:eastAsia="黑体" w:cs="黑体"/>
          <w:b/>
          <w:bCs/>
          <w:kern w:val="0"/>
          <w:sz w:val="32"/>
          <w:szCs w:val="32"/>
          <w:highlight w:val="none"/>
          <w:u w:val="none"/>
          <w:lang w:val="en-US" w:eastAsia="zh-CN"/>
        </w:rPr>
        <w:t xml:space="preserve">  </w:t>
      </w:r>
      <w:r>
        <w:rPr>
          <w:rFonts w:hint="eastAsia" w:ascii="黑体" w:hAnsi="黑体" w:eastAsia="黑体" w:cs="黑体"/>
          <w:b/>
          <w:bCs/>
          <w:kern w:val="0"/>
          <w:sz w:val="32"/>
          <w:szCs w:val="32"/>
          <w:highlight w:val="none"/>
          <w:u w:val="none"/>
          <w:lang w:eastAsia="zh-CN"/>
        </w:rPr>
        <w:t>录</w:t>
      </w:r>
    </w:p>
    <w:p>
      <w:pPr>
        <w:pStyle w:val="16"/>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Style w:val="22"/>
          <w:rFonts w:hint="eastAsia" w:ascii="仿宋_GB2312" w:hAnsi="仿宋_GB2312" w:eastAsia="仿宋_GB2312" w:cs="仿宋_GB2312"/>
          <w:b w:val="0"/>
          <w:spacing w:val="-4"/>
          <w:sz w:val="44"/>
          <w:szCs w:val="44"/>
          <w:highlight w:val="none"/>
        </w:rPr>
        <w:fldChar w:fldCharType="begin"/>
      </w:r>
      <w:r>
        <w:rPr>
          <w:rStyle w:val="22"/>
          <w:rFonts w:hint="eastAsia" w:ascii="仿宋_GB2312" w:hAnsi="仿宋_GB2312" w:eastAsia="仿宋_GB2312" w:cs="仿宋_GB2312"/>
          <w:b w:val="0"/>
          <w:spacing w:val="-4"/>
          <w:sz w:val="44"/>
          <w:szCs w:val="44"/>
          <w:highlight w:val="none"/>
        </w:rPr>
        <w:instrText xml:space="preserve">TOC \o "1-2" \h \u </w:instrText>
      </w:r>
      <w:r>
        <w:rPr>
          <w:rStyle w:val="22"/>
          <w:rFonts w:hint="eastAsia" w:ascii="仿宋_GB2312" w:hAnsi="仿宋_GB2312" w:eastAsia="仿宋_GB2312" w:cs="仿宋_GB2312"/>
          <w:b w:val="0"/>
          <w:spacing w:val="-4"/>
          <w:sz w:val="44"/>
          <w:szCs w:val="44"/>
          <w:highlight w:val="none"/>
        </w:rPr>
        <w:fldChar w:fldCharType="separate"/>
      </w: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_Toc27843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rPr>
        <w:t>一、基本情况</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_Toc27843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1</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8"/>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_Toc28676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rPr>
        <w:t>（一）项目概况</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_Toc28676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1</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8"/>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_Toc13123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rPr>
        <w:t>（二）项目绩效目标</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_Toc13123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2</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6"/>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_Toc15496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rPr>
        <w:t>二、绩效评价工作开展情况</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_Toc15496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4</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8"/>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_Toc2724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rPr>
        <w:t>（一）绩效评价目的、对象和范围</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_Toc2724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4</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8"/>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_Toc6541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rPr>
        <w:t>（二）绩效评价原则、评价指标体系（详情见表1）、评价方法、评价标准。</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_Toc6541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5</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6"/>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_Toc30074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lang w:eastAsia="zh-CN"/>
        </w:rPr>
        <w:t>三、</w:t>
      </w:r>
      <w:r>
        <w:rPr>
          <w:rFonts w:hint="eastAsia" w:ascii="仿宋_GB2312" w:hAnsi="仿宋_GB2312" w:eastAsia="仿宋_GB2312" w:cs="仿宋_GB2312"/>
          <w:sz w:val="28"/>
          <w:szCs w:val="36"/>
          <w:highlight w:val="none"/>
        </w:rPr>
        <w:t>综合评价情况及评价结论（附相关评分表）</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_Toc30074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8</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6"/>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_Toc3276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rPr>
        <w:t>四、绩效评价指标分析</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_Toc3276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10</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8"/>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_Toc14042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rPr>
        <w:t>（一）项目决策情况</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_Toc14042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10</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8"/>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_Toc21793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lang w:eastAsia="zh-CN"/>
        </w:rPr>
        <w:t>（二）</w:t>
      </w:r>
      <w:r>
        <w:rPr>
          <w:rFonts w:hint="eastAsia" w:ascii="仿宋_GB2312" w:hAnsi="仿宋_GB2312" w:eastAsia="仿宋_GB2312" w:cs="仿宋_GB2312"/>
          <w:sz w:val="28"/>
          <w:szCs w:val="36"/>
          <w:highlight w:val="none"/>
        </w:rPr>
        <w:t>项目过程情况</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_Toc21793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10</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8"/>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_Toc17834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lang w:eastAsia="zh-CN"/>
        </w:rPr>
        <w:t>（三）</w:t>
      </w:r>
      <w:r>
        <w:rPr>
          <w:rFonts w:hint="eastAsia" w:ascii="仿宋_GB2312" w:hAnsi="仿宋_GB2312" w:eastAsia="仿宋_GB2312" w:cs="仿宋_GB2312"/>
          <w:sz w:val="28"/>
          <w:szCs w:val="36"/>
          <w:highlight w:val="none"/>
        </w:rPr>
        <w:t>项目产出</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_Toc17834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10</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8"/>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_Toc28644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lang w:eastAsia="zh-CN"/>
        </w:rPr>
        <w:t>（四）</w:t>
      </w:r>
      <w:r>
        <w:rPr>
          <w:rFonts w:hint="eastAsia" w:ascii="仿宋_GB2312" w:hAnsi="仿宋_GB2312" w:eastAsia="仿宋_GB2312" w:cs="仿宋_GB2312"/>
          <w:sz w:val="28"/>
          <w:szCs w:val="36"/>
          <w:highlight w:val="none"/>
        </w:rPr>
        <w:t>效益情况</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_Toc28644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11</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6"/>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_Toc9193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rPr>
        <w:t>五、主要经验及做法、存在的问题及原因分析</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_Toc9193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11</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8"/>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_Toc15660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rPr>
        <w:t>（一）主要经验及做法</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_Toc15660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11</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8"/>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_Toc30481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lang w:eastAsia="zh-CN"/>
        </w:rPr>
        <w:t>（二）</w:t>
      </w:r>
      <w:r>
        <w:rPr>
          <w:rFonts w:hint="eastAsia" w:ascii="仿宋_GB2312" w:hAnsi="仿宋_GB2312" w:eastAsia="仿宋_GB2312" w:cs="仿宋_GB2312"/>
          <w:sz w:val="28"/>
          <w:szCs w:val="36"/>
          <w:highlight w:val="none"/>
        </w:rPr>
        <w:t>存在的问题及原因分析</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_Toc30481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12</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6"/>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_Toc27586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lang w:eastAsia="zh-CN"/>
        </w:rPr>
        <w:t>六、</w:t>
      </w:r>
      <w:r>
        <w:rPr>
          <w:rFonts w:hint="eastAsia" w:ascii="仿宋_GB2312" w:hAnsi="仿宋_GB2312" w:eastAsia="仿宋_GB2312" w:cs="仿宋_GB2312"/>
          <w:sz w:val="28"/>
          <w:szCs w:val="36"/>
          <w:highlight w:val="none"/>
        </w:rPr>
        <w:t>有关建议</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_Toc27586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12</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pStyle w:val="16"/>
        <w:keepLines w:val="0"/>
        <w:pageBreakBefore w:val="0"/>
        <w:tabs>
          <w:tab w:val="right" w:leader="dot" w:pos="8548"/>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28"/>
          <w:szCs w:val="36"/>
          <w:highlight w:val="none"/>
        </w:rPr>
      </w:pPr>
      <w:r>
        <w:rPr>
          <w:rFonts w:hint="eastAsia" w:ascii="仿宋_GB2312" w:hAnsi="仿宋_GB2312" w:eastAsia="仿宋_GB2312" w:cs="仿宋_GB2312"/>
          <w:spacing w:val="-4"/>
          <w:sz w:val="28"/>
          <w:szCs w:val="44"/>
          <w:highlight w:val="none"/>
        </w:rPr>
        <w:fldChar w:fldCharType="begin"/>
      </w:r>
      <w:r>
        <w:rPr>
          <w:rFonts w:hint="eastAsia" w:ascii="仿宋_GB2312" w:hAnsi="仿宋_GB2312" w:eastAsia="仿宋_GB2312" w:cs="仿宋_GB2312"/>
          <w:spacing w:val="-4"/>
          <w:sz w:val="28"/>
          <w:szCs w:val="44"/>
          <w:highlight w:val="none"/>
        </w:rPr>
        <w:instrText xml:space="preserve"> HYPERLINK \l _Toc3125 </w:instrText>
      </w:r>
      <w:r>
        <w:rPr>
          <w:rFonts w:hint="eastAsia" w:ascii="仿宋_GB2312" w:hAnsi="仿宋_GB2312" w:eastAsia="仿宋_GB2312" w:cs="仿宋_GB2312"/>
          <w:spacing w:val="-4"/>
          <w:sz w:val="28"/>
          <w:szCs w:val="44"/>
          <w:highlight w:val="none"/>
        </w:rPr>
        <w:fldChar w:fldCharType="separate"/>
      </w:r>
      <w:r>
        <w:rPr>
          <w:rFonts w:hint="eastAsia" w:ascii="仿宋_GB2312" w:hAnsi="仿宋_GB2312" w:eastAsia="仿宋_GB2312" w:cs="仿宋_GB2312"/>
          <w:sz w:val="28"/>
          <w:szCs w:val="36"/>
          <w:highlight w:val="none"/>
          <w:lang w:eastAsia="zh-CN"/>
        </w:rPr>
        <w:t>七、</w:t>
      </w:r>
      <w:r>
        <w:rPr>
          <w:rFonts w:hint="eastAsia" w:ascii="仿宋_GB2312" w:hAnsi="仿宋_GB2312" w:eastAsia="仿宋_GB2312" w:cs="仿宋_GB2312"/>
          <w:sz w:val="28"/>
          <w:szCs w:val="36"/>
          <w:highlight w:val="none"/>
        </w:rPr>
        <w:t>其他需要说明的问题</w:t>
      </w:r>
      <w:r>
        <w:rPr>
          <w:rFonts w:hint="eastAsia" w:ascii="仿宋_GB2312" w:hAnsi="仿宋_GB2312" w:eastAsia="仿宋_GB2312" w:cs="仿宋_GB2312"/>
          <w:sz w:val="28"/>
          <w:szCs w:val="36"/>
          <w:highlight w:val="none"/>
        </w:rPr>
        <w:tab/>
      </w:r>
      <w:r>
        <w:rPr>
          <w:rFonts w:hint="eastAsia" w:ascii="仿宋_GB2312" w:hAnsi="仿宋_GB2312" w:eastAsia="仿宋_GB2312" w:cs="仿宋_GB2312"/>
          <w:sz w:val="28"/>
          <w:szCs w:val="36"/>
          <w:highlight w:val="none"/>
        </w:rPr>
        <w:fldChar w:fldCharType="begin"/>
      </w:r>
      <w:r>
        <w:rPr>
          <w:rFonts w:hint="eastAsia" w:ascii="仿宋_GB2312" w:hAnsi="仿宋_GB2312" w:eastAsia="仿宋_GB2312" w:cs="仿宋_GB2312"/>
          <w:sz w:val="28"/>
          <w:szCs w:val="36"/>
          <w:highlight w:val="none"/>
        </w:rPr>
        <w:instrText xml:space="preserve"> PAGEREF _Toc3125 \h </w:instrText>
      </w:r>
      <w:r>
        <w:rPr>
          <w:rFonts w:hint="eastAsia" w:ascii="仿宋_GB2312" w:hAnsi="仿宋_GB2312" w:eastAsia="仿宋_GB2312" w:cs="仿宋_GB2312"/>
          <w:sz w:val="28"/>
          <w:szCs w:val="36"/>
          <w:highlight w:val="none"/>
        </w:rPr>
        <w:fldChar w:fldCharType="separate"/>
      </w:r>
      <w:r>
        <w:rPr>
          <w:rFonts w:hint="eastAsia" w:ascii="仿宋_GB2312" w:hAnsi="仿宋_GB2312" w:eastAsia="仿宋_GB2312" w:cs="仿宋_GB2312"/>
          <w:sz w:val="28"/>
          <w:szCs w:val="36"/>
          <w:highlight w:val="none"/>
        </w:rPr>
        <w:t>13</w:t>
      </w:r>
      <w:r>
        <w:rPr>
          <w:rFonts w:hint="eastAsia" w:ascii="仿宋_GB2312" w:hAnsi="仿宋_GB2312" w:eastAsia="仿宋_GB2312" w:cs="仿宋_GB2312"/>
          <w:sz w:val="28"/>
          <w:szCs w:val="36"/>
          <w:highlight w:val="none"/>
        </w:rPr>
        <w:fldChar w:fldCharType="end"/>
      </w:r>
      <w:r>
        <w:rPr>
          <w:rFonts w:hint="eastAsia" w:ascii="仿宋_GB2312" w:hAnsi="仿宋_GB2312" w:eastAsia="仿宋_GB2312" w:cs="仿宋_GB2312"/>
          <w:spacing w:val="-4"/>
          <w:sz w:val="28"/>
          <w:szCs w:val="44"/>
          <w:highlight w:val="none"/>
        </w:rPr>
        <w:fldChar w:fldCharType="end"/>
      </w:r>
    </w:p>
    <w:p>
      <w:pPr>
        <w:keepLines w:val="0"/>
        <w:pageBreakBefore w:val="0"/>
        <w:kinsoku/>
        <w:wordWrap/>
        <w:overflowPunct/>
        <w:topLinePunct w:val="0"/>
        <w:autoSpaceDE/>
        <w:autoSpaceDN/>
        <w:bidi w:val="0"/>
        <w:adjustRightInd/>
        <w:spacing w:line="560" w:lineRule="exact"/>
        <w:textAlignment w:val="auto"/>
        <w:rPr>
          <w:rStyle w:val="22"/>
          <w:rFonts w:hint="eastAsia" w:ascii="仿宋_GB2312" w:hAnsi="仿宋_GB2312" w:eastAsia="仿宋_GB2312" w:cs="仿宋_GB2312"/>
          <w:b w:val="0"/>
          <w:spacing w:val="-4"/>
          <w:sz w:val="44"/>
          <w:szCs w:val="44"/>
          <w:highlight w:val="none"/>
        </w:rPr>
      </w:pPr>
      <w:r>
        <w:rPr>
          <w:rFonts w:hint="eastAsia" w:ascii="仿宋_GB2312" w:hAnsi="仿宋_GB2312" w:eastAsia="仿宋_GB2312" w:cs="仿宋_GB2312"/>
          <w:spacing w:val="-4"/>
          <w:sz w:val="28"/>
          <w:szCs w:val="44"/>
          <w:highlight w:val="none"/>
        </w:rPr>
        <w:fldChar w:fldCharType="end"/>
      </w:r>
    </w:p>
    <w:p>
      <w:pPr>
        <w:keepLines w:val="0"/>
        <w:pageBreakBefore w:val="0"/>
        <w:kinsoku/>
        <w:wordWrap/>
        <w:overflowPunct/>
        <w:topLinePunct w:val="0"/>
        <w:autoSpaceDE/>
        <w:autoSpaceDN/>
        <w:bidi w:val="0"/>
        <w:adjustRightInd/>
        <w:spacing w:line="560" w:lineRule="exact"/>
        <w:ind w:firstLine="640"/>
        <w:textAlignment w:val="auto"/>
        <w:rPr>
          <w:rStyle w:val="22"/>
          <w:rFonts w:ascii="黑体" w:hAnsi="黑体" w:eastAsia="黑体"/>
          <w:b w:val="0"/>
          <w:spacing w:val="-4"/>
          <w:sz w:val="32"/>
          <w:szCs w:val="32"/>
          <w:highlight w:val="none"/>
        </w:rPr>
      </w:pPr>
    </w:p>
    <w:p>
      <w:pPr>
        <w:keepLines w:val="0"/>
        <w:pageBreakBefore w:val="0"/>
        <w:kinsoku/>
        <w:wordWrap/>
        <w:overflowPunct/>
        <w:topLinePunct w:val="0"/>
        <w:autoSpaceDE/>
        <w:autoSpaceDN/>
        <w:bidi w:val="0"/>
        <w:adjustRightInd/>
        <w:spacing w:line="560" w:lineRule="exact"/>
        <w:textAlignment w:val="auto"/>
        <w:rPr>
          <w:rFonts w:hint="eastAsia" w:ascii="黑体" w:hAnsi="黑体" w:eastAsia="黑体" w:cs="黑体"/>
          <w:bCs/>
          <w:sz w:val="32"/>
          <w:szCs w:val="32"/>
          <w:highlight w:val="none"/>
        </w:rPr>
      </w:pPr>
    </w:p>
    <w:p>
      <w:pPr>
        <w:pStyle w:val="3"/>
        <w:keepLines w:val="0"/>
        <w:pageBreakBefore w:val="0"/>
        <w:kinsoku/>
        <w:wordWrap/>
        <w:overflowPunct/>
        <w:topLinePunct w:val="0"/>
        <w:autoSpaceDE/>
        <w:autoSpaceDN/>
        <w:bidi w:val="0"/>
        <w:adjustRightInd/>
        <w:spacing w:before="0" w:after="0" w:line="560" w:lineRule="exact"/>
        <w:textAlignment w:val="auto"/>
        <w:rPr>
          <w:rFonts w:hint="eastAsia"/>
          <w:highlight w:val="none"/>
        </w:rPr>
        <w:sectPr>
          <w:pgSz w:w="11906" w:h="16838"/>
          <w:pgMar w:top="1440" w:right="1558" w:bottom="1440" w:left="1800" w:header="851" w:footer="992" w:gutter="0"/>
          <w:cols w:space="425" w:num="1"/>
          <w:docGrid w:type="lines" w:linePitch="312" w:charSpace="0"/>
        </w:sectPr>
      </w:pPr>
      <w:bookmarkStart w:id="0" w:name="_Toc31695"/>
      <w:bookmarkStart w:id="1" w:name="_Toc11238"/>
      <w:bookmarkStart w:id="2" w:name="_Toc27843"/>
      <w:bookmarkStart w:id="3" w:name="_Toc16659"/>
      <w:bookmarkStart w:id="4" w:name="_Toc29908"/>
    </w:p>
    <w:p>
      <w:pPr>
        <w:pStyle w:val="3"/>
        <w:keepLines w:val="0"/>
        <w:pageBreakBefore w:val="0"/>
        <w:kinsoku/>
        <w:wordWrap/>
        <w:overflowPunct/>
        <w:topLinePunct w:val="0"/>
        <w:autoSpaceDE/>
        <w:autoSpaceDN/>
        <w:bidi w:val="0"/>
        <w:adjustRightInd/>
        <w:spacing w:before="0" w:after="0" w:line="560" w:lineRule="exact"/>
        <w:textAlignment w:val="auto"/>
        <w:rPr>
          <w:rFonts w:hint="eastAsia" w:ascii="黑体" w:hAnsi="黑体" w:eastAsia="黑体" w:cs="黑体"/>
          <w:highlight w:val="none"/>
        </w:rPr>
      </w:pPr>
      <w:r>
        <w:rPr>
          <w:rFonts w:hint="eastAsia" w:ascii="黑体" w:hAnsi="黑体" w:eastAsia="黑体" w:cs="黑体"/>
          <w:highlight w:val="none"/>
        </w:rPr>
        <w:t>一、基本情况</w:t>
      </w:r>
      <w:bookmarkEnd w:id="0"/>
      <w:bookmarkEnd w:id="1"/>
      <w:bookmarkEnd w:id="2"/>
      <w:bookmarkEnd w:id="3"/>
      <w:bookmarkEnd w:id="4"/>
    </w:p>
    <w:p>
      <w:pPr>
        <w:pStyle w:val="4"/>
        <w:keepLines w:val="0"/>
        <w:pageBreakBefore w:val="0"/>
        <w:kinsoku/>
        <w:wordWrap/>
        <w:overflowPunct/>
        <w:topLinePunct w:val="0"/>
        <w:autoSpaceDE/>
        <w:autoSpaceDN/>
        <w:bidi w:val="0"/>
        <w:adjustRightInd/>
        <w:spacing w:before="0" w:after="0" w:line="560" w:lineRule="exact"/>
        <w:textAlignment w:val="auto"/>
        <w:rPr>
          <w:rFonts w:hint="eastAsia" w:ascii="楷体" w:hAnsi="楷体" w:eastAsia="楷体" w:cs="楷体"/>
          <w:highlight w:val="none"/>
        </w:rPr>
      </w:pPr>
      <w:bookmarkStart w:id="5" w:name="_Toc32387"/>
      <w:bookmarkStart w:id="6" w:name="_Toc27245"/>
      <w:bookmarkStart w:id="7" w:name="_Toc24691"/>
      <w:bookmarkStart w:id="8" w:name="_Toc29215"/>
      <w:bookmarkStart w:id="9" w:name="_Toc28676"/>
      <w:r>
        <w:rPr>
          <w:rFonts w:hint="eastAsia" w:ascii="楷体" w:hAnsi="楷体" w:eastAsia="楷体" w:cs="楷体"/>
          <w:highlight w:val="none"/>
        </w:rPr>
        <w:t>（一）项目概况</w:t>
      </w:r>
      <w:bookmarkEnd w:id="5"/>
      <w:bookmarkEnd w:id="6"/>
      <w:bookmarkEnd w:id="7"/>
      <w:bookmarkEnd w:id="8"/>
      <w:bookmarkEnd w:id="9"/>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1、项目背景</w:t>
      </w:r>
    </w:p>
    <w:p>
      <w:pPr>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（1）项目实施的政策背景</w:t>
      </w:r>
    </w:p>
    <w:p>
      <w:pPr>
        <w:pStyle w:val="2"/>
        <w:keepLines w:val="0"/>
        <w:pageBreakBefore w:val="0"/>
        <w:kinsoku/>
        <w:wordWrap/>
        <w:overflowPunct/>
        <w:topLinePunct w:val="0"/>
        <w:autoSpaceDE/>
        <w:autoSpaceDN/>
        <w:bidi w:val="0"/>
        <w:adjustRightInd/>
        <w:spacing w:before="0" w:after="0" w:line="560" w:lineRule="exact"/>
        <w:ind w:firstLine="640" w:firstLineChars="200"/>
        <w:jc w:val="left"/>
        <w:textAlignment w:val="auto"/>
        <w:rPr>
          <w:rFonts w:hint="eastAsia" w:ascii="仿宋_GB2312" w:hAnsi="仿宋_GB2312" w:eastAsia="仿宋_GB2312" w:cs="仿宋_GB2312"/>
          <w:b w:val="0"/>
          <w:bCs w:val="0"/>
          <w:kern w:val="0"/>
          <w:sz w:val="32"/>
          <w:szCs w:val="32"/>
          <w:highlight w:val="none"/>
          <w:lang w:val="en-US" w:eastAsia="zh-CN" w:bidi="ar-SA"/>
        </w:rPr>
      </w:pPr>
      <w:bookmarkStart w:id="10" w:name="_Toc26816"/>
      <w:bookmarkStart w:id="11" w:name="_Toc719"/>
      <w:bookmarkStart w:id="12" w:name="_Toc26282"/>
      <w:bookmarkStart w:id="13" w:name="_Toc26687"/>
      <w:bookmarkStart w:id="14" w:name="_Toc12118"/>
      <w:r>
        <w:rPr>
          <w:rFonts w:hint="eastAsia" w:ascii="仿宋_GB2312" w:hAnsi="仿宋_GB2312" w:eastAsia="仿宋_GB2312" w:cs="仿宋_GB2312"/>
          <w:b w:val="0"/>
          <w:bCs w:val="0"/>
          <w:kern w:val="0"/>
          <w:sz w:val="32"/>
          <w:szCs w:val="32"/>
          <w:highlight w:val="none"/>
          <w:lang w:val="en-US" w:eastAsia="zh-CN" w:bidi="ar-SA"/>
        </w:rPr>
        <w:t>依照《中华人民共和国防震减灾法》开展防震减灾科普宣传、培训教育工作，通过加强宣传、培训，不断提高群众防灾意识和公众应知应会的应急自救知识和技能。</w:t>
      </w:r>
      <w:bookmarkEnd w:id="10"/>
      <w:bookmarkEnd w:id="11"/>
      <w:bookmarkEnd w:id="12"/>
      <w:bookmarkEnd w:id="13"/>
      <w:bookmarkEnd w:id="14"/>
    </w:p>
    <w:p>
      <w:pPr>
        <w:pStyle w:val="2"/>
        <w:keepLines w:val="0"/>
        <w:pageBreakBefore w:val="0"/>
        <w:numPr>
          <w:ilvl w:val="0"/>
          <w:numId w:val="1"/>
        </w:numPr>
        <w:kinsoku/>
        <w:wordWrap/>
        <w:overflowPunct/>
        <w:topLinePunct w:val="0"/>
        <w:autoSpaceDE/>
        <w:autoSpaceDN/>
        <w:bidi w:val="0"/>
        <w:adjustRightInd/>
        <w:spacing w:before="0" w:after="0" w:line="560" w:lineRule="exact"/>
        <w:ind w:firstLine="640" w:firstLineChars="200"/>
        <w:jc w:val="both"/>
        <w:textAlignment w:val="auto"/>
        <w:rPr>
          <w:rFonts w:ascii="仿宋_GB2312" w:hAnsi="仿宋_GB2312" w:eastAsia="仿宋_GB2312" w:cs="仿宋_GB2312"/>
          <w:b w:val="0"/>
          <w:bCs w:val="0"/>
          <w:kern w:val="0"/>
          <w:highlight w:val="none"/>
        </w:rPr>
      </w:pPr>
      <w:bookmarkStart w:id="15" w:name="_Toc29520"/>
      <w:bookmarkStart w:id="16" w:name="_Toc26208"/>
      <w:bookmarkStart w:id="17" w:name="_Toc27178"/>
      <w:bookmarkStart w:id="18" w:name="_Toc13250"/>
      <w:bookmarkStart w:id="19" w:name="_Toc24712"/>
      <w:r>
        <w:rPr>
          <w:rFonts w:hint="eastAsia" w:ascii="仿宋_GB2312" w:hAnsi="仿宋_GB2312" w:eastAsia="仿宋_GB2312" w:cs="仿宋_GB2312"/>
          <w:b w:val="0"/>
          <w:bCs w:val="0"/>
          <w:kern w:val="0"/>
          <w:highlight w:val="none"/>
        </w:rPr>
        <w:t>项目实施的历史概况</w:t>
      </w:r>
      <w:bookmarkEnd w:id="15"/>
      <w:bookmarkEnd w:id="16"/>
      <w:bookmarkEnd w:id="17"/>
      <w:bookmarkEnd w:id="18"/>
      <w:bookmarkEnd w:id="19"/>
    </w:p>
    <w:p>
      <w:pPr>
        <w:keepLines w:val="0"/>
        <w:pageBreakBefore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pacing w:line="560" w:lineRule="exact"/>
        <w:ind w:firstLine="640" w:firstLineChars="200"/>
        <w:textAlignment w:val="auto"/>
        <w:outlineLvl w:val="0"/>
        <w:rPr>
          <w:rFonts w:hint="eastAsia" w:ascii="仿宋_GB2312" w:hAnsi="仿宋_GB2312" w:eastAsia="仿宋_GB2312" w:cs="仿宋_GB2312"/>
          <w:sz w:val="30"/>
          <w:szCs w:val="30"/>
          <w:highlight w:val="none"/>
        </w:rPr>
      </w:pPr>
      <w:bookmarkStart w:id="20" w:name="_Toc18947"/>
      <w:bookmarkStart w:id="21" w:name="_Toc18174"/>
      <w:bookmarkStart w:id="22" w:name="_Toc12908"/>
      <w:bookmarkStart w:id="23" w:name="_Toc26947"/>
      <w:bookmarkStart w:id="24" w:name="_Toc14746"/>
      <w:r>
        <w:rPr>
          <w:rFonts w:hint="eastAsia" w:ascii="仿宋_GB2312" w:hAnsi="仿宋_GB2312" w:eastAsia="仿宋_GB2312" w:cs="仿宋_GB2312"/>
          <w:b w:val="0"/>
          <w:bCs w:val="0"/>
          <w:kern w:val="0"/>
          <w:sz w:val="32"/>
          <w:szCs w:val="32"/>
          <w:highlight w:val="none"/>
          <w:lang w:val="en-US" w:eastAsia="zh-CN" w:bidi="ar-SA"/>
        </w:rPr>
        <w:t>自2008年汶川地震后，新疆维吾尔自治区地震局为了进一步加强群测群防工作，提高对地震宏观异常现象的观测与报告，要求各地州市科学建立宏观观测点。根据塔城地区实际情况，截至目前塔城地区共建立66个宏观观测点。因乌苏市、沙湾县为地震危险重点监视区，分别各建立宏观观测点15个和21个，塔城、额敏等其他五个市县分别建立宏观观测点6个。</w:t>
      </w:r>
      <w:bookmarkEnd w:id="20"/>
      <w:bookmarkEnd w:id="21"/>
      <w:bookmarkEnd w:id="22"/>
      <w:bookmarkEnd w:id="23"/>
      <w:bookmarkEnd w:id="24"/>
    </w:p>
    <w:p>
      <w:pPr>
        <w:keepLines w:val="0"/>
        <w:pageBreakBefore w:val="0"/>
        <w:numPr>
          <w:ilvl w:val="0"/>
          <w:numId w:val="2"/>
        </w:numPr>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项目主要内容及实施情况</w:t>
      </w:r>
    </w:p>
    <w:p>
      <w:pPr>
        <w:pStyle w:val="2"/>
        <w:keepLines w:val="0"/>
        <w:pageBreakBefore w:val="0"/>
        <w:kinsoku/>
        <w:wordWrap/>
        <w:overflowPunct/>
        <w:topLinePunct w:val="0"/>
        <w:autoSpaceDE/>
        <w:autoSpaceDN/>
        <w:bidi w:val="0"/>
        <w:adjustRightInd/>
        <w:spacing w:before="0" w:after="0" w:line="560" w:lineRule="exact"/>
        <w:ind w:firstLine="640" w:firstLineChars="200"/>
        <w:jc w:val="both"/>
        <w:textAlignment w:val="auto"/>
        <w:rPr>
          <w:rFonts w:hint="eastAsia" w:ascii="仿宋_GB2312" w:hAnsi="仿宋_GB2312" w:eastAsia="仿宋_GB2312" w:cs="仿宋_GB2312"/>
          <w:b w:val="0"/>
          <w:bCs w:val="0"/>
          <w:kern w:val="0"/>
          <w:sz w:val="32"/>
          <w:szCs w:val="32"/>
          <w:highlight w:val="none"/>
          <w:lang w:val="en-US" w:eastAsia="zh-CN" w:bidi="ar-SA"/>
        </w:rPr>
      </w:pPr>
      <w:bookmarkStart w:id="25" w:name="_Toc6918"/>
      <w:bookmarkStart w:id="26" w:name="_Toc25047"/>
      <w:bookmarkStart w:id="27" w:name="_Toc13007"/>
      <w:bookmarkStart w:id="28" w:name="_Toc7666"/>
      <w:bookmarkStart w:id="29" w:name="_Toc9398"/>
      <w:r>
        <w:rPr>
          <w:rFonts w:hint="eastAsia" w:ascii="仿宋_GB2312" w:hAnsi="仿宋_GB2312" w:eastAsia="仿宋_GB2312" w:cs="仿宋_GB2312"/>
          <w:b w:val="0"/>
          <w:bCs w:val="0"/>
          <w:kern w:val="2"/>
          <w:highlight w:val="none"/>
        </w:rPr>
        <w:t>项目主要内容：</w:t>
      </w:r>
      <w:r>
        <w:rPr>
          <w:rFonts w:hint="eastAsia" w:ascii="仿宋_GB2312" w:hAnsi="仿宋_GB2312" w:eastAsia="仿宋_GB2312" w:cs="仿宋_GB2312"/>
          <w:b w:val="0"/>
          <w:bCs w:val="0"/>
          <w:kern w:val="0"/>
          <w:sz w:val="32"/>
          <w:szCs w:val="32"/>
          <w:highlight w:val="none"/>
          <w:lang w:val="en-US" w:eastAsia="zh-CN" w:bidi="ar-SA"/>
        </w:rPr>
        <w:t>防震减灾“三网一员”工作经费补贴项目主要用于塔城地区防震减灾“三网一员” （地震宏观测报网、地震灾情速报网、地震知识宣传网）工作人员的劳务费支出。项目实施范围为塔城地区五县二市共计66名防震减灾观测员劳务费，受益人员遍布全塔城地区。</w:t>
      </w:r>
      <w:bookmarkEnd w:id="25"/>
      <w:bookmarkEnd w:id="26"/>
      <w:bookmarkEnd w:id="27"/>
      <w:bookmarkEnd w:id="28"/>
      <w:bookmarkEnd w:id="29"/>
    </w:p>
    <w:p>
      <w:pPr>
        <w:keepLines w:val="0"/>
        <w:pageBreakBefore w:val="0"/>
        <w:kinsoku/>
        <w:wordWrap/>
        <w:overflowPunct/>
        <w:topLinePunct w:val="0"/>
        <w:autoSpaceDE/>
        <w:autoSpaceDN/>
        <w:bidi w:val="0"/>
        <w:adjustRightInd/>
        <w:spacing w:line="560" w:lineRule="exact"/>
        <w:ind w:firstLine="640" w:firstLineChars="200"/>
        <w:textAlignment w:val="auto"/>
        <w:rPr>
          <w:rFonts w:hint="default" w:eastAsia="仿宋_GB2312"/>
          <w:highlight w:val="none"/>
          <w:lang w:val="en-US" w:eastAsia="zh-CN"/>
        </w:rPr>
      </w:pPr>
      <w:r>
        <w:rPr>
          <w:rFonts w:hint="eastAsia" w:ascii="仿宋_GB2312" w:hAnsi="仿宋_GB2312" w:eastAsia="仿宋_GB2312" w:cs="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Lines w:val="0"/>
        <w:pageBreakBefore w:val="0"/>
        <w:kinsoku/>
        <w:wordWrap/>
        <w:overflowPunct/>
        <w:topLinePunct w:val="0"/>
        <w:autoSpaceDE/>
        <w:autoSpaceDN/>
        <w:bidi w:val="0"/>
        <w:adjustRightInd/>
        <w:spacing w:line="560" w:lineRule="exact"/>
        <w:ind w:firstLine="579" w:firstLineChars="18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本项目总投资</w:t>
      </w:r>
      <w:r>
        <w:rPr>
          <w:rFonts w:hint="eastAsia" w:ascii="仿宋_GB2312" w:hAnsi="仿宋_GB2312" w:eastAsia="仿宋_GB2312" w:cs="仿宋_GB2312"/>
          <w:sz w:val="32"/>
          <w:szCs w:val="32"/>
          <w:highlight w:val="none"/>
          <w:lang w:val="en-US" w:eastAsia="zh-CN"/>
        </w:rPr>
        <w:t>15.84</w:t>
      </w:r>
      <w:r>
        <w:rPr>
          <w:rFonts w:hint="eastAsia" w:ascii="仿宋_GB2312" w:hAnsi="仿宋_GB2312" w:eastAsia="仿宋_GB2312" w:cs="仿宋_GB2312"/>
          <w:sz w:val="32"/>
          <w:szCs w:val="32"/>
          <w:highlight w:val="none"/>
        </w:rPr>
        <w:t>万元，项目实际支出</w:t>
      </w:r>
      <w:r>
        <w:rPr>
          <w:rFonts w:hint="eastAsia" w:ascii="仿宋_GB2312" w:hAnsi="仿宋_GB2312" w:eastAsia="仿宋_GB2312" w:cs="仿宋_GB2312"/>
          <w:sz w:val="32"/>
          <w:szCs w:val="32"/>
          <w:highlight w:val="none"/>
          <w:lang w:val="en-US" w:eastAsia="zh-CN"/>
        </w:rPr>
        <w:t>15.84</w:t>
      </w:r>
      <w:r>
        <w:rPr>
          <w:rFonts w:hint="eastAsia" w:ascii="仿宋_GB2312" w:hAnsi="仿宋_GB2312" w:eastAsia="仿宋_GB2312" w:cs="仿宋_GB2312"/>
          <w:sz w:val="32"/>
          <w:szCs w:val="32"/>
          <w:highlight w:val="none"/>
        </w:rPr>
        <w:t>万元， 支出率为100%。</w:t>
      </w:r>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3、资金投入和使用情况</w:t>
      </w:r>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sz w:val="20"/>
          <w:szCs w:val="20"/>
          <w:highlight w:val="none"/>
        </w:rPr>
      </w:pPr>
      <w:r>
        <w:rPr>
          <w:rFonts w:hint="eastAsia" w:ascii="仿宋_GB2312" w:hAnsi="仿宋_GB2312" w:eastAsia="仿宋_GB2312" w:cs="仿宋_GB2312"/>
          <w:sz w:val="32"/>
          <w:szCs w:val="32"/>
          <w:highlight w:val="none"/>
        </w:rPr>
        <w:t>（1）资金安排</w:t>
      </w:r>
    </w:p>
    <w:p>
      <w:pPr>
        <w:keepLines w:val="0"/>
        <w:pageBreakBefore w:val="0"/>
        <w:kinsoku/>
        <w:wordWrap/>
        <w:overflowPunct/>
        <w:topLinePunct w:val="0"/>
        <w:autoSpaceDE/>
        <w:autoSpaceDN/>
        <w:bidi w:val="0"/>
        <w:adjustRightInd/>
        <w:spacing w:line="560" w:lineRule="exact"/>
        <w:ind w:firstLine="579" w:firstLineChars="18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项目总投资</w:t>
      </w:r>
      <w:r>
        <w:rPr>
          <w:rFonts w:hint="eastAsia" w:ascii="仿宋_GB2312" w:hAnsi="仿宋_GB2312" w:eastAsia="仿宋_GB2312" w:cs="仿宋_GB2312"/>
          <w:sz w:val="32"/>
          <w:szCs w:val="32"/>
          <w:highlight w:val="none"/>
          <w:lang w:val="en-US" w:eastAsia="zh-CN"/>
        </w:rPr>
        <w:t>15.84</w:t>
      </w:r>
      <w:r>
        <w:rPr>
          <w:rFonts w:hint="eastAsia" w:ascii="仿宋_GB2312" w:hAnsi="仿宋_GB2312" w:eastAsia="仿宋_GB2312" w:cs="仿宋_GB2312"/>
          <w:sz w:val="32"/>
          <w:szCs w:val="32"/>
          <w:highlight w:val="none"/>
        </w:rPr>
        <w:t>万元，按照单位财务</w:t>
      </w:r>
      <w:r>
        <w:rPr>
          <w:rFonts w:hint="eastAsia" w:ascii="仿宋_GB2312" w:hAnsi="仿宋_GB2312" w:eastAsia="仿宋_GB2312" w:cs="仿宋_GB2312"/>
          <w:sz w:val="32"/>
          <w:szCs w:val="32"/>
          <w:highlight w:val="none"/>
          <w:lang w:eastAsia="zh-CN"/>
        </w:rPr>
        <w:t>内控</w:t>
      </w:r>
      <w:r>
        <w:rPr>
          <w:rFonts w:hint="eastAsia" w:ascii="仿宋_GB2312" w:hAnsi="仿宋_GB2312" w:eastAsia="仿宋_GB2312" w:cs="仿宋_GB2312"/>
          <w:sz w:val="32"/>
          <w:szCs w:val="32"/>
          <w:highlight w:val="none"/>
        </w:rPr>
        <w:t>制度等相关规定，资金支出符合</w:t>
      </w:r>
      <w:r>
        <w:rPr>
          <w:rFonts w:hint="eastAsia" w:ascii="仿宋_GB2312" w:hAnsi="仿宋_GB2312" w:eastAsia="仿宋_GB2312" w:cs="仿宋_GB2312"/>
          <w:sz w:val="32"/>
          <w:szCs w:val="32"/>
          <w:highlight w:val="none"/>
          <w:lang w:eastAsia="zh-CN"/>
        </w:rPr>
        <w:t>防震减灾“三网一员”</w:t>
      </w:r>
      <w:r>
        <w:rPr>
          <w:rFonts w:hint="eastAsia" w:ascii="仿宋_GB2312" w:hAnsi="仿宋_GB2312" w:eastAsia="仿宋_GB2312" w:cs="仿宋_GB2312"/>
          <w:sz w:val="32"/>
          <w:szCs w:val="32"/>
          <w:highlight w:val="none"/>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highlight w:val="none"/>
          <w:lang w:eastAsia="zh-CN"/>
        </w:rPr>
        <w:t>防震减灾“三网一员”</w:t>
      </w:r>
      <w:r>
        <w:rPr>
          <w:rFonts w:hint="eastAsia" w:ascii="仿宋_GB2312" w:hAnsi="仿宋_GB2312" w:eastAsia="仿宋_GB2312" w:cs="仿宋_GB2312"/>
          <w:sz w:val="32"/>
          <w:szCs w:val="32"/>
          <w:highlight w:val="none"/>
        </w:rPr>
        <w:t>专项资金的拨付程序，认真审核项目实施各阶段的相关材料和手续，根据项目实施进展情况拨付资金。</w:t>
      </w:r>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（2）预算资金来源及使用情况</w:t>
      </w:r>
      <w:bookmarkStart w:id="30" w:name="page10"/>
      <w:bookmarkEnd w:id="30"/>
    </w:p>
    <w:p>
      <w:pPr>
        <w:pStyle w:val="2"/>
        <w:keepLines w:val="0"/>
        <w:pageBreakBefore w:val="0"/>
        <w:kinsoku/>
        <w:wordWrap/>
        <w:overflowPunct/>
        <w:topLinePunct w:val="0"/>
        <w:autoSpaceDE/>
        <w:autoSpaceDN/>
        <w:bidi w:val="0"/>
        <w:adjustRightInd/>
        <w:spacing w:before="0" w:after="0" w:line="560" w:lineRule="exact"/>
        <w:ind w:firstLine="640" w:firstLineChars="200"/>
        <w:jc w:val="both"/>
        <w:textAlignment w:val="auto"/>
        <w:rPr>
          <w:rFonts w:ascii="仿宋_GB2312" w:hAnsi="仿宋_GB2312" w:eastAsia="仿宋_GB2312" w:cs="仿宋_GB2312"/>
          <w:b w:val="0"/>
          <w:bCs w:val="0"/>
          <w:kern w:val="2"/>
          <w:highlight w:val="none"/>
        </w:rPr>
      </w:pPr>
      <w:bookmarkStart w:id="31" w:name="_Toc25645"/>
      <w:bookmarkStart w:id="32" w:name="_Toc19691"/>
      <w:bookmarkStart w:id="33" w:name="_Toc9868"/>
      <w:bookmarkStart w:id="34" w:name="_Toc12787"/>
      <w:bookmarkStart w:id="35" w:name="_Toc7011"/>
      <w:r>
        <w:rPr>
          <w:rFonts w:hint="eastAsia" w:ascii="仿宋_GB2312" w:hAnsi="仿宋_GB2312" w:eastAsia="仿宋_GB2312" w:cs="仿宋_GB2312"/>
          <w:b w:val="0"/>
          <w:bCs w:val="0"/>
          <w:kern w:val="2"/>
          <w:highlight w:val="none"/>
        </w:rPr>
        <w:t>项目预算资金来源于塔地财教[2020]25号文件中批复的资金，项目资金到位</w:t>
      </w:r>
      <w:r>
        <w:rPr>
          <w:rFonts w:hint="eastAsia" w:ascii="仿宋_GB2312" w:hAnsi="仿宋_GB2312" w:eastAsia="仿宋_GB2312" w:cs="仿宋_GB2312"/>
          <w:b w:val="0"/>
          <w:bCs w:val="0"/>
          <w:kern w:val="2"/>
          <w:highlight w:val="none"/>
          <w:lang w:val="en-US" w:eastAsia="zh-CN"/>
        </w:rPr>
        <w:t>15.84</w:t>
      </w:r>
      <w:r>
        <w:rPr>
          <w:rFonts w:hint="eastAsia" w:ascii="仿宋_GB2312" w:hAnsi="仿宋_GB2312" w:eastAsia="仿宋_GB2312" w:cs="仿宋_GB2312"/>
          <w:b w:val="0"/>
          <w:bCs w:val="0"/>
          <w:kern w:val="2"/>
          <w:highlight w:val="none"/>
        </w:rPr>
        <w:t>万元，用于支付项目实施进程中的各项费用。</w:t>
      </w:r>
      <w:bookmarkEnd w:id="31"/>
      <w:bookmarkEnd w:id="32"/>
      <w:bookmarkEnd w:id="33"/>
      <w:bookmarkEnd w:id="34"/>
      <w:bookmarkEnd w:id="35"/>
    </w:p>
    <w:p>
      <w:pPr>
        <w:pStyle w:val="4"/>
        <w:keepLines w:val="0"/>
        <w:pageBreakBefore w:val="0"/>
        <w:kinsoku/>
        <w:wordWrap/>
        <w:overflowPunct/>
        <w:topLinePunct w:val="0"/>
        <w:autoSpaceDE/>
        <w:autoSpaceDN/>
        <w:bidi w:val="0"/>
        <w:adjustRightInd/>
        <w:spacing w:before="0" w:after="0" w:line="560" w:lineRule="exact"/>
        <w:textAlignment w:val="auto"/>
        <w:rPr>
          <w:rFonts w:hint="eastAsia" w:ascii="楷体" w:hAnsi="楷体" w:eastAsia="楷体" w:cs="楷体"/>
          <w:highlight w:val="none"/>
        </w:rPr>
      </w:pPr>
      <w:bookmarkStart w:id="36" w:name="_Toc13123"/>
      <w:bookmarkStart w:id="37" w:name="_Toc191"/>
      <w:bookmarkStart w:id="38" w:name="_Toc15965"/>
      <w:bookmarkStart w:id="39" w:name="_Toc440"/>
      <w:bookmarkStart w:id="40" w:name="_Toc26128"/>
      <w:r>
        <w:rPr>
          <w:rFonts w:hint="eastAsia" w:ascii="楷体" w:hAnsi="楷体" w:eastAsia="楷体" w:cs="楷体"/>
          <w:highlight w:val="none"/>
        </w:rPr>
        <w:t>（二）项目绩效目标</w:t>
      </w:r>
      <w:bookmarkEnd w:id="36"/>
      <w:bookmarkEnd w:id="37"/>
      <w:bookmarkEnd w:id="38"/>
      <w:bookmarkEnd w:id="39"/>
      <w:bookmarkEnd w:id="40"/>
    </w:p>
    <w:p>
      <w:pPr>
        <w:keepLines w:val="0"/>
        <w:pageBreakBefore w:val="0"/>
        <w:kinsoku/>
        <w:wordWrap/>
        <w:overflowPunct/>
        <w:topLinePunct w:val="0"/>
        <w:autoSpaceDE/>
        <w:autoSpaceDN/>
        <w:bidi w:val="0"/>
        <w:adjustRightInd/>
        <w:spacing w:line="560" w:lineRule="exact"/>
        <w:ind w:firstLine="641"/>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1、总体目标</w:t>
      </w:r>
    </w:p>
    <w:p>
      <w:pPr>
        <w:pStyle w:val="2"/>
        <w:keepLines w:val="0"/>
        <w:pageBreakBefore w:val="0"/>
        <w:kinsoku/>
        <w:wordWrap/>
        <w:overflowPunct/>
        <w:topLinePunct w:val="0"/>
        <w:autoSpaceDE/>
        <w:autoSpaceDN/>
        <w:bidi w:val="0"/>
        <w:adjustRightInd/>
        <w:spacing w:before="0" w:after="0" w:line="560" w:lineRule="exact"/>
        <w:ind w:firstLine="640" w:firstLineChars="200"/>
        <w:jc w:val="both"/>
        <w:textAlignment w:val="auto"/>
        <w:rPr>
          <w:rFonts w:hint="eastAsia" w:ascii="仿宋_GB2312" w:hAnsi="仿宋_GB2312" w:eastAsia="仿宋_GB2312" w:cs="仿宋_GB2312"/>
          <w:b w:val="0"/>
          <w:bCs w:val="0"/>
          <w:kern w:val="2"/>
          <w:highlight w:val="none"/>
          <w:lang w:val="en-US" w:eastAsia="zh-CN"/>
        </w:rPr>
      </w:pPr>
      <w:bookmarkStart w:id="41" w:name="_Toc24663"/>
      <w:bookmarkStart w:id="42" w:name="_Toc22141"/>
      <w:bookmarkStart w:id="43" w:name="_Toc143"/>
      <w:bookmarkStart w:id="44" w:name="_Toc26878"/>
      <w:bookmarkStart w:id="45" w:name="_Toc32404"/>
      <w:r>
        <w:rPr>
          <w:rFonts w:hint="eastAsia" w:ascii="仿宋_GB2312" w:hAnsi="仿宋_GB2312" w:eastAsia="仿宋_GB2312" w:cs="仿宋_GB2312"/>
          <w:b w:val="0"/>
          <w:bCs w:val="0"/>
          <w:kern w:val="2"/>
          <w:highlight w:val="none"/>
          <w:lang w:val="en-US" w:eastAsia="zh-CN"/>
        </w:rPr>
        <w:t>防震减灾工作是直接服务于经济建设、关系到社会稳定的重要工作，党和国家历来十分重视。国家对于防震减灾工作提出了明确的指导方针，就是"三大体系"建设，即地震监测、震害防御和地震应急。"三网一员"工作是三大体系建设的具体化，二者是一一对应、相辅相成的。地震宏观测报网的职责是:负责本行政区内的地震宏观测报、常年跟踪观测地震宏观异常情况并及时上报。具体说就是，地震宏观异常测报员要观测和收集动物、植物、地下水、地声、地形变、气象等地震宏观异常现象，认识其正常的变化规律，并记录观测结果。在发现宏观异常后，应及时进行异常的调查核实，确定异常本身是否可靠，同时分析异常原因、规模、出现的区域和时间等特征。宏观异常调查核实后，要进行异常的识别，判断是否与未来的地震有关联，能否作为确定地震宏观异常的依据，如果确定是地震宏观异常现象，应及时填写"地震宏观异常填报表"，上报市、县两级地震部门。对突然出现规模较大的、情况严重的异常，除按规定填报外，还应以电话、电报、传真、电子邮件等方式，用最快的速度上报县、市两级地震部门。</w:t>
      </w:r>
      <w:bookmarkEnd w:id="41"/>
      <w:bookmarkEnd w:id="42"/>
      <w:bookmarkEnd w:id="43"/>
      <w:bookmarkEnd w:id="44"/>
      <w:bookmarkEnd w:id="45"/>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2、阶段性目标</w:t>
      </w:r>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（1）前期准备：根据《</w:t>
      </w:r>
      <w:r>
        <w:rPr>
          <w:rFonts w:hint="eastAsia" w:ascii="仿宋_GB2312" w:hAnsi="仿宋_GB2312" w:eastAsia="仿宋_GB2312" w:cs="仿宋_GB2312"/>
          <w:sz w:val="32"/>
          <w:szCs w:val="32"/>
          <w:highlight w:val="none"/>
          <w:lang w:eastAsia="zh-CN"/>
        </w:rPr>
        <w:t>防震减灾“三网一员”工作经费补贴项目实施</w:t>
      </w:r>
      <w:r>
        <w:rPr>
          <w:rFonts w:hint="eastAsia" w:ascii="仿宋_GB2312" w:hAnsi="仿宋_GB2312" w:eastAsia="仿宋_GB2312" w:cs="仿宋_GB2312"/>
          <w:sz w:val="32"/>
          <w:szCs w:val="32"/>
          <w:highlight w:val="none"/>
        </w:rPr>
        <w:t>方案》，通过制定项目实施方案，经项目负责人审核通过后，有序开展后续工程。</w:t>
      </w:r>
    </w:p>
    <w:p>
      <w:pPr>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（2）组织实施：资金一到位，立即根据项目要求实施项目。项目责任人按照《</w:t>
      </w:r>
      <w:r>
        <w:rPr>
          <w:rFonts w:hint="eastAsia" w:ascii="仿宋_GB2312" w:hAnsi="仿宋_GB2312" w:eastAsia="仿宋_GB2312" w:cs="仿宋_GB2312"/>
          <w:sz w:val="32"/>
          <w:szCs w:val="32"/>
          <w:highlight w:val="none"/>
          <w:lang w:eastAsia="zh-CN"/>
        </w:rPr>
        <w:t>防震减灾“三网一员”工作经费补贴项目实施</w:t>
      </w:r>
      <w:r>
        <w:rPr>
          <w:rFonts w:hint="eastAsia" w:ascii="仿宋_GB2312" w:hAnsi="仿宋_GB2312" w:eastAsia="仿宋_GB2312" w:cs="仿宋_GB2312"/>
          <w:sz w:val="32"/>
          <w:szCs w:val="32"/>
          <w:highlight w:val="none"/>
        </w:rPr>
        <w:t>方案》要求逐一进行项目部署安排，提高项目质量及效率性。</w:t>
      </w:r>
    </w:p>
    <w:p>
      <w:pPr>
        <w:pStyle w:val="3"/>
        <w:keepLines w:val="0"/>
        <w:pageBreakBefore w:val="0"/>
        <w:kinsoku/>
        <w:wordWrap/>
        <w:overflowPunct/>
        <w:topLinePunct w:val="0"/>
        <w:autoSpaceDE/>
        <w:autoSpaceDN/>
        <w:bidi w:val="0"/>
        <w:adjustRightInd/>
        <w:spacing w:before="0" w:after="0" w:line="560" w:lineRule="exact"/>
        <w:textAlignment w:val="auto"/>
        <w:rPr>
          <w:rFonts w:hint="eastAsia" w:ascii="黑体" w:hAnsi="黑体" w:eastAsia="黑体" w:cs="黑体"/>
          <w:highlight w:val="none"/>
        </w:rPr>
      </w:pPr>
      <w:bookmarkStart w:id="46" w:name="_Toc3000"/>
      <w:bookmarkStart w:id="47" w:name="_Toc15496"/>
      <w:bookmarkStart w:id="48" w:name="_Toc17022"/>
      <w:bookmarkStart w:id="49" w:name="_Toc28232"/>
      <w:bookmarkStart w:id="50" w:name="_Toc1913"/>
      <w:r>
        <w:rPr>
          <w:rFonts w:hint="eastAsia" w:ascii="黑体" w:hAnsi="黑体" w:eastAsia="黑体" w:cs="黑体"/>
          <w:highlight w:val="none"/>
        </w:rPr>
        <w:t>二、绩效评价工作开展情况</w:t>
      </w:r>
      <w:bookmarkEnd w:id="46"/>
      <w:bookmarkEnd w:id="47"/>
      <w:bookmarkEnd w:id="48"/>
      <w:bookmarkEnd w:id="49"/>
      <w:bookmarkEnd w:id="50"/>
    </w:p>
    <w:p>
      <w:pPr>
        <w:pStyle w:val="4"/>
        <w:keepLines w:val="0"/>
        <w:pageBreakBefore w:val="0"/>
        <w:kinsoku/>
        <w:wordWrap/>
        <w:overflowPunct/>
        <w:topLinePunct w:val="0"/>
        <w:autoSpaceDE/>
        <w:autoSpaceDN/>
        <w:bidi w:val="0"/>
        <w:adjustRightInd/>
        <w:spacing w:before="0" w:after="0" w:line="560" w:lineRule="exact"/>
        <w:textAlignment w:val="auto"/>
        <w:rPr>
          <w:rFonts w:hint="eastAsia" w:ascii="楷体" w:hAnsi="楷体" w:eastAsia="楷体" w:cs="楷体"/>
          <w:highlight w:val="none"/>
        </w:rPr>
      </w:pPr>
      <w:bookmarkStart w:id="51" w:name="_Toc25218"/>
      <w:bookmarkStart w:id="52" w:name="_Toc32646"/>
      <w:bookmarkStart w:id="53" w:name="_Toc47"/>
      <w:bookmarkStart w:id="54" w:name="_Toc2127"/>
      <w:bookmarkStart w:id="55" w:name="_Toc2724"/>
      <w:r>
        <w:rPr>
          <w:rFonts w:hint="eastAsia" w:ascii="楷体" w:hAnsi="楷体" w:eastAsia="楷体" w:cs="楷体"/>
          <w:highlight w:val="none"/>
        </w:rPr>
        <w:t>（一）绩效评价目的、对象和范围</w:t>
      </w:r>
      <w:bookmarkEnd w:id="51"/>
      <w:bookmarkEnd w:id="52"/>
      <w:bookmarkEnd w:id="53"/>
      <w:bookmarkEnd w:id="54"/>
      <w:bookmarkEnd w:id="55"/>
    </w:p>
    <w:p>
      <w:pPr>
        <w:pStyle w:val="2"/>
        <w:keepLines w:val="0"/>
        <w:pageBreakBefore w:val="0"/>
        <w:widowControl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b/>
          <w:bCs/>
          <w:highlight w:val="none"/>
        </w:rPr>
      </w:pPr>
      <w:bookmarkStart w:id="56" w:name="_Toc4438"/>
      <w:bookmarkStart w:id="57" w:name="_Toc4835"/>
      <w:bookmarkStart w:id="58" w:name="_Toc27352"/>
      <w:bookmarkStart w:id="59" w:name="_Toc31678"/>
      <w:bookmarkStart w:id="60" w:name="_Toc1274"/>
      <w:r>
        <w:rPr>
          <w:rFonts w:hint="eastAsia" w:ascii="仿宋_GB2312" w:hAnsi="仿宋_GB2312" w:eastAsia="仿宋_GB2312" w:cs="仿宋_GB2312"/>
          <w:b/>
          <w:bCs/>
          <w:highlight w:val="none"/>
        </w:rPr>
        <w:t>1、绩效评价的目的</w:t>
      </w:r>
      <w:bookmarkEnd w:id="56"/>
      <w:bookmarkEnd w:id="57"/>
      <w:bookmarkEnd w:id="58"/>
      <w:bookmarkEnd w:id="59"/>
      <w:bookmarkEnd w:id="60"/>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Lines w:val="0"/>
        <w:pageBreakBefore w:val="0"/>
        <w:numPr>
          <w:ilvl w:val="0"/>
          <w:numId w:val="3"/>
        </w:numPr>
        <w:kinsoku/>
        <w:wordWrap/>
        <w:overflowPunct/>
        <w:topLinePunct w:val="0"/>
        <w:autoSpaceDE/>
        <w:autoSpaceDN/>
        <w:bidi w:val="0"/>
        <w:adjustRightInd/>
        <w:spacing w:line="560" w:lineRule="exac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项目在实施前向项目负责人提供财政支出绩效方面的资金管理信息，促进项目支出严格按照资金管理规定进行。</w:t>
      </w:r>
    </w:p>
    <w:p>
      <w:pPr>
        <w:keepLines w:val="0"/>
        <w:pageBreakBefore w:val="0"/>
        <w:kinsoku/>
        <w:wordWrap/>
        <w:overflowPunct/>
        <w:topLinePunct w:val="0"/>
        <w:autoSpaceDE/>
        <w:autoSpaceDN/>
        <w:bidi w:val="0"/>
        <w:adjustRightInd/>
        <w:spacing w:line="560" w:lineRule="exact"/>
        <w:ind w:left="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（2）项目绩效管理财政支出运行提供及时、有效的信息。</w:t>
      </w:r>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综合来看，通过开展有效的财政支出绩效评价管理，达到改进预算管理、控制节约成本，提高预算资金使用效益的目的。</w:t>
      </w:r>
    </w:p>
    <w:p>
      <w:pPr>
        <w:pStyle w:val="2"/>
        <w:keepLines w:val="0"/>
        <w:pageBreakBefore w:val="0"/>
        <w:widowControl w:val="0"/>
        <w:numPr>
          <w:ilvl w:val="0"/>
          <w:numId w:val="0"/>
        </w:numPr>
        <w:kinsoku/>
        <w:wordWrap/>
        <w:overflowPunct/>
        <w:topLinePunct w:val="0"/>
        <w:autoSpaceDE/>
        <w:autoSpaceDN/>
        <w:bidi w:val="0"/>
        <w:adjustRightInd/>
        <w:spacing w:before="0" w:after="0" w:line="560" w:lineRule="exact"/>
        <w:ind w:left="641" w:leftChars="0"/>
        <w:jc w:val="both"/>
        <w:textAlignment w:val="auto"/>
        <w:outlineLvl w:val="9"/>
        <w:rPr>
          <w:rFonts w:hint="eastAsia" w:ascii="仿宋_GB2312" w:hAnsi="仿宋_GB2312" w:eastAsia="仿宋_GB2312" w:cs="仿宋_GB2312"/>
          <w:b/>
          <w:bCs/>
          <w:highlight w:val="none"/>
        </w:rPr>
      </w:pPr>
      <w:bookmarkStart w:id="61" w:name="_Toc18934"/>
      <w:bookmarkStart w:id="62" w:name="_Toc2208"/>
      <w:bookmarkStart w:id="63" w:name="_Toc25300"/>
      <w:bookmarkStart w:id="64" w:name="_Toc5482"/>
      <w:bookmarkStart w:id="65" w:name="_Toc32238"/>
      <w:r>
        <w:rPr>
          <w:rFonts w:hint="eastAsia" w:ascii="仿宋_GB2312" w:hAnsi="仿宋_GB2312" w:eastAsia="仿宋_GB2312" w:cs="仿宋_GB2312"/>
          <w:b/>
          <w:bCs/>
          <w:highlight w:val="none"/>
          <w:lang w:val="en-US" w:eastAsia="zh-CN"/>
        </w:rPr>
        <w:t>2、</w:t>
      </w:r>
      <w:r>
        <w:rPr>
          <w:rFonts w:hint="eastAsia" w:ascii="仿宋_GB2312" w:hAnsi="仿宋_GB2312" w:eastAsia="仿宋_GB2312" w:cs="仿宋_GB2312"/>
          <w:b/>
          <w:bCs/>
          <w:highlight w:val="none"/>
        </w:rPr>
        <w:t>绩效评价的对象</w:t>
      </w:r>
      <w:bookmarkEnd w:id="61"/>
      <w:bookmarkEnd w:id="62"/>
      <w:bookmarkEnd w:id="63"/>
      <w:bookmarkEnd w:id="64"/>
      <w:bookmarkEnd w:id="65"/>
    </w:p>
    <w:p>
      <w:pPr>
        <w:keepLines w:val="0"/>
        <w:pageBreakBefore w:val="0"/>
        <w:kinsoku/>
        <w:wordWrap/>
        <w:overflowPunct/>
        <w:topLinePunct w:val="0"/>
        <w:autoSpaceDE/>
        <w:autoSpaceDN/>
        <w:bidi w:val="0"/>
        <w:adjustRightInd/>
        <w:spacing w:line="560" w:lineRule="exact"/>
        <w:ind w:firstLine="641"/>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绩效评价对象为</w:t>
      </w:r>
      <w:r>
        <w:rPr>
          <w:rFonts w:hint="eastAsia" w:ascii="仿宋_GB2312" w:hAnsi="仿宋_GB2312" w:eastAsia="仿宋_GB2312" w:cs="仿宋_GB2312"/>
          <w:sz w:val="32"/>
          <w:szCs w:val="32"/>
          <w:highlight w:val="none"/>
          <w:lang w:eastAsia="zh-CN"/>
        </w:rPr>
        <w:t>防震减灾“三网一员”工作经费补贴</w:t>
      </w:r>
      <w:r>
        <w:rPr>
          <w:rFonts w:hint="eastAsia" w:ascii="仿宋_GB2312" w:hAnsi="仿宋_GB2312" w:eastAsia="仿宋_GB2312" w:cs="仿宋_GB2312"/>
          <w:sz w:val="32"/>
          <w:szCs w:val="32"/>
          <w:highlight w:val="none"/>
          <w:lang w:val="en-US" w:eastAsia="zh-CN"/>
        </w:rPr>
        <w:t>项目。</w:t>
      </w:r>
    </w:p>
    <w:p>
      <w:pPr>
        <w:pStyle w:val="2"/>
        <w:keepLines w:val="0"/>
        <w:pageBreakBefore w:val="0"/>
        <w:widowControl w:val="0"/>
        <w:numPr>
          <w:ilvl w:val="0"/>
          <w:numId w:val="2"/>
        </w:numPr>
        <w:kinsoku/>
        <w:wordWrap/>
        <w:overflowPunct/>
        <w:topLinePunct w:val="0"/>
        <w:autoSpaceDE/>
        <w:autoSpaceDN/>
        <w:bidi w:val="0"/>
        <w:adjustRightInd/>
        <w:spacing w:before="0" w:after="0" w:line="560" w:lineRule="exact"/>
        <w:ind w:left="0" w:leftChars="0" w:firstLine="641" w:firstLineChars="0"/>
        <w:jc w:val="both"/>
        <w:textAlignment w:val="auto"/>
        <w:outlineLvl w:val="9"/>
        <w:rPr>
          <w:rFonts w:hint="eastAsia" w:ascii="仿宋_GB2312" w:hAnsi="仿宋_GB2312" w:eastAsia="仿宋_GB2312" w:cs="仿宋_GB2312"/>
          <w:b/>
          <w:bCs/>
          <w:highlight w:val="none"/>
        </w:rPr>
      </w:pPr>
      <w:bookmarkStart w:id="66" w:name="_Toc18376"/>
      <w:bookmarkStart w:id="67" w:name="_Toc21288"/>
      <w:bookmarkStart w:id="68" w:name="_Toc26356"/>
      <w:bookmarkStart w:id="69" w:name="_Toc17411"/>
      <w:bookmarkStart w:id="70" w:name="_Toc9551"/>
      <w:r>
        <w:rPr>
          <w:rFonts w:hint="eastAsia" w:ascii="仿宋_GB2312" w:hAnsi="仿宋_GB2312" w:eastAsia="仿宋_GB2312" w:cs="仿宋_GB2312"/>
          <w:b/>
          <w:bCs/>
          <w:highlight w:val="none"/>
        </w:rPr>
        <w:t>绩效评价的范围</w:t>
      </w:r>
      <w:bookmarkEnd w:id="66"/>
      <w:bookmarkEnd w:id="67"/>
      <w:bookmarkEnd w:id="68"/>
      <w:bookmarkEnd w:id="69"/>
      <w:bookmarkEnd w:id="70"/>
    </w:p>
    <w:p>
      <w:pPr>
        <w:keepLines w:val="0"/>
        <w:pageBreakBefore w:val="0"/>
        <w:kinsoku/>
        <w:wordWrap/>
        <w:overflowPunct/>
        <w:topLinePunct w:val="0"/>
        <w:autoSpaceDE/>
        <w:autoSpaceDN/>
        <w:bidi w:val="0"/>
        <w:adjustRightInd/>
        <w:spacing w:line="560" w:lineRule="exact"/>
        <w:ind w:firstLine="641"/>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绩效评价范围：从此项目的项目决策、项目过程、项目产出、项目效益等方面进行评价。</w:t>
      </w:r>
    </w:p>
    <w:p>
      <w:pPr>
        <w:pStyle w:val="4"/>
        <w:keepLines w:val="0"/>
        <w:pageBreakBefore w:val="0"/>
        <w:kinsoku/>
        <w:wordWrap/>
        <w:overflowPunct/>
        <w:topLinePunct w:val="0"/>
        <w:autoSpaceDE/>
        <w:autoSpaceDN/>
        <w:bidi w:val="0"/>
        <w:adjustRightInd/>
        <w:spacing w:before="0" w:after="0" w:line="560" w:lineRule="exact"/>
        <w:textAlignment w:val="auto"/>
        <w:rPr>
          <w:rFonts w:hint="eastAsia" w:ascii="楷体" w:hAnsi="楷体" w:eastAsia="楷体" w:cs="楷体"/>
          <w:highlight w:val="none"/>
        </w:rPr>
      </w:pPr>
      <w:bookmarkStart w:id="71" w:name="_Toc28445"/>
      <w:bookmarkStart w:id="72" w:name="_Toc6541"/>
      <w:bookmarkStart w:id="73" w:name="_Toc26252"/>
      <w:bookmarkStart w:id="74" w:name="_Toc535"/>
      <w:bookmarkStart w:id="75" w:name="_Toc12943"/>
      <w:r>
        <w:rPr>
          <w:rFonts w:hint="eastAsia" w:ascii="楷体" w:hAnsi="楷体" w:eastAsia="楷体" w:cs="楷体"/>
          <w:highlight w:val="none"/>
        </w:rPr>
        <w:t>（二）绩效评价原则、评价指标体系（详情见表1）、评价方法、评价标准。</w:t>
      </w:r>
      <w:bookmarkEnd w:id="71"/>
      <w:bookmarkEnd w:id="72"/>
      <w:bookmarkEnd w:id="73"/>
      <w:bookmarkEnd w:id="74"/>
      <w:bookmarkEnd w:id="75"/>
    </w:p>
    <w:p>
      <w:pPr>
        <w:pStyle w:val="2"/>
        <w:keepLines w:val="0"/>
        <w:pageBreakBefore w:val="0"/>
        <w:widowControl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b/>
          <w:bCs/>
          <w:highlight w:val="none"/>
        </w:rPr>
      </w:pPr>
      <w:bookmarkStart w:id="76" w:name="_Toc25840"/>
      <w:bookmarkStart w:id="77" w:name="_Toc14625"/>
      <w:bookmarkStart w:id="78" w:name="_Toc32701"/>
      <w:bookmarkStart w:id="79" w:name="_Toc10270"/>
      <w:bookmarkStart w:id="80" w:name="_Toc31592"/>
      <w:r>
        <w:rPr>
          <w:rFonts w:hint="eastAsia" w:ascii="仿宋_GB2312" w:hAnsi="仿宋_GB2312" w:eastAsia="仿宋_GB2312" w:cs="仿宋_GB2312"/>
          <w:b/>
          <w:bCs/>
          <w:highlight w:val="none"/>
        </w:rPr>
        <w:t>1、绩效评价原则</w:t>
      </w:r>
      <w:bookmarkEnd w:id="76"/>
      <w:bookmarkEnd w:id="77"/>
      <w:bookmarkEnd w:id="78"/>
      <w:bookmarkEnd w:id="79"/>
      <w:bookmarkEnd w:id="80"/>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本次项目绩效评价遵循以下基本原则：</w:t>
      </w:r>
    </w:p>
    <w:p>
      <w:pPr>
        <w:pStyle w:val="2"/>
        <w:keepLines w:val="0"/>
        <w:pageBreakBefore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b w:val="0"/>
          <w:bCs w:val="0"/>
          <w:highlight w:val="none"/>
        </w:rPr>
      </w:pPr>
      <w:bookmarkStart w:id="81" w:name="_Toc7167"/>
      <w:bookmarkStart w:id="82" w:name="_Toc13595"/>
      <w:bookmarkStart w:id="83" w:name="_Toc3603"/>
      <w:bookmarkStart w:id="84" w:name="_Toc24179"/>
      <w:bookmarkStart w:id="85" w:name="_Toc7884"/>
      <w:r>
        <w:rPr>
          <w:rFonts w:hint="eastAsia" w:ascii="仿宋_GB2312" w:hAnsi="仿宋_GB2312" w:eastAsia="仿宋_GB2312" w:cs="仿宋_GB2312"/>
          <w:b w:val="0"/>
          <w:bCs w:val="0"/>
          <w:highlight w:val="none"/>
        </w:rPr>
        <w:t>（1）科学公正。绩效评价应当运用科学合理的方法，按照规范的程序，对项目绩效进行客观、公正的反映。</w:t>
      </w:r>
      <w:bookmarkEnd w:id="81"/>
      <w:bookmarkEnd w:id="82"/>
      <w:bookmarkEnd w:id="83"/>
      <w:bookmarkEnd w:id="84"/>
      <w:bookmarkEnd w:id="85"/>
    </w:p>
    <w:p>
      <w:pPr>
        <w:pStyle w:val="2"/>
        <w:keepLines w:val="0"/>
        <w:pageBreakBefore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b w:val="0"/>
          <w:bCs w:val="0"/>
          <w:highlight w:val="none"/>
        </w:rPr>
      </w:pPr>
      <w:bookmarkStart w:id="86" w:name="_Toc32081"/>
      <w:bookmarkStart w:id="87" w:name="_Toc25409"/>
      <w:bookmarkStart w:id="88" w:name="_Toc30728"/>
      <w:bookmarkStart w:id="89" w:name="_Toc4187"/>
      <w:bookmarkStart w:id="90" w:name="_Toc10920"/>
      <w:r>
        <w:rPr>
          <w:rFonts w:hint="eastAsia" w:ascii="仿宋_GB2312" w:hAnsi="仿宋_GB2312" w:eastAsia="仿宋_GB2312" w:cs="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bookmarkEnd w:id="86"/>
      <w:bookmarkEnd w:id="87"/>
      <w:bookmarkEnd w:id="88"/>
      <w:bookmarkEnd w:id="89"/>
      <w:bookmarkEnd w:id="90"/>
    </w:p>
    <w:p>
      <w:pPr>
        <w:pStyle w:val="2"/>
        <w:keepLines w:val="0"/>
        <w:pageBreakBefore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b w:val="0"/>
          <w:bCs w:val="0"/>
          <w:highlight w:val="none"/>
        </w:rPr>
      </w:pPr>
      <w:bookmarkStart w:id="91" w:name="_Toc10893"/>
      <w:bookmarkStart w:id="92" w:name="_Toc26440"/>
      <w:bookmarkStart w:id="93" w:name="_Toc4244"/>
      <w:bookmarkStart w:id="94" w:name="_Toc3943"/>
      <w:bookmarkStart w:id="95" w:name="_Toc14837"/>
      <w:r>
        <w:rPr>
          <w:rFonts w:hint="eastAsia" w:ascii="仿宋_GB2312" w:hAnsi="仿宋_GB2312" w:eastAsia="仿宋_GB2312" w:cs="仿宋_GB2312"/>
          <w:b w:val="0"/>
          <w:bCs w:val="0"/>
          <w:highlight w:val="none"/>
        </w:rPr>
        <w:t>（3）激励约束。绩效评价结果应与预算安排、政策调整、改进管理实质性挂钩，体现奖优罚劣和激励相容导向，有效要安排、低效要压减、无效要问责。</w:t>
      </w:r>
      <w:bookmarkEnd w:id="91"/>
      <w:bookmarkEnd w:id="92"/>
      <w:bookmarkEnd w:id="93"/>
      <w:bookmarkEnd w:id="94"/>
      <w:bookmarkEnd w:id="95"/>
    </w:p>
    <w:p>
      <w:pPr>
        <w:pStyle w:val="2"/>
        <w:keepLines w:val="0"/>
        <w:pageBreakBefore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b w:val="0"/>
          <w:bCs w:val="0"/>
          <w:highlight w:val="none"/>
        </w:rPr>
      </w:pPr>
      <w:bookmarkStart w:id="96" w:name="_Toc28338"/>
      <w:bookmarkStart w:id="97" w:name="_Toc32514"/>
      <w:bookmarkStart w:id="98" w:name="_Toc11070"/>
      <w:bookmarkStart w:id="99" w:name="_Toc12335"/>
      <w:bookmarkStart w:id="100" w:name="_Toc7016"/>
      <w:r>
        <w:rPr>
          <w:rFonts w:hint="eastAsia" w:ascii="仿宋_GB2312" w:hAnsi="仿宋_GB2312" w:eastAsia="仿宋_GB2312" w:cs="仿宋_GB2312"/>
          <w:b w:val="0"/>
          <w:bCs w:val="0"/>
          <w:highlight w:val="none"/>
        </w:rPr>
        <w:t>（4）公开透明。绩效评价结果应依法依规公开，并自觉接受社会监督。</w:t>
      </w:r>
      <w:bookmarkEnd w:id="96"/>
      <w:bookmarkEnd w:id="97"/>
      <w:bookmarkEnd w:id="98"/>
      <w:bookmarkEnd w:id="99"/>
      <w:bookmarkEnd w:id="100"/>
    </w:p>
    <w:p>
      <w:pPr>
        <w:pStyle w:val="2"/>
        <w:keepLines w:val="0"/>
        <w:pageBreakBefore w:val="0"/>
        <w:widowControl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b/>
          <w:bCs/>
          <w:highlight w:val="none"/>
        </w:rPr>
      </w:pPr>
      <w:bookmarkStart w:id="101" w:name="_Toc2443"/>
      <w:bookmarkStart w:id="102" w:name="_Toc7465"/>
      <w:bookmarkStart w:id="103" w:name="_Toc11611"/>
      <w:bookmarkStart w:id="104" w:name="_Toc15563"/>
      <w:bookmarkStart w:id="105" w:name="_Toc13920"/>
      <w:r>
        <w:rPr>
          <w:rFonts w:hint="eastAsia" w:ascii="仿宋_GB2312" w:hAnsi="仿宋_GB2312" w:eastAsia="仿宋_GB2312" w:cs="仿宋_GB2312"/>
          <w:b/>
          <w:bCs/>
          <w:highlight w:val="none"/>
        </w:rPr>
        <w:t>2、评价指标体系</w:t>
      </w:r>
      <w:bookmarkEnd w:id="101"/>
      <w:bookmarkEnd w:id="102"/>
      <w:bookmarkEnd w:id="103"/>
      <w:bookmarkEnd w:id="104"/>
      <w:bookmarkEnd w:id="105"/>
    </w:p>
    <w:p>
      <w:pPr>
        <w:keepLines w:val="0"/>
        <w:pageBreakBefore w:val="0"/>
        <w:kinsoku/>
        <w:wordWrap/>
        <w:overflowPunct/>
        <w:topLinePunct w:val="0"/>
        <w:autoSpaceDE/>
        <w:autoSpaceDN/>
        <w:bidi w:val="0"/>
        <w:adjustRightInd/>
        <w:spacing w:line="560" w:lineRule="exact"/>
        <w:ind w:firstLine="641"/>
        <w:textAlignment w:val="auto"/>
        <w:rPr>
          <w:rFonts w:ascii="宋体" w:hAnsi="宋体" w:cs="宋体"/>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（1）确定评价指标</w:t>
      </w:r>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采用层次分析法，建立评价指标体系。绩效评价将指标分为项目</w:t>
      </w:r>
      <w:r>
        <w:rPr>
          <w:rFonts w:hint="eastAsia" w:ascii="仿宋_GB2312" w:hAnsi="仿宋_GB2312" w:eastAsia="仿宋_GB2312" w:cs="仿宋_GB2312"/>
          <w:color w:val="000000"/>
          <w:spacing w:val="17"/>
          <w:sz w:val="32"/>
          <w:szCs w:val="32"/>
          <w:highlight w:val="none"/>
          <w:lang w:val="en-US" w:eastAsia="zh-CN"/>
        </w:rPr>
        <w:t>决策</w:t>
      </w:r>
      <w:r>
        <w:rPr>
          <w:rFonts w:hint="eastAsia" w:ascii="仿宋_GB2312" w:hAnsi="仿宋_GB2312" w:eastAsia="仿宋_GB2312" w:cs="仿宋_GB2312"/>
          <w:color w:val="000000"/>
          <w:spacing w:val="17"/>
          <w:sz w:val="32"/>
          <w:szCs w:val="32"/>
          <w:highlight w:val="none"/>
        </w:rPr>
        <w:t>、项目产出、项目效益、项目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指标四个维度，最终形成一个由多个相互联系的指标组成的多层次指标体系。</w:t>
      </w:r>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（2）确定权重</w:t>
      </w:r>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确定各个指标相对于项目总体绩效的权重分值。在绩效评价指标体系中，项目</w:t>
      </w:r>
      <w:r>
        <w:rPr>
          <w:rFonts w:hint="eastAsia" w:ascii="仿宋_GB2312" w:hAnsi="仿宋_GB2312" w:eastAsia="仿宋_GB2312" w:cs="仿宋_GB2312"/>
          <w:color w:val="000000"/>
          <w:spacing w:val="17"/>
          <w:sz w:val="32"/>
          <w:szCs w:val="32"/>
          <w:highlight w:val="none"/>
          <w:lang w:val="en-US" w:eastAsia="zh-CN"/>
        </w:rPr>
        <w:t>决策</w:t>
      </w:r>
      <w:r>
        <w:rPr>
          <w:rFonts w:hint="eastAsia" w:ascii="仿宋_GB2312" w:hAnsi="仿宋_GB2312" w:eastAsia="仿宋_GB2312" w:cs="仿宋_GB2312"/>
          <w:color w:val="000000"/>
          <w:spacing w:val="17"/>
          <w:sz w:val="32"/>
          <w:szCs w:val="32"/>
          <w:highlight w:val="none"/>
        </w:rPr>
        <w:t>权重为</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权重值占</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50%</w:t>
      </w:r>
      <w:r>
        <w:rPr>
          <w:rFonts w:hint="eastAsia" w:ascii="仿宋_GB2312" w:hAnsi="仿宋_GB2312" w:eastAsia="仿宋_GB2312" w:cs="仿宋_GB2312"/>
          <w:color w:val="000000"/>
          <w:spacing w:val="17"/>
          <w:sz w:val="32"/>
          <w:szCs w:val="32"/>
          <w:highlight w:val="none"/>
        </w:rPr>
        <w:t>，项目效益权重占</w:t>
      </w:r>
      <w:r>
        <w:rPr>
          <w:rFonts w:hint="eastAsia" w:ascii="仿宋_GB2312" w:hAnsi="仿宋_GB2312" w:eastAsia="仿宋_GB2312" w:cs="仿宋_GB2312"/>
          <w:color w:val="000000"/>
          <w:spacing w:val="17"/>
          <w:sz w:val="32"/>
          <w:szCs w:val="32"/>
          <w:highlight w:val="none"/>
          <w:lang w:val="en-US" w:eastAsia="zh-CN"/>
        </w:rPr>
        <w:t>40%</w:t>
      </w:r>
      <w:r>
        <w:rPr>
          <w:rFonts w:hint="eastAsia" w:ascii="仿宋_GB2312" w:hAnsi="仿宋_GB2312" w:eastAsia="仿宋_GB2312" w:cs="仿宋_GB2312"/>
          <w:color w:val="000000"/>
          <w:spacing w:val="17"/>
          <w:sz w:val="32"/>
          <w:szCs w:val="32"/>
          <w:highlight w:val="none"/>
        </w:rPr>
        <w:t>。</w:t>
      </w:r>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（3）确定指标标准值</w:t>
      </w:r>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keepLines w:val="0"/>
        <w:pageBreakBefore w:val="0"/>
        <w:kinsoku/>
        <w:wordWrap/>
        <w:overflowPunct/>
        <w:topLinePunct w:val="0"/>
        <w:autoSpaceDE/>
        <w:autoSpaceDN/>
        <w:bidi w:val="0"/>
        <w:adjustRightInd/>
        <w:spacing w:before="0" w:after="0" w:line="560" w:lineRule="exact"/>
        <w:ind w:firstLine="708" w:firstLineChars="200"/>
        <w:jc w:val="both"/>
        <w:textAlignment w:val="auto"/>
        <w:rPr>
          <w:rFonts w:hint="eastAsia" w:ascii="仿宋_GB2312" w:hAnsi="仿宋_GB2312" w:eastAsia="仿宋_GB2312" w:cs="仿宋_GB2312"/>
          <w:b w:val="0"/>
          <w:bCs w:val="0"/>
          <w:color w:val="000000"/>
          <w:spacing w:val="17"/>
          <w:highlight w:val="none"/>
          <w:lang w:eastAsia="zh-CN"/>
        </w:rPr>
      </w:pPr>
      <w:bookmarkStart w:id="106" w:name="_Toc11876"/>
      <w:bookmarkStart w:id="107" w:name="_Toc20233"/>
      <w:bookmarkStart w:id="108" w:name="_Toc22860"/>
      <w:bookmarkStart w:id="109" w:name="_Toc1139"/>
      <w:bookmarkStart w:id="110" w:name="_Toc11002"/>
      <w:r>
        <w:rPr>
          <w:rFonts w:hint="eastAsia" w:ascii="仿宋_GB2312" w:hAnsi="仿宋_GB2312" w:eastAsia="仿宋_GB2312" w:cs="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bookmarkEnd w:id="106"/>
      <w:bookmarkEnd w:id="107"/>
      <w:bookmarkStart w:id="111" w:name="_Toc7660"/>
      <w:bookmarkStart w:id="112" w:name="_Toc26126"/>
      <w:r>
        <w:rPr>
          <w:rFonts w:hint="eastAsia" w:ascii="仿宋_GB2312" w:hAnsi="仿宋_GB2312" w:eastAsia="仿宋_GB2312" w:cs="仿宋_GB2312"/>
          <w:b w:val="0"/>
          <w:bCs w:val="0"/>
          <w:color w:val="000000"/>
          <w:spacing w:val="17"/>
          <w:kern w:val="2"/>
          <w:highlight w:val="none"/>
          <w:lang w:eastAsia="zh-CN"/>
        </w:rPr>
        <w:t>（</w:t>
      </w:r>
      <w:r>
        <w:rPr>
          <w:rFonts w:hint="eastAsia" w:ascii="仿宋_GB2312" w:hAnsi="仿宋_GB2312" w:eastAsia="仿宋_GB2312" w:cs="仿宋_GB2312"/>
          <w:b w:val="0"/>
          <w:bCs w:val="0"/>
          <w:color w:val="000000"/>
          <w:spacing w:val="17"/>
          <w:highlight w:val="none"/>
        </w:rPr>
        <w:t>具体评价指标体系详情见</w:t>
      </w:r>
      <w:r>
        <w:rPr>
          <w:rFonts w:hint="eastAsia" w:ascii="仿宋_GB2312" w:hAnsi="仿宋_GB2312" w:eastAsia="仿宋_GB2312" w:cs="仿宋_GB2312"/>
          <w:b w:val="0"/>
          <w:bCs w:val="0"/>
          <w:color w:val="000000"/>
          <w:spacing w:val="17"/>
          <w:highlight w:val="none"/>
          <w:lang w:val="en-US" w:eastAsia="zh-CN"/>
        </w:rPr>
        <w:t>附件</w:t>
      </w:r>
      <w:r>
        <w:rPr>
          <w:rFonts w:hint="eastAsia" w:ascii="仿宋_GB2312" w:hAnsi="仿宋_GB2312" w:eastAsia="仿宋_GB2312" w:cs="仿宋_GB2312"/>
          <w:b w:val="0"/>
          <w:bCs w:val="0"/>
          <w:color w:val="000000"/>
          <w:spacing w:val="17"/>
          <w:highlight w:val="none"/>
        </w:rPr>
        <w:t>1</w:t>
      </w:r>
      <w:bookmarkEnd w:id="111"/>
      <w:bookmarkEnd w:id="112"/>
      <w:r>
        <w:rPr>
          <w:rFonts w:hint="eastAsia" w:ascii="仿宋_GB2312" w:hAnsi="仿宋_GB2312" w:eastAsia="仿宋_GB2312" w:cs="仿宋_GB2312"/>
          <w:b w:val="0"/>
          <w:bCs w:val="0"/>
          <w:color w:val="000000"/>
          <w:spacing w:val="17"/>
          <w:highlight w:val="none"/>
          <w:lang w:eastAsia="zh-CN"/>
        </w:rPr>
        <w:t>）</w:t>
      </w:r>
      <w:bookmarkEnd w:id="108"/>
      <w:bookmarkEnd w:id="109"/>
      <w:bookmarkEnd w:id="110"/>
    </w:p>
    <w:p>
      <w:pPr>
        <w:pStyle w:val="2"/>
        <w:keepLines w:val="0"/>
        <w:pageBreakBefore w:val="0"/>
        <w:widowControl w:val="0"/>
        <w:kinsoku/>
        <w:wordWrap/>
        <w:overflowPunct/>
        <w:topLinePunct w:val="0"/>
        <w:autoSpaceDE/>
        <w:autoSpaceDN/>
        <w:bidi w:val="0"/>
        <w:adjustRightInd/>
        <w:spacing w:before="0" w:after="0" w:line="560" w:lineRule="exact"/>
        <w:ind w:firstLine="641"/>
        <w:jc w:val="both"/>
        <w:textAlignment w:val="auto"/>
        <w:outlineLvl w:val="9"/>
        <w:rPr>
          <w:rFonts w:ascii="仿宋_GB2312" w:hAnsi="仿宋_GB2312" w:eastAsia="仿宋_GB2312" w:cs="仿宋_GB2312"/>
          <w:b/>
          <w:bCs/>
          <w:highlight w:val="none"/>
        </w:rPr>
      </w:pPr>
      <w:bookmarkStart w:id="113" w:name="_Toc29385"/>
      <w:bookmarkStart w:id="114" w:name="_Toc4211"/>
      <w:bookmarkStart w:id="115" w:name="_Toc25211"/>
      <w:bookmarkStart w:id="116" w:name="_Toc2271"/>
      <w:bookmarkStart w:id="117" w:name="_Toc31550"/>
      <w:r>
        <w:rPr>
          <w:rFonts w:hint="eastAsia" w:ascii="仿宋_GB2312" w:hAnsi="仿宋_GB2312" w:eastAsia="仿宋_GB2312" w:cs="仿宋_GB2312"/>
          <w:b/>
          <w:bCs/>
          <w:highlight w:val="none"/>
        </w:rPr>
        <w:t>3、绩效评价方法</w:t>
      </w:r>
      <w:bookmarkEnd w:id="113"/>
      <w:bookmarkEnd w:id="114"/>
      <w:bookmarkEnd w:id="115"/>
      <w:bookmarkEnd w:id="116"/>
      <w:bookmarkEnd w:id="117"/>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（1）比较法</w:t>
      </w:r>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通过对绩效目标与实施效果、历史与当期情况，综合分析绩效目标实现程度。对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最终验收情况与年度绩效目标对比、预算资金执行情况等相关因素进行比较。</w:t>
      </w:r>
    </w:p>
    <w:p>
      <w:pPr>
        <w:keepLines w:val="0"/>
        <w:pageBreakBefore w:val="0"/>
        <w:kinsoku/>
        <w:wordWrap/>
        <w:overflowPunct/>
        <w:topLinePunct w:val="0"/>
        <w:autoSpaceDE/>
        <w:autoSpaceDN/>
        <w:bidi w:val="0"/>
        <w:adjustRightInd/>
        <w:spacing w:line="560" w:lineRule="exac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（2）因素分析法</w:t>
      </w:r>
    </w:p>
    <w:p>
      <w:pPr>
        <w:keepLines w:val="0"/>
        <w:pageBreakBefore w:val="0"/>
        <w:kinsoku/>
        <w:wordWrap/>
        <w:overflowPunct/>
        <w:topLinePunct w:val="0"/>
        <w:autoSpaceDE/>
        <w:autoSpaceDN/>
        <w:bidi w:val="0"/>
        <w:adjustRightInd/>
        <w:spacing w:line="560" w:lineRule="exac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通过综合分析影响绩效目标实现、实施效果的内外因素，评价绩效目标实现程度。通过对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的开展情况、项目产出数量、成本控制、资金拨付文件及自评报告等相关资料的收集和审核，综合分析各因素对绩效目标实现的影响。</w:t>
      </w:r>
    </w:p>
    <w:p>
      <w:pPr>
        <w:pStyle w:val="2"/>
        <w:keepLines w:val="0"/>
        <w:pageBreakBefore w:val="0"/>
        <w:widowControl w:val="0"/>
        <w:kinsoku/>
        <w:wordWrap/>
        <w:overflowPunct/>
        <w:topLinePunct w:val="0"/>
        <w:autoSpaceDE/>
        <w:autoSpaceDN/>
        <w:bidi w:val="0"/>
        <w:adjustRightInd/>
        <w:spacing w:before="0" w:after="0" w:line="560" w:lineRule="exact"/>
        <w:ind w:firstLine="641"/>
        <w:jc w:val="both"/>
        <w:textAlignment w:val="auto"/>
        <w:outlineLvl w:val="9"/>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4、评价标准</w:t>
      </w:r>
    </w:p>
    <w:p>
      <w:pPr>
        <w:keepLines w:val="0"/>
        <w:pageBreakBefore w:val="0"/>
        <w:kinsoku/>
        <w:wordWrap/>
        <w:overflowPunct/>
        <w:topLinePunct w:val="0"/>
        <w:autoSpaceDE/>
        <w:autoSpaceDN/>
        <w:bidi w:val="0"/>
        <w:adjustRightInd/>
        <w:spacing w:line="560" w:lineRule="exact"/>
        <w:ind w:firstLine="641"/>
        <w:textAlignment w:val="auto"/>
        <w:rPr>
          <w:rFonts w:hint="default" w:ascii="仿宋_GB2312" w:hAnsi="仿宋_GB2312" w:eastAsia="仿宋_GB2312" w:cs="仿宋_GB2312"/>
          <w:color w:val="000000"/>
          <w:spacing w:val="17"/>
          <w:sz w:val="32"/>
          <w:szCs w:val="32"/>
          <w:highlight w:val="none"/>
          <w:lang w:val="en-US" w:eastAsia="zh-CN"/>
        </w:rPr>
      </w:pPr>
      <w:r>
        <w:rPr>
          <w:rFonts w:hint="default" w:ascii="仿宋_GB2312" w:hAnsi="仿宋_GB2312" w:eastAsia="仿宋_GB2312" w:cs="仿宋_GB2312"/>
          <w:color w:val="000000"/>
          <w:spacing w:val="17"/>
          <w:sz w:val="32"/>
          <w:szCs w:val="32"/>
          <w:highlight w:val="none"/>
          <w:lang w:val="en-US" w:eastAsia="zh-CN"/>
        </w:rPr>
        <w:t>绩效评价标准通常包括计划标准、行业标准、历史标准等，用于对绩效指标完成情况进行比较。本次评价主要采用了计划标准和行业标准。</w:t>
      </w:r>
    </w:p>
    <w:p>
      <w:pPr>
        <w:pStyle w:val="2"/>
        <w:keepLines w:val="0"/>
        <w:pageBreakBefore w:val="0"/>
        <w:numPr>
          <w:ilvl w:val="0"/>
          <w:numId w:val="4"/>
        </w:numPr>
        <w:kinsoku/>
        <w:wordWrap/>
        <w:overflowPunct/>
        <w:topLinePunct w:val="0"/>
        <w:autoSpaceDE/>
        <w:autoSpaceDN/>
        <w:bidi w:val="0"/>
        <w:adjustRightInd/>
        <w:spacing w:before="0" w:after="0" w:line="560" w:lineRule="exact"/>
        <w:jc w:val="both"/>
        <w:textAlignment w:val="auto"/>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绩效评价工作过程</w:t>
      </w:r>
    </w:p>
    <w:p>
      <w:pPr>
        <w:keepLines w:val="0"/>
        <w:pageBreakBefore w:val="0"/>
        <w:kinsoku/>
        <w:wordWrap/>
        <w:overflowPunct/>
        <w:topLinePunct w:val="0"/>
        <w:autoSpaceDE/>
        <w:autoSpaceDN/>
        <w:bidi w:val="0"/>
        <w:adjustRightIn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keepLines w:val="0"/>
        <w:pageBreakBefore w:val="0"/>
        <w:kinsoku/>
        <w:wordWrap/>
        <w:overflowPunct/>
        <w:topLinePunct w:val="0"/>
        <w:autoSpaceDE/>
        <w:autoSpaceDN/>
        <w:bidi w:val="0"/>
        <w:adjustRightIn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Lines w:val="0"/>
        <w:pageBreakBefore w:val="0"/>
        <w:kinsoku/>
        <w:wordWrap/>
        <w:overflowPunct/>
        <w:topLinePunct w:val="0"/>
        <w:autoSpaceDE/>
        <w:autoSpaceDN/>
        <w:bidi w:val="0"/>
        <w:adjustRightIn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pStyle w:val="3"/>
        <w:keepLines w:val="0"/>
        <w:pageBreakBefore w:val="0"/>
        <w:kinsoku/>
        <w:wordWrap/>
        <w:overflowPunct/>
        <w:topLinePunct w:val="0"/>
        <w:autoSpaceDE/>
        <w:autoSpaceDN/>
        <w:bidi w:val="0"/>
        <w:adjustRightInd/>
        <w:spacing w:before="0" w:after="0" w:line="560" w:lineRule="exact"/>
        <w:textAlignment w:val="auto"/>
        <w:rPr>
          <w:rFonts w:hint="eastAsia" w:ascii="黑体" w:hAnsi="黑体" w:eastAsia="黑体" w:cs="黑体"/>
        </w:rPr>
      </w:pPr>
      <w:bookmarkStart w:id="118" w:name="_Toc30074"/>
      <w:bookmarkStart w:id="119" w:name="_Toc21934"/>
      <w:bookmarkStart w:id="120" w:name="_Toc18631"/>
      <w:bookmarkStart w:id="121" w:name="_Toc4291"/>
      <w:bookmarkStart w:id="122" w:name="_Toc30936"/>
      <w:r>
        <w:rPr>
          <w:rFonts w:hint="eastAsia" w:ascii="黑体" w:hAnsi="黑体" w:eastAsia="黑体" w:cs="黑体"/>
          <w:lang w:eastAsia="zh-CN"/>
        </w:rPr>
        <w:t>三、</w:t>
      </w:r>
      <w:r>
        <w:rPr>
          <w:rFonts w:hint="eastAsia" w:ascii="黑体" w:hAnsi="黑体" w:eastAsia="黑体" w:cs="黑体"/>
        </w:rPr>
        <w:t>综合评价情况及评价结论（附相关评分表）</w:t>
      </w:r>
      <w:bookmarkEnd w:id="118"/>
      <w:bookmarkEnd w:id="119"/>
      <w:bookmarkEnd w:id="120"/>
      <w:bookmarkEnd w:id="121"/>
      <w:bookmarkEnd w:id="122"/>
    </w:p>
    <w:p>
      <w:pPr>
        <w:pStyle w:val="2"/>
        <w:keepLines w:val="0"/>
        <w:pageBreakBefore w:val="0"/>
        <w:widowControl w:val="0"/>
        <w:kinsoku/>
        <w:wordWrap/>
        <w:overflowPunct/>
        <w:topLinePunct w:val="0"/>
        <w:autoSpaceDE/>
        <w:autoSpaceDN/>
        <w:bidi w:val="0"/>
        <w:adjustRightInd/>
        <w:spacing w:before="0" w:after="0" w:line="560" w:lineRule="exact"/>
        <w:ind w:firstLine="641"/>
        <w:jc w:val="both"/>
        <w:textAlignment w:val="auto"/>
        <w:outlineLvl w:val="9"/>
        <w:rPr>
          <w:rFonts w:hint="eastAsia" w:ascii="仿宋_GB2312" w:hAnsi="仿宋_GB2312" w:eastAsia="仿宋_GB2312" w:cs="仿宋_GB2312"/>
          <w:b w:val="0"/>
          <w:bCs w:val="0"/>
          <w:color w:val="000000"/>
          <w:spacing w:val="17"/>
          <w:kern w:val="2"/>
          <w:sz w:val="32"/>
          <w:szCs w:val="32"/>
          <w:lang w:val="en-US" w:eastAsia="zh-CN" w:bidi="ar-SA"/>
        </w:rPr>
      </w:pPr>
      <w:bookmarkStart w:id="123" w:name="_Toc32031"/>
      <w:bookmarkStart w:id="124" w:name="_Toc15222"/>
      <w:bookmarkStart w:id="125" w:name="_Toc10019"/>
      <w:bookmarkStart w:id="126" w:name="_Toc18760"/>
      <w:bookmarkStart w:id="127" w:name="_Toc3154"/>
      <w:r>
        <w:rPr>
          <w:rFonts w:hint="eastAsia" w:ascii="仿宋_GB2312" w:hAnsi="仿宋_GB2312" w:eastAsia="仿宋_GB2312" w:cs="仿宋_GB2312"/>
          <w:b w:val="0"/>
          <w:bCs w:val="0"/>
          <w:color w:val="000000"/>
          <w:spacing w:val="17"/>
          <w:kern w:val="2"/>
          <w:sz w:val="32"/>
          <w:szCs w:val="32"/>
          <w:lang w:val="en-US" w:eastAsia="zh-CN" w:bidi="ar-SA"/>
        </w:rPr>
        <w:t>对防震减灾“三网一员”工作经费补贴项目进行客观评价，最终评分结果：总得分为93分，属于“优”。其中，项目决策类指标权重为5分，得分为 4.4分，得分率为88%。项目过程类指标权重为5分，得分为4.6 分，得分率为92%。项目产出类指标权重为50分，得分为50分，得分率为100%。项目效益类指标权重为40分，得分为34分，得分率为85%。</w:t>
      </w:r>
      <w:bookmarkEnd w:id="123"/>
      <w:bookmarkEnd w:id="124"/>
      <w:bookmarkEnd w:id="125"/>
      <w:bookmarkEnd w:id="126"/>
      <w:bookmarkEnd w:id="127"/>
    </w:p>
    <w:p>
      <w:pPr>
        <w:pStyle w:val="2"/>
        <w:keepLines w:val="0"/>
        <w:pageBreakBefore w:val="0"/>
        <w:kinsoku/>
        <w:wordWrap/>
        <w:overflowPunct/>
        <w:topLinePunct w:val="0"/>
        <w:autoSpaceDE/>
        <w:autoSpaceDN/>
        <w:bidi w:val="0"/>
        <w:adjustRightInd/>
        <w:spacing w:before="0" w:after="0" w:line="560" w:lineRule="exact"/>
        <w:textAlignment w:val="auto"/>
        <w:rPr>
          <w:rFonts w:hint="eastAsia" w:ascii="仿宋_GB2312" w:hAnsi="仿宋_GB2312" w:eastAsia="仿宋_GB2312" w:cs="仿宋_GB2312"/>
          <w:sz w:val="30"/>
          <w:szCs w:val="30"/>
        </w:rPr>
      </w:pPr>
      <w:bookmarkStart w:id="128" w:name="_Toc7377"/>
      <w:bookmarkStart w:id="129" w:name="_Toc19265"/>
      <w:bookmarkStart w:id="130" w:name="_Toc22065"/>
      <w:bookmarkStart w:id="131" w:name="_Toc22432"/>
      <w:bookmarkStart w:id="132" w:name="_Toc17098"/>
    </w:p>
    <w:p>
      <w:pPr>
        <w:pStyle w:val="2"/>
        <w:keepLines w:val="0"/>
        <w:pageBreakBefore w:val="0"/>
        <w:kinsoku/>
        <w:wordWrap/>
        <w:overflowPunct/>
        <w:topLinePunct w:val="0"/>
        <w:autoSpaceDE/>
        <w:autoSpaceDN/>
        <w:bidi w:val="0"/>
        <w:adjustRightInd/>
        <w:spacing w:before="0" w:after="0" w:line="560" w:lineRule="exact"/>
        <w:textAlignment w:val="auto"/>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bookmarkEnd w:id="128"/>
      <w:bookmarkEnd w:id="129"/>
      <w:bookmarkEnd w:id="130"/>
      <w:bookmarkEnd w:id="131"/>
      <w:bookmarkEnd w:id="132"/>
    </w:p>
    <w:tbl>
      <w:tblPr>
        <w:tblStyle w:val="20"/>
        <w:tblpPr w:leftFromText="180" w:rightFromText="180" w:vertAnchor="text" w:horzAnchor="page" w:tblpX="1300" w:tblpY="-67"/>
        <w:tblOverlap w:val="never"/>
        <w:tblW w:w="9268"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48"/>
        <w:gridCol w:w="730"/>
        <w:gridCol w:w="670"/>
        <w:gridCol w:w="1283"/>
        <w:gridCol w:w="563"/>
        <w:gridCol w:w="2114"/>
        <w:gridCol w:w="2114"/>
        <w:gridCol w:w="673"/>
        <w:gridCol w:w="5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548" w:type="dxa"/>
            <w:shd w:val="clear" w:color="auto" w:fill="BFBFBF"/>
            <w:vAlign w:val="center"/>
          </w:tcPr>
          <w:p>
            <w:pPr>
              <w:keepLines w:val="0"/>
              <w:pageBreakBefore w:val="0"/>
              <w:widowControl/>
              <w:kinsoku/>
              <w:wordWrap/>
              <w:overflowPunct/>
              <w:topLinePunct w:val="0"/>
              <w:autoSpaceDE/>
              <w:autoSpaceDN/>
              <w:bidi w:val="0"/>
              <w:adjustRightIn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730" w:type="dxa"/>
            <w:shd w:val="clear" w:color="auto" w:fill="BFBFB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670" w:type="dxa"/>
            <w:shd w:val="clear" w:color="auto" w:fill="BFBFB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283" w:type="dxa"/>
            <w:shd w:val="clear" w:color="auto" w:fill="BFBFB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563" w:type="dxa"/>
            <w:shd w:val="clear" w:color="auto" w:fill="BFBFB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2114" w:type="dxa"/>
            <w:shd w:val="clear" w:color="auto" w:fill="BFBFBF"/>
            <w:vAlign w:val="center"/>
          </w:tcPr>
          <w:p>
            <w:pPr>
              <w:keepLines w:val="0"/>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2114" w:type="dxa"/>
            <w:shd w:val="clear" w:color="auto" w:fill="BFBFBF"/>
            <w:vAlign w:val="center"/>
          </w:tcPr>
          <w:p>
            <w:pPr>
              <w:keepLines w:val="0"/>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673" w:type="dxa"/>
            <w:shd w:val="clear" w:color="auto" w:fill="BFBFBF"/>
            <w:vAlign w:val="center"/>
          </w:tcPr>
          <w:p>
            <w:pPr>
              <w:keepLines w:val="0"/>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573" w:type="dxa"/>
            <w:shd w:val="clear" w:color="auto" w:fill="BFBFBF"/>
            <w:vAlign w:val="center"/>
          </w:tcPr>
          <w:p>
            <w:pPr>
              <w:keepLines w:val="0"/>
              <w:pageBreakBefore w:val="0"/>
              <w:widowControl/>
              <w:tabs>
                <w:tab w:val="left" w:pos="1333"/>
                <w:tab w:val="center" w:pos="3623"/>
              </w:tabs>
              <w:kinsoku/>
              <w:wordWrap/>
              <w:overflowPunct/>
              <w:topLinePunct w:val="0"/>
              <w:autoSpaceDE/>
              <w:autoSpaceDN/>
              <w:bidi w:val="0"/>
              <w:adjustRightIn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8" w:type="dxa"/>
            <w:vMerge w:val="restart"/>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决策　</w:t>
            </w:r>
          </w:p>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　</w:t>
            </w:r>
          </w:p>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　</w:t>
            </w:r>
          </w:p>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　</w:t>
            </w:r>
          </w:p>
        </w:tc>
        <w:tc>
          <w:tcPr>
            <w:tcW w:w="730" w:type="dxa"/>
            <w:vMerge w:val="restart"/>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kern w:val="0"/>
                <w:sz w:val="18"/>
                <w:szCs w:val="18"/>
              </w:rPr>
              <w:t>5分</w:t>
            </w:r>
          </w:p>
        </w:tc>
        <w:tc>
          <w:tcPr>
            <w:tcW w:w="670" w:type="dxa"/>
            <w:vMerge w:val="restart"/>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项目立项　</w:t>
            </w: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立项依据</w:t>
            </w:r>
          </w:p>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充分性</w:t>
            </w:r>
          </w:p>
        </w:tc>
        <w:tc>
          <w:tcPr>
            <w:tcW w:w="56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0.5</w:t>
            </w:r>
          </w:p>
        </w:tc>
        <w:tc>
          <w:tcPr>
            <w:tcW w:w="2114"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项目立项符合国家法律法规、国民经济发展规划和相关政策</w:t>
            </w:r>
          </w:p>
        </w:tc>
        <w:tc>
          <w:tcPr>
            <w:tcW w:w="2114"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项目立项符合国家法律法规、国民经济发展规划和相关政策</w:t>
            </w:r>
          </w:p>
        </w:tc>
        <w:tc>
          <w:tcPr>
            <w:tcW w:w="67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100%</w:t>
            </w:r>
          </w:p>
        </w:tc>
        <w:tc>
          <w:tcPr>
            <w:tcW w:w="57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8" w:type="dxa"/>
            <w:vMerge w:val="continue"/>
            <w:shd w:val="clear" w:color="auto" w:fill="FFFFFF"/>
            <w:vAlign w:val="center"/>
          </w:tcPr>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730"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670"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立项程序</w:t>
            </w:r>
          </w:p>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规范性</w:t>
            </w:r>
          </w:p>
        </w:tc>
        <w:tc>
          <w:tcPr>
            <w:tcW w:w="56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0.5</w:t>
            </w:r>
          </w:p>
        </w:tc>
        <w:tc>
          <w:tcPr>
            <w:tcW w:w="2114"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项目是否按照规定的程序申请设立</w:t>
            </w:r>
          </w:p>
        </w:tc>
        <w:tc>
          <w:tcPr>
            <w:tcW w:w="2114"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项目是否按照规定的程序申请设立</w:t>
            </w:r>
          </w:p>
        </w:tc>
        <w:tc>
          <w:tcPr>
            <w:tcW w:w="67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100%</w:t>
            </w:r>
          </w:p>
        </w:tc>
        <w:tc>
          <w:tcPr>
            <w:tcW w:w="57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8" w:type="dxa"/>
            <w:vMerge w:val="continue"/>
            <w:shd w:val="clear" w:color="auto" w:fill="FFFFFF"/>
            <w:vAlign w:val="center"/>
          </w:tcPr>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730"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670" w:type="dxa"/>
            <w:vMerge w:val="restart"/>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绩效目标　</w:t>
            </w: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绩效目标</w:t>
            </w:r>
          </w:p>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合理性</w:t>
            </w:r>
          </w:p>
        </w:tc>
        <w:tc>
          <w:tcPr>
            <w:tcW w:w="56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项目绩效目标与实际工作内容具有相关性</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项目绩效目标</w:t>
            </w:r>
            <w:r>
              <w:rPr>
                <w:rFonts w:hint="eastAsia" w:asciiTheme="minorEastAsia" w:hAnsiTheme="minorEastAsia" w:eastAsiaTheme="minorEastAsia" w:cstheme="minorEastAsia"/>
                <w:color w:val="000000"/>
                <w:kern w:val="0"/>
                <w:sz w:val="18"/>
                <w:szCs w:val="18"/>
                <w:lang w:eastAsia="zh-CN"/>
              </w:rPr>
              <w:t>基本</w:t>
            </w:r>
            <w:r>
              <w:rPr>
                <w:rFonts w:hint="eastAsia" w:asciiTheme="minorEastAsia" w:hAnsiTheme="minorEastAsia" w:eastAsiaTheme="minorEastAsia" w:cstheme="minorEastAsia"/>
                <w:color w:val="000000"/>
                <w:kern w:val="0"/>
                <w:sz w:val="18"/>
                <w:szCs w:val="18"/>
              </w:rPr>
              <w:t>与实际工作内容具有相关性</w:t>
            </w:r>
          </w:p>
        </w:tc>
        <w:tc>
          <w:tcPr>
            <w:tcW w:w="6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60%</w:t>
            </w:r>
          </w:p>
        </w:tc>
        <w:tc>
          <w:tcPr>
            <w:tcW w:w="5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8"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730"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670"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绩效指标</w:t>
            </w:r>
          </w:p>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明确性</w:t>
            </w:r>
          </w:p>
        </w:tc>
        <w:tc>
          <w:tcPr>
            <w:tcW w:w="56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项目绩效目标细化分解为具体的绩效指标</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rPr>
              <w:t>项目绩效目标细化分解为具体的绩效指标</w:t>
            </w:r>
          </w:p>
        </w:tc>
        <w:tc>
          <w:tcPr>
            <w:tcW w:w="6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100%</w:t>
            </w:r>
          </w:p>
        </w:tc>
        <w:tc>
          <w:tcPr>
            <w:tcW w:w="5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8" w:type="dxa"/>
            <w:vMerge w:val="continue"/>
            <w:shd w:val="clear" w:color="auto" w:fill="FFFFFF"/>
            <w:vAlign w:val="center"/>
          </w:tcPr>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730" w:type="dxa"/>
            <w:vMerge w:val="continue"/>
            <w:shd w:val="clear" w:color="auto" w:fill="FFFFFF"/>
            <w:vAlign w:val="center"/>
          </w:tcPr>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670" w:type="dxa"/>
            <w:vMerge w:val="restart"/>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资金投入</w:t>
            </w: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预算编制</w:t>
            </w:r>
          </w:p>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科学性</w:t>
            </w:r>
          </w:p>
        </w:tc>
        <w:tc>
          <w:tcPr>
            <w:tcW w:w="56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w:t>
            </w:r>
          </w:p>
        </w:tc>
        <w:tc>
          <w:tcPr>
            <w:tcW w:w="2114"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预算确定的项目投资额或资金量与工作任务相匹配</w:t>
            </w:r>
          </w:p>
        </w:tc>
        <w:tc>
          <w:tcPr>
            <w:tcW w:w="2114"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rPr>
              <w:t>预算确定的项目投资额或资金量与工作任务相匹配</w:t>
            </w:r>
          </w:p>
        </w:tc>
        <w:tc>
          <w:tcPr>
            <w:tcW w:w="67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80%</w:t>
            </w:r>
          </w:p>
        </w:tc>
        <w:tc>
          <w:tcPr>
            <w:tcW w:w="57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8"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730"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670"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资金分配</w:t>
            </w:r>
          </w:p>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合理性</w:t>
            </w:r>
          </w:p>
        </w:tc>
        <w:tc>
          <w:tcPr>
            <w:tcW w:w="56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w:t>
            </w:r>
          </w:p>
        </w:tc>
        <w:tc>
          <w:tcPr>
            <w:tcW w:w="2114"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资金分配额度合理，与项目单位或地方实际相适应</w:t>
            </w:r>
          </w:p>
        </w:tc>
        <w:tc>
          <w:tcPr>
            <w:tcW w:w="2114"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rPr>
              <w:t>资金分配额度合理，与项目单位或地方实际相适应</w:t>
            </w:r>
          </w:p>
        </w:tc>
        <w:tc>
          <w:tcPr>
            <w:tcW w:w="67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100%</w:t>
            </w:r>
          </w:p>
        </w:tc>
        <w:tc>
          <w:tcPr>
            <w:tcW w:w="57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8" w:type="dxa"/>
            <w:vMerge w:val="restart"/>
            <w:shd w:val="clear" w:color="auto" w:fill="FFFFFF"/>
            <w:vAlign w:val="center"/>
          </w:tcPr>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过程</w:t>
            </w:r>
          </w:p>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　</w:t>
            </w:r>
          </w:p>
        </w:tc>
        <w:tc>
          <w:tcPr>
            <w:tcW w:w="730" w:type="dxa"/>
            <w:vMerge w:val="restart"/>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kern w:val="0"/>
                <w:sz w:val="18"/>
                <w:szCs w:val="18"/>
              </w:rPr>
              <w:t>5分</w:t>
            </w:r>
          </w:p>
        </w:tc>
        <w:tc>
          <w:tcPr>
            <w:tcW w:w="670" w:type="dxa"/>
            <w:vMerge w:val="restart"/>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资金管理</w:t>
            </w: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资金到位率</w:t>
            </w:r>
          </w:p>
        </w:tc>
        <w:tc>
          <w:tcPr>
            <w:tcW w:w="56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100%</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rPr>
              <w:t>100%</w:t>
            </w:r>
          </w:p>
        </w:tc>
        <w:tc>
          <w:tcPr>
            <w:tcW w:w="6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100%</w:t>
            </w:r>
          </w:p>
        </w:tc>
        <w:tc>
          <w:tcPr>
            <w:tcW w:w="5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4" w:hRule="atLeast"/>
        </w:trPr>
        <w:tc>
          <w:tcPr>
            <w:tcW w:w="548" w:type="dxa"/>
            <w:vMerge w:val="continue"/>
            <w:shd w:val="clear" w:color="auto" w:fill="FFFFFF"/>
            <w:vAlign w:val="center"/>
          </w:tcPr>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730" w:type="dxa"/>
            <w:vMerge w:val="continue"/>
            <w:shd w:val="clear" w:color="auto" w:fill="FFFFFF"/>
            <w:vAlign w:val="center"/>
          </w:tcPr>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670" w:type="dxa"/>
            <w:vMerge w:val="continue"/>
            <w:shd w:val="clear" w:color="auto" w:fill="FFFFFF"/>
            <w:vAlign w:val="center"/>
          </w:tcPr>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预算执行率</w:t>
            </w:r>
          </w:p>
        </w:tc>
        <w:tc>
          <w:tcPr>
            <w:tcW w:w="56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w:t>
            </w:r>
          </w:p>
        </w:tc>
        <w:tc>
          <w:tcPr>
            <w:tcW w:w="2114"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100%</w:t>
            </w:r>
          </w:p>
        </w:tc>
        <w:tc>
          <w:tcPr>
            <w:tcW w:w="2114"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lang w:val="en-US" w:eastAsia="zh-CN"/>
              </w:rPr>
              <w:t>100%</w:t>
            </w:r>
          </w:p>
        </w:tc>
        <w:tc>
          <w:tcPr>
            <w:tcW w:w="67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100%</w:t>
            </w:r>
          </w:p>
        </w:tc>
        <w:tc>
          <w:tcPr>
            <w:tcW w:w="57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8" w:type="dxa"/>
            <w:vMerge w:val="continue"/>
            <w:shd w:val="clear" w:color="auto" w:fill="FFFFFF"/>
            <w:vAlign w:val="center"/>
          </w:tcPr>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730"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670"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资金管理</w:t>
            </w: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资金使用</w:t>
            </w:r>
          </w:p>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合规性</w:t>
            </w:r>
          </w:p>
        </w:tc>
        <w:tc>
          <w:tcPr>
            <w:tcW w:w="56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符合国家财经法规和财务管理制度以及有关专项资金管理办法的规定</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rPr>
              <w:t>符合国家财经法规和财务管理制度以及有关专项资金管理办法的规定</w:t>
            </w:r>
          </w:p>
        </w:tc>
        <w:tc>
          <w:tcPr>
            <w:tcW w:w="6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lang w:val="en-US" w:eastAsia="zh-CN"/>
              </w:rPr>
              <w:t>100%</w:t>
            </w:r>
          </w:p>
        </w:tc>
        <w:tc>
          <w:tcPr>
            <w:tcW w:w="5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8" w:type="dxa"/>
            <w:vMerge w:val="continue"/>
            <w:shd w:val="clear" w:color="auto" w:fill="FFFFFF"/>
            <w:vAlign w:val="center"/>
          </w:tcPr>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730" w:type="dxa"/>
            <w:vMerge w:val="continue"/>
            <w:shd w:val="clear" w:color="auto" w:fill="FFFFFF"/>
            <w:vAlign w:val="center"/>
          </w:tcPr>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670" w:type="dxa"/>
            <w:vMerge w:val="restart"/>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组织实施</w:t>
            </w: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管理制度</w:t>
            </w:r>
          </w:p>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健全性</w:t>
            </w:r>
          </w:p>
        </w:tc>
        <w:tc>
          <w:tcPr>
            <w:tcW w:w="56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已制定或具有相应的财务和业务管理制度</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rPr>
              <w:t>已制定或具有相应的财务和业务管理制度</w:t>
            </w:r>
          </w:p>
        </w:tc>
        <w:tc>
          <w:tcPr>
            <w:tcW w:w="6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lang w:val="en-US" w:eastAsia="zh-CN"/>
              </w:rPr>
              <w:t>6</w:t>
            </w:r>
            <w:r>
              <w:rPr>
                <w:rFonts w:hint="eastAsia" w:asciiTheme="minorEastAsia" w:hAnsiTheme="minorEastAsia" w:eastAsiaTheme="minorEastAsia" w:cstheme="minorEastAsia"/>
                <w:color w:val="000000"/>
                <w:kern w:val="0"/>
                <w:sz w:val="18"/>
                <w:szCs w:val="18"/>
              </w:rPr>
              <w:t>0%</w:t>
            </w:r>
          </w:p>
        </w:tc>
        <w:tc>
          <w:tcPr>
            <w:tcW w:w="5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8"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730"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670"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制度执行</w:t>
            </w:r>
          </w:p>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有效性</w:t>
            </w:r>
          </w:p>
        </w:tc>
        <w:tc>
          <w:tcPr>
            <w:tcW w:w="56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遵守相关法律法规和相关管理规定</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rPr>
              <w:t>遵守相关法律法规和相关管理规定</w:t>
            </w:r>
          </w:p>
        </w:tc>
        <w:tc>
          <w:tcPr>
            <w:tcW w:w="6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rPr>
              <w:t>100%</w:t>
            </w:r>
          </w:p>
        </w:tc>
        <w:tc>
          <w:tcPr>
            <w:tcW w:w="5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5" w:hRule="atLeast"/>
        </w:trPr>
        <w:tc>
          <w:tcPr>
            <w:tcW w:w="548" w:type="dxa"/>
            <w:vMerge w:val="restart"/>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产出</w:t>
            </w:r>
          </w:p>
        </w:tc>
        <w:tc>
          <w:tcPr>
            <w:tcW w:w="730" w:type="dxa"/>
            <w:vMerge w:val="restart"/>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kern w:val="0"/>
                <w:sz w:val="18"/>
                <w:szCs w:val="18"/>
              </w:rPr>
              <w:t>50分</w:t>
            </w:r>
          </w:p>
        </w:tc>
        <w:tc>
          <w:tcPr>
            <w:tcW w:w="670"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产出数量</w:t>
            </w: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实际完成率</w:t>
            </w:r>
          </w:p>
        </w:tc>
        <w:tc>
          <w:tcPr>
            <w:tcW w:w="56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15</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100%</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lang w:val="en-US" w:eastAsia="zh-CN"/>
              </w:rPr>
              <w:t>100%</w:t>
            </w:r>
          </w:p>
        </w:tc>
        <w:tc>
          <w:tcPr>
            <w:tcW w:w="6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lang w:val="en-US" w:eastAsia="zh-CN"/>
              </w:rPr>
              <w:t>100%</w:t>
            </w:r>
          </w:p>
        </w:tc>
        <w:tc>
          <w:tcPr>
            <w:tcW w:w="5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5" w:hRule="atLeast"/>
        </w:trPr>
        <w:tc>
          <w:tcPr>
            <w:tcW w:w="548"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730"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670"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产出质量</w:t>
            </w: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质量达标率</w:t>
            </w:r>
          </w:p>
        </w:tc>
        <w:tc>
          <w:tcPr>
            <w:tcW w:w="56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10</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rPr>
            </w:pPr>
            <w:r>
              <w:rPr>
                <w:rFonts w:hint="eastAsia" w:asciiTheme="minorEastAsia" w:hAnsiTheme="minorEastAsia" w:eastAsiaTheme="minorEastAsia" w:cstheme="minorEastAsia"/>
                <w:color w:val="000000"/>
                <w:kern w:val="0"/>
                <w:sz w:val="18"/>
                <w:szCs w:val="18"/>
                <w:lang w:val="en-US" w:eastAsia="zh-CN"/>
              </w:rPr>
              <w:t>≥95%</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lang w:val="en-US" w:eastAsia="zh-CN"/>
              </w:rPr>
              <w:t>95.45%</w:t>
            </w:r>
          </w:p>
        </w:tc>
        <w:tc>
          <w:tcPr>
            <w:tcW w:w="6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lang w:val="en-US" w:eastAsia="zh-CN"/>
              </w:rPr>
              <w:t>100%</w:t>
            </w:r>
          </w:p>
        </w:tc>
        <w:tc>
          <w:tcPr>
            <w:tcW w:w="5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4" w:hRule="atLeast"/>
        </w:trPr>
        <w:tc>
          <w:tcPr>
            <w:tcW w:w="548" w:type="dxa"/>
            <w:vMerge w:val="continue"/>
            <w:shd w:val="clear" w:color="auto" w:fill="FFFFFF"/>
            <w:vAlign w:val="center"/>
          </w:tcPr>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730" w:type="dxa"/>
            <w:vMerge w:val="continue"/>
            <w:shd w:val="clear" w:color="auto" w:fill="FFFFFF"/>
            <w:vAlign w:val="center"/>
          </w:tcPr>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670" w:type="dxa"/>
            <w:shd w:val="clear" w:color="auto" w:fill="FFFFFF"/>
            <w:vAlign w:val="center"/>
          </w:tcPr>
          <w:p>
            <w:pPr>
              <w:keepLines w:val="0"/>
              <w:pageBreakBefore w:val="0"/>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产出时效</w:t>
            </w: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完成及时性</w:t>
            </w:r>
          </w:p>
        </w:tc>
        <w:tc>
          <w:tcPr>
            <w:tcW w:w="56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15</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12个月内</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lang w:val="en-US" w:eastAsia="zh-CN"/>
              </w:rPr>
              <w:t>11个月</w:t>
            </w:r>
          </w:p>
        </w:tc>
        <w:tc>
          <w:tcPr>
            <w:tcW w:w="6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rPr>
              <w:t>100%</w:t>
            </w:r>
          </w:p>
        </w:tc>
        <w:tc>
          <w:tcPr>
            <w:tcW w:w="5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8"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730"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670"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产出成本</w:t>
            </w: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成本节约率</w:t>
            </w:r>
          </w:p>
        </w:tc>
        <w:tc>
          <w:tcPr>
            <w:tcW w:w="56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10</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lang w:val="en-US" w:eastAsia="zh-CN"/>
              </w:rPr>
              <w:t>≥5%</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lang w:val="en-US" w:eastAsia="zh-CN"/>
              </w:rPr>
              <w:t>5%</w:t>
            </w:r>
          </w:p>
        </w:tc>
        <w:tc>
          <w:tcPr>
            <w:tcW w:w="6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rPr>
              <w:t>100%</w:t>
            </w:r>
          </w:p>
        </w:tc>
        <w:tc>
          <w:tcPr>
            <w:tcW w:w="5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8" w:type="dxa"/>
            <w:vMerge w:val="restart"/>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效益　</w:t>
            </w:r>
          </w:p>
        </w:tc>
        <w:tc>
          <w:tcPr>
            <w:tcW w:w="730" w:type="dxa"/>
            <w:vMerge w:val="restart"/>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40分</w:t>
            </w:r>
          </w:p>
        </w:tc>
        <w:tc>
          <w:tcPr>
            <w:tcW w:w="670" w:type="dxa"/>
            <w:vMerge w:val="restart"/>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项目效益　</w:t>
            </w: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实施效益</w:t>
            </w:r>
          </w:p>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（社会效益、经济效益、可持续效益）</w:t>
            </w:r>
          </w:p>
        </w:tc>
        <w:tc>
          <w:tcPr>
            <w:tcW w:w="56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30</w:t>
            </w:r>
          </w:p>
        </w:tc>
        <w:tc>
          <w:tcPr>
            <w:tcW w:w="2114"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eastAsia="zh-CN"/>
              </w:rPr>
            </w:pPr>
            <w:r>
              <w:rPr>
                <w:rFonts w:hint="eastAsia" w:asciiTheme="minorEastAsia" w:hAnsiTheme="minorEastAsia" w:eastAsiaTheme="minorEastAsia" w:cstheme="minorEastAsia"/>
                <w:color w:val="000000"/>
                <w:kern w:val="0"/>
                <w:sz w:val="18"/>
                <w:szCs w:val="18"/>
              </w:rPr>
              <w:t>提升社区群众应急避险和自救互救能力</w:t>
            </w:r>
            <w:r>
              <w:rPr>
                <w:rFonts w:hint="eastAsia" w:asciiTheme="minorEastAsia" w:hAnsiTheme="minorEastAsia" w:eastAsiaTheme="minorEastAsia" w:cstheme="minorEastAsia"/>
                <w:color w:val="000000"/>
                <w:kern w:val="0"/>
                <w:sz w:val="18"/>
                <w:szCs w:val="18"/>
                <w:lang w:eastAsia="zh-CN"/>
              </w:rPr>
              <w:t>明显提升</w:t>
            </w:r>
          </w:p>
        </w:tc>
        <w:tc>
          <w:tcPr>
            <w:tcW w:w="2114"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rPr>
              <w:t>提升社区群众应急避险和自救互救能力</w:t>
            </w:r>
            <w:r>
              <w:rPr>
                <w:rFonts w:hint="eastAsia" w:asciiTheme="minorEastAsia" w:hAnsiTheme="minorEastAsia" w:eastAsiaTheme="minorEastAsia" w:cstheme="minorEastAsia"/>
                <w:color w:val="000000"/>
                <w:kern w:val="0"/>
                <w:sz w:val="18"/>
                <w:szCs w:val="18"/>
                <w:lang w:eastAsia="zh-CN"/>
              </w:rPr>
              <w:t>有所提升</w:t>
            </w:r>
          </w:p>
        </w:tc>
        <w:tc>
          <w:tcPr>
            <w:tcW w:w="67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lang w:val="en-US" w:eastAsia="zh-CN"/>
              </w:rPr>
              <w:t>8</w:t>
            </w:r>
            <w:r>
              <w:rPr>
                <w:rFonts w:hint="eastAsia" w:asciiTheme="minorEastAsia" w:hAnsiTheme="minorEastAsia" w:eastAsiaTheme="minorEastAsia" w:cstheme="minorEastAsia"/>
                <w:color w:val="000000"/>
                <w:kern w:val="0"/>
                <w:sz w:val="18"/>
                <w:szCs w:val="18"/>
              </w:rPr>
              <w:t>0%</w:t>
            </w:r>
          </w:p>
        </w:tc>
        <w:tc>
          <w:tcPr>
            <w:tcW w:w="57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548"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730"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670" w:type="dxa"/>
            <w:vMerge w:val="continue"/>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p>
        </w:tc>
        <w:tc>
          <w:tcPr>
            <w:tcW w:w="1283" w:type="dxa"/>
            <w:shd w:val="clear" w:color="auto"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满意度</w:t>
            </w:r>
          </w:p>
        </w:tc>
        <w:tc>
          <w:tcPr>
            <w:tcW w:w="56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10</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rPr>
              <w:t>灾区公众对地震应急服务的满意度≥</w:t>
            </w:r>
            <w:r>
              <w:rPr>
                <w:rFonts w:hint="eastAsia" w:asciiTheme="minorEastAsia" w:hAnsiTheme="minorEastAsia" w:eastAsiaTheme="minorEastAsia" w:cstheme="minorEastAsia"/>
                <w:color w:val="000000"/>
                <w:kern w:val="0"/>
                <w:sz w:val="18"/>
                <w:szCs w:val="18"/>
                <w:lang w:val="en-US" w:eastAsia="zh-CN"/>
              </w:rPr>
              <w:t>90%</w:t>
            </w:r>
          </w:p>
        </w:tc>
        <w:tc>
          <w:tcPr>
            <w:tcW w:w="2114"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rPr>
              <w:t>灾区公众对地震应急服务的满意度≥</w:t>
            </w:r>
            <w:r>
              <w:rPr>
                <w:rFonts w:hint="eastAsia" w:asciiTheme="minorEastAsia" w:hAnsiTheme="minorEastAsia" w:eastAsiaTheme="minorEastAsia" w:cstheme="minorEastAsia"/>
                <w:color w:val="000000"/>
                <w:kern w:val="0"/>
                <w:sz w:val="18"/>
                <w:szCs w:val="18"/>
                <w:lang w:val="en-US" w:eastAsia="zh-CN"/>
              </w:rPr>
              <w:t>90%</w:t>
            </w:r>
          </w:p>
        </w:tc>
        <w:tc>
          <w:tcPr>
            <w:tcW w:w="6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bidi="ar-SA"/>
              </w:rPr>
            </w:pPr>
            <w:r>
              <w:rPr>
                <w:rFonts w:hint="eastAsia" w:asciiTheme="minorEastAsia" w:hAnsiTheme="minorEastAsia" w:eastAsiaTheme="minorEastAsia" w:cstheme="minorEastAsia"/>
                <w:color w:val="000000"/>
                <w:kern w:val="0"/>
                <w:sz w:val="18"/>
                <w:szCs w:val="18"/>
              </w:rPr>
              <w:t>100%</w:t>
            </w:r>
          </w:p>
        </w:tc>
        <w:tc>
          <w:tcPr>
            <w:tcW w:w="573" w:type="dxa"/>
            <w:shd w:val="clear" w:color="000000" w:fill="FFFFFF"/>
            <w:vAlign w:val="center"/>
          </w:tcPr>
          <w:p>
            <w:pPr>
              <w:keepLines w:val="0"/>
              <w:pageBreakBefore w:val="0"/>
              <w:widowControl/>
              <w:kinsoku/>
              <w:wordWrap/>
              <w:overflowPunct/>
              <w:topLinePunct w:val="0"/>
              <w:autoSpaceDE/>
              <w:autoSpaceDN/>
              <w:bidi w:val="0"/>
              <w:adjustRightInd/>
              <w:spacing w:line="560" w:lineRule="exact"/>
              <w:jc w:val="center"/>
              <w:textAlignment w:val="auto"/>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10</w:t>
            </w:r>
          </w:p>
        </w:tc>
      </w:tr>
    </w:tbl>
    <w:p>
      <w:pPr>
        <w:pStyle w:val="3"/>
        <w:keepLines w:val="0"/>
        <w:pageBreakBefore w:val="0"/>
        <w:kinsoku/>
        <w:wordWrap/>
        <w:overflowPunct/>
        <w:topLinePunct w:val="0"/>
        <w:autoSpaceDE/>
        <w:autoSpaceDN/>
        <w:bidi w:val="0"/>
        <w:adjustRightInd/>
        <w:spacing w:before="0" w:after="0" w:line="560" w:lineRule="exact"/>
        <w:textAlignment w:val="auto"/>
        <w:rPr>
          <w:rFonts w:hint="eastAsia" w:ascii="黑体" w:hAnsi="黑体" w:eastAsia="黑体" w:cs="黑体"/>
          <w:lang w:eastAsia="zh-CN"/>
        </w:rPr>
      </w:pPr>
      <w:bookmarkStart w:id="133" w:name="_Toc3276"/>
      <w:bookmarkStart w:id="134" w:name="_Toc16505"/>
      <w:bookmarkStart w:id="135" w:name="_Toc20409"/>
      <w:bookmarkStart w:id="136" w:name="_Toc26018"/>
      <w:bookmarkStart w:id="137" w:name="_Toc24983"/>
      <w:r>
        <w:rPr>
          <w:rFonts w:hint="eastAsia" w:ascii="黑体" w:hAnsi="黑体" w:eastAsia="黑体" w:cs="黑体"/>
          <w:lang w:eastAsia="zh-CN"/>
        </w:rPr>
        <w:t>四、绩效评价指标分析</w:t>
      </w:r>
      <w:bookmarkEnd w:id="133"/>
      <w:bookmarkEnd w:id="134"/>
      <w:bookmarkEnd w:id="135"/>
      <w:bookmarkEnd w:id="136"/>
      <w:bookmarkEnd w:id="137"/>
    </w:p>
    <w:p>
      <w:pPr>
        <w:pStyle w:val="4"/>
        <w:keepLines w:val="0"/>
        <w:pageBreakBefore w:val="0"/>
        <w:kinsoku/>
        <w:wordWrap/>
        <w:overflowPunct/>
        <w:topLinePunct w:val="0"/>
        <w:autoSpaceDE/>
        <w:autoSpaceDN/>
        <w:bidi w:val="0"/>
        <w:adjustRightInd/>
        <w:spacing w:before="0" w:after="0" w:line="560" w:lineRule="exact"/>
        <w:textAlignment w:val="auto"/>
        <w:rPr>
          <w:rFonts w:hint="eastAsia" w:ascii="楷体" w:hAnsi="楷体" w:eastAsia="楷体" w:cs="楷体"/>
        </w:rPr>
      </w:pPr>
      <w:bookmarkStart w:id="138" w:name="_Toc15401"/>
      <w:bookmarkStart w:id="139" w:name="_Toc22417"/>
      <w:bookmarkStart w:id="140" w:name="_Toc3499"/>
      <w:bookmarkStart w:id="141" w:name="_Toc14042"/>
      <w:bookmarkStart w:id="142" w:name="_Toc10101"/>
      <w:r>
        <w:rPr>
          <w:rFonts w:hint="eastAsia" w:ascii="楷体" w:hAnsi="楷体" w:eastAsia="楷体" w:cs="楷体"/>
        </w:rPr>
        <w:t>（一）项目决策情况</w:t>
      </w:r>
      <w:bookmarkEnd w:id="138"/>
      <w:bookmarkEnd w:id="139"/>
      <w:bookmarkEnd w:id="140"/>
      <w:bookmarkEnd w:id="141"/>
      <w:bookmarkEnd w:id="142"/>
    </w:p>
    <w:p>
      <w:pPr>
        <w:keepLines w:val="0"/>
        <w:pageBreakBefore w:val="0"/>
        <w:kinsoku/>
        <w:wordWrap/>
        <w:overflowPunct/>
        <w:topLinePunct w:val="0"/>
        <w:autoSpaceDE/>
        <w:autoSpaceDN/>
        <w:bidi w:val="0"/>
        <w:adjustRightIn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rPr>
        <w:t>项目决策指标从</w:t>
      </w:r>
      <w:r>
        <w:rPr>
          <w:rFonts w:hint="eastAsia" w:ascii="仿宋_GB2312" w:hAnsi="仿宋_GB2312" w:eastAsia="仿宋_GB2312" w:cs="仿宋_GB2312"/>
          <w:color w:val="000000"/>
          <w:spacing w:val="17"/>
          <w:sz w:val="32"/>
          <w:szCs w:val="32"/>
          <w:lang w:eastAsia="zh-CN"/>
        </w:rPr>
        <w:t>项目立项</w:t>
      </w:r>
      <w:r>
        <w:rPr>
          <w:rFonts w:hint="eastAsia" w:ascii="仿宋_GB2312" w:hAnsi="仿宋_GB2312" w:eastAsia="仿宋_GB2312" w:cs="仿宋_GB2312"/>
          <w:color w:val="000000"/>
          <w:spacing w:val="17"/>
          <w:sz w:val="32"/>
          <w:szCs w:val="32"/>
        </w:rPr>
        <w:t>、</w:t>
      </w:r>
      <w:r>
        <w:rPr>
          <w:rFonts w:hint="eastAsia" w:ascii="仿宋_GB2312" w:hAnsi="仿宋_GB2312" w:eastAsia="仿宋_GB2312" w:cs="仿宋_GB2312"/>
          <w:color w:val="000000"/>
          <w:spacing w:val="17"/>
          <w:sz w:val="32"/>
          <w:szCs w:val="32"/>
          <w:lang w:eastAsia="zh-CN"/>
        </w:rPr>
        <w:t>绩效目标</w:t>
      </w:r>
      <w:r>
        <w:rPr>
          <w:rFonts w:hint="eastAsia" w:ascii="仿宋_GB2312" w:hAnsi="仿宋_GB2312" w:eastAsia="仿宋_GB2312" w:cs="仿宋_GB2312"/>
          <w:color w:val="000000"/>
          <w:spacing w:val="17"/>
          <w:sz w:val="32"/>
          <w:szCs w:val="32"/>
        </w:rPr>
        <w:t>、</w:t>
      </w:r>
      <w:r>
        <w:rPr>
          <w:rFonts w:hint="eastAsia" w:ascii="仿宋_GB2312" w:hAnsi="仿宋_GB2312" w:eastAsia="仿宋_GB2312" w:cs="仿宋_GB2312"/>
          <w:color w:val="000000"/>
          <w:spacing w:val="17"/>
          <w:sz w:val="32"/>
          <w:szCs w:val="32"/>
          <w:lang w:eastAsia="zh-CN"/>
        </w:rPr>
        <w:t>资金投入</w:t>
      </w:r>
      <w:r>
        <w:rPr>
          <w:rFonts w:hint="eastAsia" w:ascii="仿宋_GB2312" w:hAnsi="仿宋_GB2312" w:eastAsia="仿宋_GB2312" w:cs="仿宋_GB2312"/>
          <w:color w:val="000000"/>
          <w:spacing w:val="17"/>
          <w:sz w:val="32"/>
          <w:szCs w:val="32"/>
        </w:rPr>
        <w:t>3个方面</w:t>
      </w:r>
      <w:r>
        <w:rPr>
          <w:rFonts w:hint="eastAsia" w:ascii="仿宋_GB2312" w:hAnsi="仿宋_GB2312" w:eastAsia="仿宋_GB2312" w:cs="仿宋_GB2312"/>
          <w:color w:val="000000"/>
          <w:spacing w:val="17"/>
          <w:sz w:val="32"/>
          <w:szCs w:val="32"/>
          <w:lang w:eastAsia="zh-CN"/>
        </w:rPr>
        <w:t>分别</w:t>
      </w:r>
      <w:r>
        <w:rPr>
          <w:rFonts w:hint="eastAsia" w:ascii="仿宋_GB2312" w:hAnsi="仿宋_GB2312" w:eastAsia="仿宋_GB2312" w:cs="仿宋_GB2312"/>
          <w:color w:val="000000"/>
          <w:spacing w:val="17"/>
          <w:sz w:val="32"/>
          <w:szCs w:val="32"/>
        </w:rPr>
        <w:t>对项目立项</w:t>
      </w:r>
      <w:r>
        <w:rPr>
          <w:rFonts w:hint="eastAsia" w:ascii="仿宋_GB2312" w:hAnsi="仿宋_GB2312" w:eastAsia="仿宋_GB2312" w:cs="仿宋_GB2312"/>
          <w:color w:val="000000"/>
          <w:spacing w:val="17"/>
          <w:sz w:val="32"/>
          <w:szCs w:val="32"/>
          <w:lang w:eastAsia="zh-CN"/>
        </w:rPr>
        <w:t>依据的充分性和立项程序规范性、绩效目标合理性和绩效指标明确性、资金投入预算编制科学性和预算资金合理性六个</w:t>
      </w:r>
      <w:r>
        <w:rPr>
          <w:rFonts w:hint="eastAsia" w:ascii="仿宋_GB2312" w:hAnsi="仿宋_GB2312" w:eastAsia="仿宋_GB2312" w:cs="仿宋_GB2312"/>
          <w:color w:val="000000"/>
          <w:spacing w:val="17"/>
          <w:sz w:val="32"/>
          <w:szCs w:val="32"/>
        </w:rPr>
        <w:t>目标完成情况进行考察，项目决策类指标分值</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分，实际得分</w:t>
      </w:r>
      <w:r>
        <w:rPr>
          <w:rFonts w:hint="eastAsia" w:ascii="仿宋_GB2312" w:hAnsi="仿宋_GB2312" w:eastAsia="仿宋_GB2312" w:cs="仿宋_GB2312"/>
          <w:color w:val="000000"/>
          <w:spacing w:val="17"/>
          <w:sz w:val="32"/>
          <w:szCs w:val="32"/>
          <w:lang w:val="en-US" w:eastAsia="zh-CN"/>
        </w:rPr>
        <w:t>4.4</w:t>
      </w:r>
      <w:r>
        <w:rPr>
          <w:rFonts w:hint="eastAsia" w:ascii="仿宋_GB2312" w:hAnsi="仿宋_GB2312" w:eastAsia="仿宋_GB2312" w:cs="仿宋_GB2312"/>
          <w:color w:val="000000"/>
          <w:spacing w:val="17"/>
          <w:sz w:val="32"/>
          <w:szCs w:val="32"/>
        </w:rPr>
        <w:t>分，得分率</w:t>
      </w:r>
      <w:r>
        <w:rPr>
          <w:rFonts w:hint="eastAsia" w:ascii="仿宋_GB2312" w:hAnsi="仿宋_GB2312" w:eastAsia="仿宋_GB2312" w:cs="仿宋_GB2312"/>
          <w:color w:val="000000"/>
          <w:spacing w:val="17"/>
          <w:sz w:val="32"/>
          <w:szCs w:val="32"/>
          <w:lang w:val="en-US" w:eastAsia="zh-CN"/>
        </w:rPr>
        <w:t>88</w:t>
      </w:r>
      <w:r>
        <w:rPr>
          <w:rFonts w:hint="eastAsia" w:ascii="仿宋_GB2312" w:hAnsi="仿宋_GB2312" w:eastAsia="仿宋_GB2312" w:cs="仿宋_GB2312"/>
          <w:color w:val="000000"/>
          <w:spacing w:val="17"/>
          <w:sz w:val="32"/>
          <w:szCs w:val="32"/>
        </w:rPr>
        <w:t>%。</w:t>
      </w:r>
    </w:p>
    <w:p>
      <w:pPr>
        <w:pStyle w:val="4"/>
        <w:keepLines w:val="0"/>
        <w:pageBreakBefore w:val="0"/>
        <w:kinsoku/>
        <w:wordWrap/>
        <w:overflowPunct/>
        <w:topLinePunct w:val="0"/>
        <w:autoSpaceDE/>
        <w:autoSpaceDN/>
        <w:bidi w:val="0"/>
        <w:adjustRightInd/>
        <w:spacing w:before="0" w:after="0" w:line="560" w:lineRule="exact"/>
        <w:textAlignment w:val="auto"/>
        <w:rPr>
          <w:rFonts w:hint="eastAsia" w:ascii="楷体" w:hAnsi="楷体" w:eastAsia="楷体" w:cs="楷体"/>
        </w:rPr>
      </w:pPr>
      <w:bookmarkStart w:id="143" w:name="_Toc21793"/>
      <w:bookmarkStart w:id="144" w:name="_Toc2350"/>
      <w:bookmarkStart w:id="145" w:name="_Toc18315"/>
      <w:bookmarkStart w:id="146" w:name="_Toc26578"/>
      <w:bookmarkStart w:id="147" w:name="_Toc18537"/>
      <w:r>
        <w:rPr>
          <w:rFonts w:hint="eastAsia" w:ascii="楷体" w:hAnsi="楷体" w:eastAsia="楷体" w:cs="楷体"/>
          <w:lang w:eastAsia="zh-CN"/>
        </w:rPr>
        <w:t>（二）</w:t>
      </w:r>
      <w:r>
        <w:rPr>
          <w:rFonts w:hint="eastAsia" w:ascii="楷体" w:hAnsi="楷体" w:eastAsia="楷体" w:cs="楷体"/>
        </w:rPr>
        <w:t>项目过程情况</w:t>
      </w:r>
      <w:bookmarkEnd w:id="143"/>
      <w:bookmarkEnd w:id="144"/>
      <w:bookmarkEnd w:id="145"/>
      <w:bookmarkEnd w:id="146"/>
      <w:bookmarkEnd w:id="147"/>
    </w:p>
    <w:p>
      <w:pPr>
        <w:keepLines w:val="0"/>
        <w:pageBreakBefore w:val="0"/>
        <w:kinsoku/>
        <w:wordWrap/>
        <w:overflowPunct/>
        <w:topLinePunct w:val="0"/>
        <w:autoSpaceDE/>
        <w:autoSpaceDN/>
        <w:bidi w:val="0"/>
        <w:adjustRightInd/>
        <w:spacing w:line="560" w:lineRule="exact"/>
        <w:ind w:firstLine="641"/>
        <w:textAlignment w:val="auto"/>
      </w:pPr>
      <w:r>
        <w:rPr>
          <w:rFonts w:hint="eastAsia" w:ascii="仿宋_GB2312" w:hAnsi="仿宋_GB2312" w:eastAsia="仿宋_GB2312" w:cs="仿宋_GB2312"/>
          <w:color w:val="000000"/>
          <w:spacing w:val="17"/>
          <w:sz w:val="32"/>
          <w:szCs w:val="32"/>
          <w:lang w:val="en-US" w:eastAsia="zh-CN"/>
        </w:rPr>
        <w:t>项目过程指标是从资金管理和组织实施2个方面分别对项目资金到位率、执行率、使用合规性和管理制度健全性、制度实施有效性五个目标完成情况进行考察，项目过程类指标分值为5分，实际得分4.6分，得分率92%。</w:t>
      </w:r>
    </w:p>
    <w:p>
      <w:pPr>
        <w:pStyle w:val="4"/>
        <w:keepLines w:val="0"/>
        <w:pageBreakBefore w:val="0"/>
        <w:kinsoku/>
        <w:wordWrap/>
        <w:overflowPunct/>
        <w:topLinePunct w:val="0"/>
        <w:autoSpaceDE/>
        <w:autoSpaceDN/>
        <w:bidi w:val="0"/>
        <w:adjustRightInd/>
        <w:spacing w:before="0" w:after="0" w:line="560" w:lineRule="exact"/>
        <w:textAlignment w:val="auto"/>
        <w:rPr>
          <w:rFonts w:hint="eastAsia" w:ascii="楷体" w:hAnsi="楷体" w:eastAsia="楷体" w:cs="楷体"/>
        </w:rPr>
      </w:pPr>
      <w:bookmarkStart w:id="148" w:name="_Toc17834"/>
      <w:r>
        <w:rPr>
          <w:rFonts w:hint="eastAsia" w:ascii="楷体" w:hAnsi="楷体" w:eastAsia="楷体" w:cs="楷体"/>
          <w:lang w:eastAsia="zh-CN"/>
        </w:rPr>
        <w:t>（三）</w:t>
      </w:r>
      <w:r>
        <w:rPr>
          <w:rFonts w:hint="eastAsia" w:ascii="楷体" w:hAnsi="楷体" w:eastAsia="楷体" w:cs="楷体"/>
        </w:rPr>
        <w:t>项目产出</w:t>
      </w:r>
      <w:bookmarkEnd w:id="148"/>
    </w:p>
    <w:p>
      <w:pPr>
        <w:keepLines w:val="0"/>
        <w:pageBreakBefore w:val="0"/>
        <w:kinsoku/>
        <w:wordWrap/>
        <w:overflowPunct/>
        <w:topLinePunct w:val="0"/>
        <w:autoSpaceDE/>
        <w:autoSpaceDN/>
        <w:bidi w:val="0"/>
        <w:adjustRightIn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Style w:val="22"/>
          <w:rFonts w:hint="eastAsia" w:ascii="仿宋" w:hAnsi="仿宋" w:eastAsia="仿宋" w:cs="仿宋"/>
          <w:b w:val="0"/>
          <w:bCs/>
          <w:spacing w:val="-4"/>
          <w:sz w:val="32"/>
          <w:szCs w:val="32"/>
        </w:rPr>
        <w:t>数量指标方面：</w:t>
      </w:r>
      <w:r>
        <w:rPr>
          <w:rStyle w:val="22"/>
          <w:rFonts w:hint="eastAsia" w:ascii="仿宋" w:hAnsi="仿宋" w:eastAsia="仿宋" w:cs="仿宋"/>
          <w:b w:val="0"/>
          <w:bCs/>
          <w:spacing w:val="-4"/>
          <w:sz w:val="32"/>
          <w:szCs w:val="32"/>
          <w:lang w:eastAsia="zh-CN"/>
        </w:rPr>
        <w:t>观测员人数</w:t>
      </w:r>
      <w:r>
        <w:rPr>
          <w:rStyle w:val="22"/>
          <w:rFonts w:hint="eastAsia" w:ascii="仿宋" w:hAnsi="仿宋" w:eastAsia="仿宋" w:cs="仿宋"/>
          <w:b w:val="0"/>
          <w:bCs/>
          <w:spacing w:val="-4"/>
          <w:sz w:val="32"/>
          <w:szCs w:val="32"/>
          <w:lang w:val="en-US" w:eastAsia="zh-CN"/>
        </w:rPr>
        <w:t>66人，实际值66人，完成率100%，该</w:t>
      </w:r>
      <w:r>
        <w:rPr>
          <w:rFonts w:hint="eastAsia" w:ascii="仿宋_GB2312" w:hAnsi="仿宋_GB2312" w:eastAsia="仿宋_GB2312" w:cs="仿宋_GB2312"/>
          <w:color w:val="000000"/>
          <w:spacing w:val="17"/>
          <w:sz w:val="32"/>
          <w:szCs w:val="32"/>
          <w:lang w:val="en-US" w:eastAsia="zh-CN"/>
        </w:rPr>
        <w:t>指标分值为15分，实际得分15分，得分率100%。</w:t>
      </w:r>
    </w:p>
    <w:p>
      <w:pPr>
        <w:keepLines w:val="0"/>
        <w:pageBreakBefore w:val="0"/>
        <w:kinsoku/>
        <w:wordWrap/>
        <w:overflowPunct/>
        <w:topLinePunct w:val="0"/>
        <w:autoSpaceDE/>
        <w:autoSpaceDN/>
        <w:bidi w:val="0"/>
        <w:adjustRightInd/>
        <w:spacing w:line="560" w:lineRule="exact"/>
        <w:ind w:firstLine="640"/>
        <w:textAlignment w:val="auto"/>
        <w:rPr>
          <w:rStyle w:val="51"/>
          <w:rFonts w:hint="default" w:eastAsia="仿宋_GB2312"/>
          <w:color w:val="auto"/>
          <w:lang w:val="en-US" w:eastAsia="zh-CN"/>
        </w:rPr>
      </w:pPr>
      <w:r>
        <w:rPr>
          <w:rStyle w:val="51"/>
          <w:rFonts w:hint="eastAsia"/>
          <w:color w:val="auto"/>
        </w:rPr>
        <w:t>质量指标方面：</w:t>
      </w:r>
      <w:r>
        <w:rPr>
          <w:rStyle w:val="51"/>
          <w:rFonts w:hint="eastAsia" w:eastAsia="仿宋_GB2312"/>
          <w:color w:val="auto"/>
          <w:lang w:eastAsia="zh-CN"/>
        </w:rPr>
        <w:t>对观测员进行年度考核，考核达标率目标值为不小于</w:t>
      </w:r>
      <w:r>
        <w:rPr>
          <w:rStyle w:val="51"/>
          <w:rFonts w:hint="eastAsia" w:eastAsia="仿宋_GB2312"/>
          <w:color w:val="auto"/>
          <w:lang w:val="en-US" w:eastAsia="zh-CN"/>
        </w:rPr>
        <w:t>95%，实际值为95%，</w:t>
      </w:r>
      <w:r>
        <w:rPr>
          <w:rStyle w:val="22"/>
          <w:rFonts w:hint="eastAsia" w:ascii="仿宋" w:hAnsi="仿宋" w:eastAsia="仿宋" w:cs="仿宋"/>
          <w:b w:val="0"/>
          <w:bCs/>
          <w:spacing w:val="-4"/>
          <w:sz w:val="32"/>
          <w:szCs w:val="32"/>
          <w:lang w:val="en-US" w:eastAsia="zh-CN"/>
        </w:rPr>
        <w:t>该</w:t>
      </w:r>
      <w:r>
        <w:rPr>
          <w:rFonts w:hint="eastAsia" w:ascii="仿宋_GB2312" w:hAnsi="仿宋_GB2312" w:eastAsia="仿宋_GB2312" w:cs="仿宋_GB2312"/>
          <w:color w:val="000000"/>
          <w:spacing w:val="17"/>
          <w:sz w:val="32"/>
          <w:szCs w:val="32"/>
          <w:lang w:val="en-US" w:eastAsia="zh-CN"/>
        </w:rPr>
        <w:t>指标分值为10分，实际得分10分，得分率100%。</w:t>
      </w:r>
    </w:p>
    <w:p>
      <w:pPr>
        <w:keepLines w:val="0"/>
        <w:pageBreakBefore w:val="0"/>
        <w:kinsoku/>
        <w:wordWrap/>
        <w:overflowPunct/>
        <w:topLinePunct w:val="0"/>
        <w:autoSpaceDE/>
        <w:autoSpaceDN/>
        <w:bidi w:val="0"/>
        <w:adjustRightInd/>
        <w:spacing w:line="560" w:lineRule="exact"/>
        <w:ind w:firstLine="640"/>
        <w:textAlignment w:val="auto"/>
        <w:rPr>
          <w:rStyle w:val="51"/>
          <w:rFonts w:hint="default"/>
          <w:b w:val="0"/>
          <w:bCs w:val="0"/>
          <w:color w:val="auto"/>
          <w:lang w:val="en-US" w:eastAsia="zh-CN"/>
        </w:rPr>
      </w:pPr>
      <w:r>
        <w:rPr>
          <w:rStyle w:val="51"/>
          <w:rFonts w:hint="eastAsia"/>
          <w:b w:val="0"/>
          <w:bCs w:val="0"/>
          <w:color w:val="auto"/>
          <w:lang w:val="en-US" w:eastAsia="zh-CN"/>
        </w:rPr>
        <w:t>成本指标方面：因2020年传染病防控</w:t>
      </w:r>
      <w:bookmarkStart w:id="191" w:name="_GoBack"/>
      <w:bookmarkEnd w:id="191"/>
      <w:r>
        <w:rPr>
          <w:rStyle w:val="51"/>
          <w:rFonts w:hint="eastAsia"/>
          <w:b w:val="0"/>
          <w:bCs w:val="0"/>
          <w:color w:val="auto"/>
          <w:lang w:val="en-US" w:eastAsia="zh-CN"/>
        </w:rPr>
        <w:t>未组织集中培训，大幅度节约该项目实施成本。</w:t>
      </w:r>
      <w:r>
        <w:rPr>
          <w:rStyle w:val="22"/>
          <w:rFonts w:hint="eastAsia" w:ascii="仿宋" w:hAnsi="仿宋" w:eastAsia="仿宋" w:cs="仿宋"/>
          <w:b w:val="0"/>
          <w:bCs/>
          <w:spacing w:val="-4"/>
          <w:sz w:val="32"/>
          <w:szCs w:val="32"/>
          <w:lang w:val="en-US" w:eastAsia="zh-CN"/>
        </w:rPr>
        <w:t>该</w:t>
      </w:r>
      <w:r>
        <w:rPr>
          <w:rFonts w:hint="eastAsia" w:ascii="仿宋_GB2312" w:hAnsi="仿宋_GB2312" w:eastAsia="仿宋_GB2312" w:cs="仿宋_GB2312"/>
          <w:color w:val="000000"/>
          <w:spacing w:val="17"/>
          <w:sz w:val="32"/>
          <w:szCs w:val="32"/>
          <w:lang w:val="en-US" w:eastAsia="zh-CN"/>
        </w:rPr>
        <w:t>指标分值为10分，实际得分10分，得分率100%。</w:t>
      </w:r>
    </w:p>
    <w:p>
      <w:pPr>
        <w:keepLines w:val="0"/>
        <w:pageBreakBefore w:val="0"/>
        <w:kinsoku/>
        <w:wordWrap/>
        <w:overflowPunct/>
        <w:topLinePunct w:val="0"/>
        <w:autoSpaceDE/>
        <w:autoSpaceDN/>
        <w:bidi w:val="0"/>
        <w:adjustRightInd/>
        <w:spacing w:line="560" w:lineRule="exact"/>
        <w:ind w:firstLine="640"/>
        <w:textAlignment w:val="auto"/>
      </w:pPr>
      <w:r>
        <w:rPr>
          <w:rStyle w:val="51"/>
          <w:rFonts w:hint="eastAsia"/>
          <w:color w:val="auto"/>
          <w:lang w:val="en-US" w:eastAsia="zh-CN"/>
        </w:rPr>
        <w:t>时效指标方面：项目实施目标时长为12个月，实际实施为11个月。</w:t>
      </w:r>
      <w:r>
        <w:rPr>
          <w:rStyle w:val="22"/>
          <w:rFonts w:hint="eastAsia" w:ascii="仿宋" w:hAnsi="仿宋" w:eastAsia="仿宋" w:cs="仿宋"/>
          <w:b w:val="0"/>
          <w:bCs/>
          <w:spacing w:val="-4"/>
          <w:sz w:val="32"/>
          <w:szCs w:val="32"/>
          <w:lang w:val="en-US" w:eastAsia="zh-CN"/>
        </w:rPr>
        <w:t>该</w:t>
      </w:r>
      <w:r>
        <w:rPr>
          <w:rFonts w:hint="eastAsia" w:ascii="仿宋_GB2312" w:hAnsi="仿宋_GB2312" w:eastAsia="仿宋_GB2312" w:cs="仿宋_GB2312"/>
          <w:color w:val="000000"/>
          <w:spacing w:val="17"/>
          <w:sz w:val="32"/>
          <w:szCs w:val="32"/>
          <w:lang w:val="en-US" w:eastAsia="zh-CN"/>
        </w:rPr>
        <w:t>指标分值为15分，实际得分15分，得分率100%。</w:t>
      </w:r>
    </w:p>
    <w:p>
      <w:pPr>
        <w:pStyle w:val="4"/>
        <w:keepLines w:val="0"/>
        <w:pageBreakBefore w:val="0"/>
        <w:kinsoku/>
        <w:wordWrap/>
        <w:overflowPunct/>
        <w:topLinePunct w:val="0"/>
        <w:autoSpaceDE/>
        <w:autoSpaceDN/>
        <w:bidi w:val="0"/>
        <w:adjustRightInd/>
        <w:spacing w:before="0" w:after="0" w:line="560" w:lineRule="exact"/>
        <w:textAlignment w:val="auto"/>
        <w:rPr>
          <w:rFonts w:hint="eastAsia" w:ascii="楷体" w:hAnsi="楷体" w:eastAsia="楷体" w:cs="楷体"/>
        </w:rPr>
      </w:pPr>
      <w:bookmarkStart w:id="149" w:name="_Toc28644"/>
      <w:r>
        <w:rPr>
          <w:rFonts w:hint="eastAsia" w:ascii="楷体" w:hAnsi="楷体" w:eastAsia="楷体" w:cs="楷体"/>
          <w:lang w:eastAsia="zh-CN"/>
        </w:rPr>
        <w:t>（四）</w:t>
      </w:r>
      <w:r>
        <w:rPr>
          <w:rFonts w:hint="eastAsia" w:ascii="楷体" w:hAnsi="楷体" w:eastAsia="楷体" w:cs="楷体"/>
        </w:rPr>
        <w:t>效益情况</w:t>
      </w:r>
      <w:bookmarkEnd w:id="149"/>
    </w:p>
    <w:p>
      <w:pPr>
        <w:keepLines w:val="0"/>
        <w:pageBreakBefore w:val="0"/>
        <w:kinsoku/>
        <w:wordWrap/>
        <w:overflowPunct/>
        <w:topLinePunct w:val="0"/>
        <w:autoSpaceDE/>
        <w:autoSpaceDN/>
        <w:bidi w:val="0"/>
        <w:adjustRightInd/>
        <w:spacing w:line="560" w:lineRule="exact"/>
        <w:ind w:firstLine="640"/>
        <w:textAlignment w:val="auto"/>
        <w:rPr>
          <w:rStyle w:val="51"/>
          <w:rFonts w:hint="eastAsia" w:eastAsia="仿宋_GB2312"/>
          <w:color w:val="auto"/>
          <w:lang w:eastAsia="zh-CN"/>
        </w:rPr>
      </w:pPr>
      <w:r>
        <w:rPr>
          <w:rStyle w:val="51"/>
          <w:rFonts w:hint="eastAsia"/>
          <w:color w:val="auto"/>
        </w:rPr>
        <w:t>经济效益指标方面：</w:t>
      </w:r>
      <w:r>
        <w:rPr>
          <w:rStyle w:val="51"/>
          <w:rFonts w:hint="eastAsia" w:eastAsia="仿宋_GB2312"/>
          <w:color w:val="auto"/>
          <w:lang w:eastAsia="zh-CN"/>
        </w:rPr>
        <w:t>无</w:t>
      </w:r>
    </w:p>
    <w:p>
      <w:pPr>
        <w:keepLines w:val="0"/>
        <w:pageBreakBefore w:val="0"/>
        <w:kinsoku/>
        <w:wordWrap/>
        <w:overflowPunct/>
        <w:topLinePunct w:val="0"/>
        <w:autoSpaceDE/>
        <w:autoSpaceDN/>
        <w:bidi w:val="0"/>
        <w:adjustRightInd/>
        <w:spacing w:line="560" w:lineRule="exact"/>
        <w:ind w:firstLine="640"/>
        <w:textAlignment w:val="auto"/>
        <w:rPr>
          <w:rFonts w:hint="default" w:ascii="楷体_GB2312" w:hAnsi="楷体_GB2312" w:eastAsia="楷体_GB2312" w:cs="楷体_GB2312"/>
          <w:b/>
          <w:bCs/>
          <w:sz w:val="32"/>
          <w:szCs w:val="32"/>
          <w:lang w:val="en-US"/>
        </w:rPr>
      </w:pPr>
      <w:r>
        <w:rPr>
          <w:rStyle w:val="51"/>
          <w:rFonts w:hint="eastAsia"/>
          <w:color w:val="auto"/>
        </w:rPr>
        <w:t>社会效益指标方面：</w:t>
      </w:r>
      <w:r>
        <w:rPr>
          <w:rStyle w:val="51"/>
          <w:rFonts w:hint="eastAsia"/>
          <w:color w:val="auto"/>
          <w:lang w:val="en-US" w:eastAsia="zh-CN"/>
        </w:rPr>
        <w:t>根据对日常对社区及学校应急避险演练情况的了解，其效果较过去有所提升。</w:t>
      </w:r>
      <w:r>
        <w:rPr>
          <w:rStyle w:val="22"/>
          <w:rFonts w:hint="eastAsia" w:ascii="仿宋" w:hAnsi="仿宋" w:eastAsia="仿宋" w:cs="仿宋"/>
          <w:b w:val="0"/>
          <w:bCs/>
          <w:spacing w:val="-4"/>
          <w:sz w:val="32"/>
          <w:szCs w:val="32"/>
          <w:lang w:val="en-US" w:eastAsia="zh-CN"/>
        </w:rPr>
        <w:t>该</w:t>
      </w:r>
      <w:r>
        <w:rPr>
          <w:rFonts w:hint="eastAsia" w:ascii="仿宋_GB2312" w:hAnsi="仿宋_GB2312" w:eastAsia="仿宋_GB2312" w:cs="仿宋_GB2312"/>
          <w:color w:val="000000"/>
          <w:spacing w:val="17"/>
          <w:sz w:val="32"/>
          <w:szCs w:val="32"/>
          <w:lang w:val="en-US" w:eastAsia="zh-CN"/>
        </w:rPr>
        <w:t>指标分值为30分，实际得分30分，得分率100%。</w:t>
      </w:r>
    </w:p>
    <w:p>
      <w:pPr>
        <w:keepLines w:val="0"/>
        <w:pageBreakBefore w:val="0"/>
        <w:kinsoku/>
        <w:wordWrap/>
        <w:overflowPunct/>
        <w:topLinePunct w:val="0"/>
        <w:autoSpaceDE/>
        <w:autoSpaceDN/>
        <w:bidi w:val="0"/>
        <w:adjustRightInd/>
        <w:spacing w:line="560" w:lineRule="exact"/>
        <w:ind w:firstLine="640"/>
        <w:textAlignment w:val="auto"/>
        <w:rPr>
          <w:rStyle w:val="51"/>
          <w:rFonts w:hint="eastAsia" w:eastAsia="仿宋_GB2312"/>
          <w:color w:val="auto"/>
          <w:lang w:eastAsia="zh-CN"/>
        </w:rPr>
      </w:pPr>
      <w:r>
        <w:rPr>
          <w:rStyle w:val="51"/>
          <w:color w:val="auto"/>
        </w:rPr>
        <w:t>可持续影响指标</w:t>
      </w:r>
      <w:r>
        <w:rPr>
          <w:rStyle w:val="51"/>
          <w:rFonts w:hint="eastAsia"/>
          <w:color w:val="auto"/>
        </w:rPr>
        <w:t>方面：</w:t>
      </w:r>
      <w:r>
        <w:rPr>
          <w:rStyle w:val="51"/>
          <w:rFonts w:hint="eastAsia" w:eastAsia="仿宋_GB2312"/>
          <w:color w:val="auto"/>
          <w:lang w:eastAsia="zh-CN"/>
        </w:rPr>
        <w:t>无</w:t>
      </w:r>
    </w:p>
    <w:p>
      <w:pPr>
        <w:keepLines w:val="0"/>
        <w:pageBreakBefore w:val="0"/>
        <w:kinsoku/>
        <w:wordWrap/>
        <w:overflowPunct/>
        <w:topLinePunct w:val="0"/>
        <w:autoSpaceDE/>
        <w:autoSpaceDN/>
        <w:bidi w:val="0"/>
        <w:adjustRightInd/>
        <w:spacing w:line="560" w:lineRule="exact"/>
        <w:ind w:firstLine="640"/>
        <w:textAlignment w:val="auto"/>
        <w:rPr>
          <w:rFonts w:hint="default" w:ascii="楷体_GB2312" w:hAnsi="楷体_GB2312" w:eastAsia="楷体_GB2312" w:cs="楷体_GB2312"/>
          <w:b/>
          <w:bCs/>
          <w:sz w:val="32"/>
          <w:szCs w:val="32"/>
          <w:lang w:val="en-US"/>
        </w:rPr>
      </w:pPr>
      <w:r>
        <w:rPr>
          <w:rStyle w:val="51"/>
          <w:color w:val="auto"/>
        </w:rPr>
        <w:t>满意度指标</w:t>
      </w:r>
      <w:r>
        <w:rPr>
          <w:rStyle w:val="51"/>
          <w:rFonts w:hint="eastAsia"/>
          <w:color w:val="auto"/>
        </w:rPr>
        <w:t>方面：</w:t>
      </w:r>
      <w:r>
        <w:rPr>
          <w:rStyle w:val="51"/>
          <w:rFonts w:hint="eastAsia" w:eastAsia="仿宋_GB2312"/>
          <w:color w:val="auto"/>
          <w:lang w:eastAsia="zh-CN"/>
        </w:rPr>
        <w:t>具体指</w:t>
      </w:r>
      <w:r>
        <w:rPr>
          <w:rStyle w:val="51"/>
          <w:rFonts w:hint="eastAsia"/>
          <w:color w:val="auto"/>
        </w:rPr>
        <w:t>灾区</w:t>
      </w:r>
      <w:r>
        <w:rPr>
          <w:rStyle w:val="51"/>
          <w:rFonts w:hint="eastAsia" w:eastAsia="仿宋_GB2312"/>
          <w:color w:val="auto"/>
          <w:lang w:val="en-US" w:eastAsia="zh-CN"/>
        </w:rPr>
        <w:t>政府</w:t>
      </w:r>
      <w:r>
        <w:rPr>
          <w:rStyle w:val="51"/>
          <w:rFonts w:hint="eastAsia"/>
          <w:color w:val="auto"/>
        </w:rPr>
        <w:t>对地震应急服务的满意度</w:t>
      </w:r>
      <w:r>
        <w:rPr>
          <w:rStyle w:val="51"/>
          <w:rFonts w:hint="eastAsia" w:eastAsia="仿宋_GB2312"/>
          <w:color w:val="auto"/>
          <w:lang w:eastAsia="zh-CN"/>
        </w:rPr>
        <w:t>设定目标值为</w:t>
      </w:r>
      <w:r>
        <w:rPr>
          <w:rStyle w:val="51"/>
          <w:rFonts w:hint="default"/>
          <w:color w:val="auto"/>
        </w:rPr>
        <w:t>≥</w:t>
      </w:r>
      <w:r>
        <w:rPr>
          <w:rStyle w:val="51"/>
          <w:rFonts w:hint="eastAsia"/>
          <w:color w:val="auto"/>
          <w:lang w:val="en-US" w:eastAsia="zh-CN"/>
        </w:rPr>
        <w:t>95%，</w:t>
      </w:r>
      <w:r>
        <w:rPr>
          <w:rStyle w:val="51"/>
          <w:rFonts w:hint="eastAsia"/>
          <w:color w:val="auto"/>
        </w:rPr>
        <w:t>灾区</w:t>
      </w:r>
      <w:r>
        <w:rPr>
          <w:rStyle w:val="51"/>
          <w:rFonts w:hint="eastAsia" w:eastAsia="仿宋_GB2312"/>
          <w:color w:val="auto"/>
          <w:lang w:val="en-US" w:eastAsia="zh-CN"/>
        </w:rPr>
        <w:t>政府</w:t>
      </w:r>
      <w:r>
        <w:rPr>
          <w:rStyle w:val="51"/>
          <w:rFonts w:hint="eastAsia"/>
          <w:color w:val="auto"/>
        </w:rPr>
        <w:t>对地震应急服务的满意度</w:t>
      </w:r>
      <w:r>
        <w:rPr>
          <w:rStyle w:val="51"/>
          <w:rFonts w:hint="eastAsia" w:eastAsia="仿宋_GB2312"/>
          <w:color w:val="auto"/>
          <w:lang w:eastAsia="zh-CN"/>
        </w:rPr>
        <w:t>设定目标值为</w:t>
      </w:r>
      <w:r>
        <w:rPr>
          <w:rStyle w:val="51"/>
          <w:rFonts w:hint="default"/>
          <w:color w:val="auto"/>
        </w:rPr>
        <w:t>≥</w:t>
      </w:r>
      <w:r>
        <w:rPr>
          <w:rStyle w:val="51"/>
          <w:rFonts w:hint="eastAsia"/>
          <w:color w:val="auto"/>
          <w:lang w:val="en-US" w:eastAsia="zh-CN"/>
        </w:rPr>
        <w:t>90%，而实际上全地区内本年度未发生灾害性地震，无灾区公众满意度调查情况。</w:t>
      </w:r>
      <w:r>
        <w:rPr>
          <w:rStyle w:val="22"/>
          <w:rFonts w:hint="eastAsia" w:ascii="仿宋" w:hAnsi="仿宋" w:eastAsia="仿宋" w:cs="仿宋"/>
          <w:b w:val="0"/>
          <w:bCs/>
          <w:spacing w:val="-4"/>
          <w:sz w:val="32"/>
          <w:szCs w:val="32"/>
          <w:lang w:val="en-US" w:eastAsia="zh-CN"/>
        </w:rPr>
        <w:t>该</w:t>
      </w:r>
      <w:r>
        <w:rPr>
          <w:rFonts w:hint="eastAsia" w:ascii="仿宋_GB2312" w:hAnsi="仿宋_GB2312" w:eastAsia="仿宋_GB2312" w:cs="仿宋_GB2312"/>
          <w:color w:val="000000"/>
          <w:spacing w:val="17"/>
          <w:sz w:val="32"/>
          <w:szCs w:val="32"/>
          <w:lang w:val="en-US" w:eastAsia="zh-CN"/>
        </w:rPr>
        <w:t>指标分值为10分，实际得分10分，得分率100%。</w:t>
      </w:r>
    </w:p>
    <w:p>
      <w:pPr>
        <w:pStyle w:val="3"/>
        <w:keepLines w:val="0"/>
        <w:pageBreakBefore w:val="0"/>
        <w:numPr>
          <w:ilvl w:val="0"/>
          <w:numId w:val="5"/>
        </w:numPr>
        <w:kinsoku/>
        <w:wordWrap/>
        <w:overflowPunct/>
        <w:topLinePunct w:val="0"/>
        <w:autoSpaceDE/>
        <w:autoSpaceDN/>
        <w:bidi w:val="0"/>
        <w:adjustRightInd/>
        <w:spacing w:before="0" w:after="0" w:line="560" w:lineRule="exact"/>
        <w:textAlignment w:val="auto"/>
        <w:rPr>
          <w:rFonts w:hint="eastAsia" w:ascii="黑体" w:hAnsi="黑体" w:eastAsia="黑体" w:cs="黑体"/>
        </w:rPr>
      </w:pPr>
      <w:bookmarkStart w:id="150" w:name="_Toc21197"/>
      <w:bookmarkStart w:id="151" w:name="_Toc6472"/>
      <w:bookmarkStart w:id="152" w:name="_Toc9818"/>
      <w:bookmarkStart w:id="153" w:name="_Toc9193"/>
      <w:bookmarkStart w:id="154" w:name="_Toc5838"/>
      <w:r>
        <w:rPr>
          <w:rFonts w:hint="eastAsia" w:ascii="黑体" w:hAnsi="黑体" w:eastAsia="黑体" w:cs="黑体"/>
        </w:rPr>
        <w:t>主要经验及做法、存在的问题及原因分析</w:t>
      </w:r>
      <w:bookmarkEnd w:id="150"/>
      <w:bookmarkEnd w:id="151"/>
      <w:bookmarkEnd w:id="152"/>
      <w:bookmarkEnd w:id="153"/>
      <w:bookmarkEnd w:id="154"/>
      <w:bookmarkStart w:id="155" w:name="_Toc15660"/>
      <w:bookmarkStart w:id="156" w:name="_Toc29938"/>
      <w:bookmarkStart w:id="157" w:name="_Toc16588"/>
      <w:bookmarkStart w:id="158" w:name="_Toc15041"/>
      <w:bookmarkStart w:id="159" w:name="_Toc27865"/>
    </w:p>
    <w:p>
      <w:pPr>
        <w:pStyle w:val="3"/>
        <w:keepLines w:val="0"/>
        <w:pageBreakBefore w:val="0"/>
        <w:numPr>
          <w:ilvl w:val="0"/>
          <w:numId w:val="0"/>
        </w:numPr>
        <w:kinsoku/>
        <w:wordWrap/>
        <w:overflowPunct/>
        <w:topLinePunct w:val="0"/>
        <w:autoSpaceDE/>
        <w:autoSpaceDN/>
        <w:bidi w:val="0"/>
        <w:adjustRightInd/>
        <w:spacing w:before="0" w:after="0" w:line="560" w:lineRule="exact"/>
        <w:ind w:firstLine="643" w:firstLineChars="200"/>
        <w:textAlignment w:val="auto"/>
        <w:rPr>
          <w:rFonts w:hint="eastAsia" w:ascii="楷体" w:hAnsi="楷体" w:eastAsia="楷体" w:cs="楷体"/>
        </w:rPr>
      </w:pPr>
      <w:r>
        <w:rPr>
          <w:rFonts w:hint="eastAsia" w:ascii="楷体" w:hAnsi="楷体" w:eastAsia="楷体" w:cs="楷体"/>
        </w:rPr>
        <w:t>（一）主要经验及做法</w:t>
      </w:r>
      <w:bookmarkEnd w:id="155"/>
      <w:bookmarkEnd w:id="156"/>
      <w:bookmarkEnd w:id="157"/>
      <w:bookmarkEnd w:id="158"/>
      <w:bookmarkEnd w:id="159"/>
    </w:p>
    <w:p>
      <w:pPr>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keepLines w:val="0"/>
        <w:pageBreakBefore w:val="0"/>
        <w:kinsoku/>
        <w:wordWrap/>
        <w:overflowPunct/>
        <w:topLinePunct w:val="0"/>
        <w:autoSpaceDE/>
        <w:autoSpaceDN/>
        <w:bidi w:val="0"/>
        <w:adjustRightInd/>
        <w:spacing w:before="0" w:after="0" w:line="560" w:lineRule="exact"/>
        <w:ind w:firstLine="640" w:firstLineChars="200"/>
        <w:jc w:val="left"/>
        <w:textAlignment w:val="auto"/>
        <w:rPr>
          <w:rFonts w:hint="eastAsia" w:ascii="仿宋_GB2312" w:hAnsi="仿宋_GB2312" w:eastAsia="仿宋_GB2312" w:cs="仿宋_GB2312"/>
          <w:b w:val="0"/>
          <w:bCs w:val="0"/>
          <w:kern w:val="2"/>
        </w:rPr>
      </w:pPr>
      <w:bookmarkStart w:id="160" w:name="_Toc12436"/>
      <w:bookmarkStart w:id="161" w:name="_Toc24367"/>
      <w:bookmarkStart w:id="162" w:name="_Toc10524"/>
      <w:bookmarkStart w:id="163" w:name="_Toc28395"/>
      <w:bookmarkStart w:id="164" w:name="_Toc24379"/>
      <w:r>
        <w:rPr>
          <w:rFonts w:hint="eastAsia" w:ascii="仿宋_GB2312" w:hAnsi="仿宋_GB2312" w:eastAsia="仿宋_GB2312" w:cs="仿宋_GB2312"/>
          <w:b w:val="0"/>
          <w:bCs w:val="0"/>
          <w:kern w:val="2"/>
        </w:rPr>
        <w:t>严格坚持先做事、后验收、再拨付的原则，基本杜绝了资金被挤占和挪用现象的发生，跟踪检查到位。财政、</w:t>
      </w:r>
      <w:r>
        <w:rPr>
          <w:rFonts w:hint="eastAsia" w:ascii="仿宋_GB2312" w:hAnsi="仿宋_GB2312" w:eastAsia="仿宋_GB2312" w:cs="仿宋_GB2312"/>
          <w:b w:val="0"/>
          <w:bCs w:val="0"/>
          <w:kern w:val="2"/>
          <w:lang w:eastAsia="zh-CN"/>
        </w:rPr>
        <w:t>单位内部</w:t>
      </w:r>
      <w:r>
        <w:rPr>
          <w:rFonts w:hint="eastAsia" w:ascii="仿宋_GB2312" w:hAnsi="仿宋_GB2312" w:eastAsia="仿宋_GB2312" w:cs="仿宋_GB2312"/>
          <w:b w:val="0"/>
          <w:bCs w:val="0"/>
          <w:kern w:val="2"/>
        </w:rPr>
        <w:t>纪检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bookmarkEnd w:id="160"/>
      <w:bookmarkEnd w:id="161"/>
      <w:bookmarkEnd w:id="162"/>
      <w:bookmarkEnd w:id="163"/>
      <w:bookmarkEnd w:id="164"/>
    </w:p>
    <w:p>
      <w:pPr>
        <w:pStyle w:val="4"/>
        <w:keepLines w:val="0"/>
        <w:pageBreakBefore w:val="0"/>
        <w:kinsoku/>
        <w:wordWrap/>
        <w:overflowPunct/>
        <w:topLinePunct w:val="0"/>
        <w:autoSpaceDE/>
        <w:autoSpaceDN/>
        <w:bidi w:val="0"/>
        <w:adjustRightInd/>
        <w:spacing w:before="0" w:after="0" w:line="560" w:lineRule="exact"/>
        <w:textAlignment w:val="auto"/>
        <w:rPr>
          <w:rFonts w:hint="eastAsia" w:ascii="楷体" w:hAnsi="楷体" w:eastAsia="楷体" w:cs="楷体"/>
        </w:rPr>
      </w:pPr>
      <w:bookmarkStart w:id="165" w:name="_Toc20500"/>
      <w:bookmarkStart w:id="166" w:name="_Toc12368"/>
      <w:bookmarkStart w:id="167" w:name="_Toc5936"/>
      <w:bookmarkStart w:id="168" w:name="_Toc711"/>
      <w:bookmarkStart w:id="169" w:name="_Toc30481"/>
      <w:r>
        <w:rPr>
          <w:rFonts w:hint="eastAsia" w:ascii="楷体" w:hAnsi="楷体" w:eastAsia="楷体" w:cs="楷体"/>
          <w:lang w:eastAsia="zh-CN"/>
        </w:rPr>
        <w:t>（二）</w:t>
      </w:r>
      <w:r>
        <w:rPr>
          <w:rFonts w:hint="eastAsia" w:ascii="楷体" w:hAnsi="楷体" w:eastAsia="楷体" w:cs="楷体"/>
        </w:rPr>
        <w:t>存在的问题及原因分析</w:t>
      </w:r>
      <w:bookmarkEnd w:id="165"/>
      <w:bookmarkEnd w:id="166"/>
      <w:bookmarkEnd w:id="167"/>
      <w:bookmarkEnd w:id="168"/>
      <w:bookmarkEnd w:id="169"/>
    </w:p>
    <w:p>
      <w:pPr>
        <w:pStyle w:val="2"/>
        <w:keepLines w:val="0"/>
        <w:pageBreakBefore w:val="0"/>
        <w:numPr>
          <w:ilvl w:val="0"/>
          <w:numId w:val="6"/>
        </w:numPr>
        <w:kinsoku/>
        <w:wordWrap/>
        <w:overflowPunct/>
        <w:topLinePunct w:val="0"/>
        <w:autoSpaceDE/>
        <w:autoSpaceDN/>
        <w:bidi w:val="0"/>
        <w:adjustRightInd/>
        <w:spacing w:before="0" w:after="0" w:line="560" w:lineRule="exact"/>
        <w:ind w:firstLine="640" w:firstLineChars="200"/>
        <w:jc w:val="both"/>
        <w:textAlignment w:val="auto"/>
        <w:rPr>
          <w:rFonts w:hint="eastAsia" w:ascii="仿宋_GB2312" w:hAnsi="仿宋_GB2312" w:eastAsia="仿宋_GB2312" w:cs="仿宋_GB2312"/>
          <w:b w:val="0"/>
          <w:bCs w:val="0"/>
          <w:kern w:val="2"/>
        </w:rPr>
      </w:pPr>
      <w:bookmarkStart w:id="170" w:name="_Toc4305"/>
      <w:bookmarkStart w:id="171" w:name="_Toc24701"/>
      <w:bookmarkStart w:id="172" w:name="_Toc13817"/>
      <w:bookmarkStart w:id="173" w:name="_Toc17676"/>
      <w:bookmarkStart w:id="174" w:name="_Toc27928"/>
      <w:r>
        <w:rPr>
          <w:rFonts w:hint="eastAsia" w:ascii="仿宋_GB2312" w:hAnsi="仿宋_GB2312" w:eastAsia="仿宋_GB2312" w:cs="仿宋_GB2312"/>
          <w:b w:val="0"/>
          <w:bCs w:val="0"/>
          <w:kern w:val="2"/>
        </w:rPr>
        <w:t>存在的问题</w:t>
      </w:r>
      <w:bookmarkEnd w:id="170"/>
      <w:bookmarkEnd w:id="171"/>
      <w:bookmarkEnd w:id="172"/>
      <w:bookmarkEnd w:id="173"/>
      <w:bookmarkEnd w:id="174"/>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（1）用于发放“三网一员”工作人员的劳务费偏低，影响工作人员工作的积极性。</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（2）“三网一员”工作人员普遍文化素质相对较低，不同程度影响工作效益。</w:t>
      </w:r>
    </w:p>
    <w:p>
      <w:pPr>
        <w:keepLines w:val="0"/>
        <w:pageBreakBefore w:val="0"/>
        <w:kinsoku/>
        <w:wordWrap/>
        <w:overflowPunct/>
        <w:topLinePunct w:val="0"/>
        <w:autoSpaceDE/>
        <w:autoSpaceDN/>
        <w:bidi w:val="0"/>
        <w:adjustRightIn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2、原因分析</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（1）该项目自2008年起实施，多年来已经成为经常性项目，而随着物价不断上涨，</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（2）观测点基本都是在农村建立，因而观测员普遍文化素质不高，但今后会尽量吸收一些文化素质较高的新成员加入，不断提高工作效益。</w:t>
      </w:r>
    </w:p>
    <w:p>
      <w:pPr>
        <w:pStyle w:val="3"/>
        <w:keepLines w:val="0"/>
        <w:pageBreakBefore w:val="0"/>
        <w:kinsoku/>
        <w:wordWrap/>
        <w:overflowPunct/>
        <w:topLinePunct w:val="0"/>
        <w:autoSpaceDE/>
        <w:autoSpaceDN/>
        <w:bidi w:val="0"/>
        <w:adjustRightInd/>
        <w:spacing w:before="0" w:after="0" w:line="560" w:lineRule="exact"/>
        <w:textAlignment w:val="auto"/>
        <w:rPr>
          <w:rFonts w:hint="eastAsia" w:ascii="黑体" w:hAnsi="黑体" w:eastAsia="黑体" w:cs="黑体"/>
        </w:rPr>
      </w:pPr>
      <w:bookmarkStart w:id="175" w:name="_Toc23796"/>
      <w:bookmarkStart w:id="176" w:name="_Toc4851"/>
      <w:bookmarkStart w:id="177" w:name="_Toc28729"/>
      <w:bookmarkStart w:id="178" w:name="_Toc15133"/>
      <w:bookmarkStart w:id="179" w:name="_Toc27586"/>
      <w:r>
        <w:rPr>
          <w:rFonts w:hint="eastAsia" w:ascii="黑体" w:hAnsi="黑体" w:eastAsia="黑体" w:cs="黑体"/>
          <w:lang w:eastAsia="zh-CN"/>
        </w:rPr>
        <w:t>六、</w:t>
      </w:r>
      <w:r>
        <w:rPr>
          <w:rFonts w:hint="eastAsia" w:ascii="黑体" w:hAnsi="黑体" w:eastAsia="黑体" w:cs="黑体"/>
        </w:rPr>
        <w:t>有关建议</w:t>
      </w:r>
      <w:bookmarkEnd w:id="175"/>
      <w:bookmarkEnd w:id="176"/>
      <w:bookmarkEnd w:id="177"/>
      <w:bookmarkEnd w:id="178"/>
      <w:bookmarkEnd w:id="179"/>
    </w:p>
    <w:p>
      <w:pPr>
        <w:keepLines w:val="0"/>
        <w:pageBreakBefore w:val="0"/>
        <w:numPr>
          <w:ilvl w:val="0"/>
          <w:numId w:val="7"/>
        </w:numPr>
        <w:kinsoku/>
        <w:wordWrap/>
        <w:overflowPunct/>
        <w:topLinePunct w:val="0"/>
        <w:autoSpaceDE/>
        <w:autoSpaceDN/>
        <w:bidi w:val="0"/>
        <w:adjustRightIn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keepLines w:val="0"/>
        <w:pageBreakBefore w:val="0"/>
        <w:numPr>
          <w:ilvl w:val="0"/>
          <w:numId w:val="7"/>
        </w:numPr>
        <w:kinsoku/>
        <w:wordWrap/>
        <w:overflowPunct/>
        <w:topLinePunct w:val="0"/>
        <w:autoSpaceDE/>
        <w:autoSpaceDN/>
        <w:bidi w:val="0"/>
        <w:adjustRightIn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Style w:val="3"/>
        <w:keepLines w:val="0"/>
        <w:pageBreakBefore w:val="0"/>
        <w:kinsoku/>
        <w:wordWrap/>
        <w:overflowPunct/>
        <w:topLinePunct w:val="0"/>
        <w:autoSpaceDE/>
        <w:autoSpaceDN/>
        <w:bidi w:val="0"/>
        <w:adjustRightInd/>
        <w:spacing w:before="0" w:after="0" w:line="560" w:lineRule="exact"/>
        <w:textAlignment w:val="auto"/>
        <w:rPr>
          <w:rFonts w:hint="eastAsia" w:ascii="黑体" w:hAnsi="黑体" w:eastAsia="黑体" w:cs="黑体"/>
        </w:rPr>
      </w:pPr>
      <w:bookmarkStart w:id="180" w:name="_Toc3125"/>
      <w:bookmarkStart w:id="181" w:name="_Toc5386"/>
      <w:bookmarkStart w:id="182" w:name="_Toc6162"/>
      <w:bookmarkStart w:id="183" w:name="_Toc947"/>
      <w:bookmarkStart w:id="184" w:name="_Toc16125"/>
      <w:r>
        <w:rPr>
          <w:rFonts w:hint="eastAsia" w:ascii="黑体" w:hAnsi="黑体" w:eastAsia="黑体" w:cs="黑体"/>
          <w:lang w:eastAsia="zh-CN"/>
        </w:rPr>
        <w:t>七、</w:t>
      </w:r>
      <w:r>
        <w:rPr>
          <w:rFonts w:hint="eastAsia" w:ascii="黑体" w:hAnsi="黑体" w:eastAsia="黑体" w:cs="黑体"/>
        </w:rPr>
        <w:t>其他需要说</w:t>
      </w:r>
      <w:bookmarkStart w:id="185" w:name="page8"/>
      <w:bookmarkEnd w:id="185"/>
      <w:r>
        <w:rPr>
          <w:rFonts w:hint="eastAsia" w:ascii="黑体" w:hAnsi="黑体" w:eastAsia="黑体" w:cs="黑体"/>
        </w:rPr>
        <w:t>明的问题</w:t>
      </w:r>
      <w:bookmarkEnd w:id="180"/>
      <w:bookmarkEnd w:id="181"/>
      <w:bookmarkEnd w:id="182"/>
      <w:bookmarkEnd w:id="183"/>
      <w:bookmarkEnd w:id="184"/>
    </w:p>
    <w:p>
      <w:pPr>
        <w:pStyle w:val="2"/>
        <w:keepLines w:val="0"/>
        <w:pageBreakBefore w:val="0"/>
        <w:kinsoku/>
        <w:wordWrap/>
        <w:overflowPunct/>
        <w:topLinePunct w:val="0"/>
        <w:autoSpaceDE/>
        <w:autoSpaceDN/>
        <w:bidi w:val="0"/>
        <w:adjustRightInd/>
        <w:spacing w:before="0" w:after="0" w:line="56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bookmarkStart w:id="186" w:name="_Toc27415"/>
      <w:bookmarkStart w:id="187" w:name="_Toc22906"/>
      <w:bookmarkStart w:id="188" w:name="_Toc9658"/>
      <w:bookmarkStart w:id="189" w:name="_Toc16240"/>
      <w:bookmarkStart w:id="190" w:name="_Toc3766"/>
      <w:r>
        <w:rPr>
          <w:rFonts w:hint="eastAsia" w:ascii="仿宋_GB2312" w:hAnsi="仿宋_GB2312" w:eastAsia="仿宋_GB2312" w:cs="仿宋_GB2312"/>
          <w:b w:val="0"/>
          <w:bCs w:val="0"/>
          <w:kern w:val="2"/>
          <w:sz w:val="32"/>
          <w:szCs w:val="32"/>
          <w:lang w:val="en-US" w:eastAsia="zh-CN" w:bidi="ar-SA"/>
        </w:rPr>
        <w:t>无</w:t>
      </w:r>
      <w:bookmarkEnd w:id="186"/>
      <w:bookmarkEnd w:id="187"/>
      <w:bookmarkEnd w:id="188"/>
      <w:bookmarkEnd w:id="189"/>
      <w:bookmarkEnd w:id="190"/>
      <w:r>
        <w:rPr>
          <w:rFonts w:hint="eastAsia" w:ascii="仿宋_GB2312" w:hAnsi="仿宋_GB2312" w:eastAsia="仿宋_GB2312" w:cs="仿宋_GB2312"/>
          <w:b w:val="0"/>
          <w:bCs w:val="0"/>
          <w:kern w:val="2"/>
          <w:sz w:val="32"/>
          <w:szCs w:val="32"/>
          <w:lang w:val="en-US" w:eastAsia="zh-CN" w:bidi="ar-SA"/>
        </w:rPr>
        <w:t>。</w:t>
      </w:r>
    </w:p>
    <w:p>
      <w:pPr>
        <w:keepLines w:val="0"/>
        <w:pageBreakBefore w:val="0"/>
        <w:kinsoku/>
        <w:wordWrap/>
        <w:overflowPunct/>
        <w:topLinePunct w:val="0"/>
        <w:autoSpaceDE/>
        <w:autoSpaceDN/>
        <w:bidi w:val="0"/>
        <w:adjustRightInd/>
        <w:spacing w:line="560" w:lineRule="exact"/>
        <w:textAlignment w:val="auto"/>
        <w:rPr>
          <w:rFonts w:hint="eastAsia" w:ascii="黑体" w:hAnsi="黑体" w:eastAsia="黑体"/>
          <w:sz w:val="32"/>
          <w:szCs w:val="32"/>
        </w:rPr>
      </w:pPr>
    </w:p>
    <w:p>
      <w:pPr>
        <w:pStyle w:val="2"/>
        <w:keepLines w:val="0"/>
        <w:pageBreakBefore w:val="0"/>
        <w:kinsoku/>
        <w:wordWrap/>
        <w:overflowPunct/>
        <w:topLinePunct w:val="0"/>
        <w:autoSpaceDE/>
        <w:autoSpaceDN/>
        <w:bidi w:val="0"/>
        <w:adjustRightInd/>
        <w:spacing w:before="0" w:after="0" w:line="560" w:lineRule="exact"/>
        <w:textAlignment w:val="auto"/>
        <w:rPr>
          <w:rFonts w:hint="eastAsia" w:ascii="黑体" w:hAnsi="黑体" w:eastAsia="黑体"/>
          <w:sz w:val="32"/>
          <w:szCs w:val="32"/>
        </w:rPr>
      </w:pPr>
    </w:p>
    <w:p>
      <w:pPr>
        <w:keepLines w:val="0"/>
        <w:pageBreakBefore w:val="0"/>
        <w:kinsoku/>
        <w:wordWrap/>
        <w:overflowPunct/>
        <w:topLinePunct w:val="0"/>
        <w:autoSpaceDE/>
        <w:autoSpaceDN/>
        <w:bidi w:val="0"/>
        <w:adjustRightInd/>
        <w:spacing w:line="560" w:lineRule="exact"/>
        <w:textAlignment w:val="auto"/>
      </w:pPr>
    </w:p>
    <w:p>
      <w:pPr>
        <w:pStyle w:val="2"/>
        <w:keepLines w:val="0"/>
        <w:pageBreakBefore w:val="0"/>
        <w:kinsoku/>
        <w:wordWrap/>
        <w:overflowPunct/>
        <w:topLinePunct w:val="0"/>
        <w:autoSpaceDE/>
        <w:autoSpaceDN/>
        <w:bidi w:val="0"/>
        <w:adjustRightInd/>
        <w:spacing w:before="0" w:after="0" w:line="560" w:lineRule="exact"/>
        <w:jc w:val="both"/>
        <w:textAlignment w:val="auto"/>
        <w:sectPr>
          <w:footerReference r:id="rId3" w:type="default"/>
          <w:pgSz w:w="11906" w:h="16838"/>
          <w:pgMar w:top="1440" w:right="1558" w:bottom="1440" w:left="1800" w:header="851" w:footer="992" w:gutter="0"/>
          <w:pgNumType w:fmt="decimal" w:start="1"/>
          <w:cols w:space="425" w:num="1"/>
          <w:docGrid w:type="lines" w:linePitch="312" w:charSpace="0"/>
        </w:sectPr>
      </w:pPr>
    </w:p>
    <w:tbl>
      <w:tblPr>
        <w:tblStyle w:val="20"/>
        <w:tblW w:w="9358" w:type="dxa"/>
        <w:tblInd w:w="96" w:type="dxa"/>
        <w:shd w:val="clear" w:color="auto" w:fill="auto"/>
        <w:tblLayout w:type="fixed"/>
        <w:tblCellMar>
          <w:top w:w="0" w:type="dxa"/>
          <w:left w:w="108" w:type="dxa"/>
          <w:bottom w:w="0" w:type="dxa"/>
          <w:right w:w="108" w:type="dxa"/>
        </w:tblCellMar>
      </w:tblPr>
      <w:tblGrid>
        <w:gridCol w:w="723"/>
        <w:gridCol w:w="723"/>
        <w:gridCol w:w="723"/>
        <w:gridCol w:w="723"/>
        <w:gridCol w:w="723"/>
        <w:gridCol w:w="723"/>
        <w:gridCol w:w="2086"/>
        <w:gridCol w:w="1447"/>
        <w:gridCol w:w="219"/>
        <w:gridCol w:w="1268"/>
      </w:tblGrid>
      <w:tr>
        <w:tblPrEx>
          <w:shd w:val="clear" w:color="auto" w:fill="auto"/>
          <w:tblCellMar>
            <w:top w:w="0" w:type="dxa"/>
            <w:left w:w="108" w:type="dxa"/>
            <w:bottom w:w="0" w:type="dxa"/>
            <w:right w:w="108" w:type="dxa"/>
          </w:tblCellMar>
        </w:tblPrEx>
        <w:trPr>
          <w:trHeight w:val="409" w:hRule="atLeast"/>
        </w:trPr>
        <w:tc>
          <w:tcPr>
            <w:tcW w:w="9358"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409" w:hRule="atLeast"/>
        </w:trPr>
        <w:tc>
          <w:tcPr>
            <w:tcW w:w="9358" w:type="dxa"/>
            <w:gridSpan w:val="10"/>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270" w:hRule="atLeast"/>
        </w:trPr>
        <w:tc>
          <w:tcPr>
            <w:tcW w:w="9358"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270" w:hRule="atLeast"/>
        </w:trPr>
        <w:tc>
          <w:tcPr>
            <w:tcW w:w="14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91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防震减灾“三网一员”工作经费</w:t>
            </w:r>
          </w:p>
        </w:tc>
      </w:tr>
      <w:tr>
        <w:tblPrEx>
          <w:shd w:val="clear" w:color="auto" w:fill="auto"/>
          <w:tblCellMar>
            <w:top w:w="0" w:type="dxa"/>
            <w:left w:w="108" w:type="dxa"/>
            <w:bottom w:w="0" w:type="dxa"/>
            <w:right w:w="108" w:type="dxa"/>
          </w:tblCellMar>
        </w:tblPrEx>
        <w:trPr>
          <w:trHeight w:val="392" w:hRule="atLeast"/>
        </w:trPr>
        <w:tc>
          <w:tcPr>
            <w:tcW w:w="14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97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4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塔城地区地震局</w:t>
            </w:r>
          </w:p>
        </w:tc>
      </w:tr>
      <w:tr>
        <w:tblPrEx>
          <w:shd w:val="clear" w:color="auto" w:fill="auto"/>
          <w:tblCellMar>
            <w:top w:w="0" w:type="dxa"/>
            <w:left w:w="108" w:type="dxa"/>
            <w:bottom w:w="0" w:type="dxa"/>
            <w:right w:w="108" w:type="dxa"/>
          </w:tblCellMar>
        </w:tblPrEx>
        <w:trPr>
          <w:trHeight w:val="270" w:hRule="atLeast"/>
        </w:trPr>
        <w:tc>
          <w:tcPr>
            <w:tcW w:w="14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723" w:type="dxa"/>
            <w:tcBorders>
              <w:top w:val="single" w:color="auto" w:sz="4" w:space="0"/>
              <w:left w:val="single" w:color="auto" w:sz="4" w:space="0"/>
              <w:bottom w:val="single" w:color="auto" w:sz="4" w:space="0"/>
              <w:right w:val="single" w:color="auto" w:sz="4" w:space="0"/>
            </w:tcBorders>
            <w:shd w:val="clear" w:color="auto" w:fill="auto"/>
            <w:vAlign w:val="bottom"/>
          </w:tcPr>
          <w:p>
            <w:pPr>
              <w:rPr>
                <w:rFonts w:hint="eastAsia" w:ascii="宋体" w:hAnsi="宋体" w:eastAsia="宋体" w:cs="宋体"/>
                <w:i w:val="0"/>
                <w:iCs w:val="0"/>
                <w:color w:val="000000"/>
                <w:sz w:val="18"/>
                <w:szCs w:val="18"/>
                <w:u w:val="none"/>
              </w:rPr>
            </w:pPr>
          </w:p>
        </w:tc>
        <w:tc>
          <w:tcPr>
            <w:tcW w:w="723" w:type="dxa"/>
            <w:tcBorders>
              <w:top w:val="single" w:color="auto" w:sz="4" w:space="0"/>
              <w:left w:val="single" w:color="auto" w:sz="4" w:space="0"/>
              <w:bottom w:val="single" w:color="auto" w:sz="4" w:space="0"/>
              <w:right w:val="single" w:color="auto" w:sz="4" w:space="0"/>
            </w:tcBorders>
            <w:shd w:val="clear" w:color="auto" w:fill="auto"/>
            <w:vAlign w:val="bottom"/>
          </w:tcP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8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4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372" w:hRule="atLeast"/>
        </w:trPr>
        <w:tc>
          <w:tcPr>
            <w:tcW w:w="14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18"/>
                <w:szCs w:val="18"/>
                <w:u w:val="none"/>
                <w:lang w:val="en-US" w:eastAsia="zh-CN" w:bidi="ar"/>
              </w:rPr>
              <w:t>（万元）</w:t>
            </w:r>
          </w:p>
        </w:tc>
        <w:tc>
          <w:tcPr>
            <w:tcW w:w="14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8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15.84</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15.84</w:t>
            </w:r>
          </w:p>
        </w:tc>
        <w:tc>
          <w:tcPr>
            <w:tcW w:w="14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108" w:type="dxa"/>
            <w:bottom w:w="0" w:type="dxa"/>
            <w:right w:w="108" w:type="dxa"/>
          </w:tblCellMar>
        </w:tblPrEx>
        <w:trPr>
          <w:trHeight w:val="433" w:hRule="atLeast"/>
        </w:trPr>
        <w:tc>
          <w:tcPr>
            <w:tcW w:w="14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8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15.84</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15.84</w:t>
            </w:r>
          </w:p>
        </w:tc>
        <w:tc>
          <w:tcPr>
            <w:tcW w:w="14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270" w:hRule="atLeast"/>
        </w:trPr>
        <w:tc>
          <w:tcPr>
            <w:tcW w:w="14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72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4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1446"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6"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72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809"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44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487"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1800" w:hRule="atLeast"/>
        </w:trPr>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70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预期目标</w:t>
            </w:r>
          </w:p>
        </w:tc>
        <w:tc>
          <w:tcPr>
            <w:tcW w:w="29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412"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0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防震减灾“三网一员”工作经费补贴项目主要用于塔城地区防震减灾“三网一员” （地震宏观测报网、地震灾情速报网、地震知识宣传网及防震减灾助理员）工作人员的劳务费，及用于其相关工作的其他支出。通过对工作人员进行绩效考核发放劳务费，有效提高了工作人员的积极性，继而提升了对地震异常现象进行宏观观测、地震灾害调查和震情速报、以多种方式广泛宣传防震减灾法律法规和地震科普知识的效率，以达到全面提高全民的防震减灾意识及地震发生时自救互救能力为目的。</w:t>
            </w:r>
          </w:p>
        </w:tc>
        <w:tc>
          <w:tcPr>
            <w:tcW w:w="29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防震减灾“三网一员”工作经费补贴项目主要用于塔城地区防震减灾“三网一员” （地震宏观测报网、地震灾情速报网、地震知识宣传网及防震减灾助理员）工作人员的劳务费，及用于其相关工作的其他支出。通过对工作人员进行绩效考核发放劳务费，有效提高了工作人员的积极性，继而提升了对地震异常现象进行宏观观测、地震灾害调查和震情速报、以多种方式广泛宣传防震减灾法律法规和地震科普知识的效率，以达到全面提高全民的防震减灾意识及地震发生时自救互救能力为目的。</w:t>
            </w:r>
          </w:p>
        </w:tc>
      </w:tr>
      <w:tr>
        <w:tblPrEx>
          <w:shd w:val="clear" w:color="auto" w:fill="auto"/>
          <w:tblCellMar>
            <w:top w:w="0" w:type="dxa"/>
            <w:left w:w="108" w:type="dxa"/>
            <w:bottom w:w="0" w:type="dxa"/>
            <w:right w:w="108" w:type="dxa"/>
          </w:tblCellMar>
        </w:tblPrEx>
        <w:trPr>
          <w:trHeight w:val="27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16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385" w:hRule="atLeast"/>
        </w:trPr>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16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全疆地震灾情速报人员人数</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=66人</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66人</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69"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三网一员骨干培训人数</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≥12人次</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15人次</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93"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16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年度考核达标率</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472"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16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地震应急指挥决策参考反应时间</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≤10分钟</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473"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地震灾情信息获取快速反应时间</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≤5分钟</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93"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地震应急新闻宣传和应急科普响应时间</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≤6分钟</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01"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16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成本金额</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=158400元</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158400元</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63"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社会效益指标</w:t>
            </w:r>
          </w:p>
        </w:tc>
        <w:tc>
          <w:tcPr>
            <w:tcW w:w="216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对提升社区群众应急避险和自救互救能力的作用</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明显提升</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明显提升</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r>
      <w:tr>
        <w:tblPrEx>
          <w:tblCellMar>
            <w:top w:w="0" w:type="dxa"/>
            <w:left w:w="108" w:type="dxa"/>
            <w:bottom w:w="0" w:type="dxa"/>
            <w:right w:w="108" w:type="dxa"/>
          </w:tblCellMar>
        </w:tblPrEx>
        <w:trPr>
          <w:trHeight w:val="442"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 xml:space="preserve">对地震应急科普宣传软实力 </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显著提高</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显著提高</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r>
      <w:tr>
        <w:tblPrEx>
          <w:tblCellMar>
            <w:top w:w="0" w:type="dxa"/>
            <w:left w:w="108" w:type="dxa"/>
            <w:bottom w:w="0" w:type="dxa"/>
            <w:right w:w="108" w:type="dxa"/>
          </w:tblCellMar>
        </w:tblPrEx>
        <w:trPr>
          <w:trHeight w:val="341"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16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灾区政府对地震应急服务的满意度</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789"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9"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灾区公众对地震应急服务的满意度</w:t>
            </w:r>
          </w:p>
        </w:tc>
        <w:tc>
          <w:tcPr>
            <w:tcW w:w="2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spacing w:line="600" w:lineRule="exact"/>
        <w:rPr>
          <w:rFonts w:hint="eastAsia" w:ascii="仿宋_GB2312"/>
          <w:bCs/>
          <w:sz w:val="32"/>
          <w:szCs w:val="32"/>
          <w:lang w:val="en-US" w:eastAsia="zh-CN"/>
        </w:rPr>
        <w:sectPr>
          <w:pgSz w:w="11906" w:h="16838"/>
          <w:pgMar w:top="1440" w:right="1558" w:bottom="1440" w:left="1800" w:header="851" w:footer="992" w:gutter="0"/>
          <w:pgNumType w:fmt="decimal"/>
          <w:cols w:space="425" w:num="1"/>
          <w:docGrid w:type="lines" w:linePitch="312" w:charSpace="0"/>
        </w:sectPr>
      </w:pP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20"/>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5"/>
        <w:gridCol w:w="764"/>
        <w:gridCol w:w="873"/>
        <w:gridCol w:w="2353"/>
        <w:gridCol w:w="5194"/>
        <w:gridCol w:w="1300"/>
        <w:gridCol w:w="136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9"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301"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344"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927"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2046"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512" w:type="pct"/>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537" w:type="pct"/>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29" w:type="pct"/>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01" w:type="pct"/>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927"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2046"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512"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364"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29" w:type="pct"/>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1" w:type="pct"/>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927"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2046"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512"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364"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29" w:type="pct"/>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1"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92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2046"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512"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4"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9" w:type="pct"/>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301"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92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2046"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512"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9" w:type="pct"/>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1" w:type="pct"/>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927"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2046"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512"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9" w:type="pct"/>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1" w:type="pct"/>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927"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2046"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512"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9" w:type="pct"/>
            <w:vMerge w:val="restart"/>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301" w:type="pct"/>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92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2046"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512"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9" w:type="pct"/>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1" w:type="pct"/>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927"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2046"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512"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9" w:type="pct"/>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301"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92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2046"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512"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9" w:type="pct"/>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1" w:type="pct"/>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92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2046"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512"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9" w:type="pct"/>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1" w:type="pct"/>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92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2046"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512"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53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9"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301"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92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2046"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512"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53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9" w:type="pct"/>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301"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92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2046"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53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9" w:type="pct"/>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1" w:type="pct"/>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92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2046"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512"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53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9" w:type="pct"/>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1"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92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2046"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512"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53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9" w:type="pct"/>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301" w:type="pct"/>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927"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2046"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512"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537"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9" w:type="pct"/>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01" w:type="pct"/>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344" w:type="pc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92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2046"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512"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537" w:type="pct"/>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bl>
    <w:p>
      <w:pPr>
        <w:pStyle w:val="2"/>
        <w:keepNext w:val="0"/>
        <w:keepLines w:val="0"/>
        <w:pageBreakBefore w:val="0"/>
        <w:kinsoku/>
        <w:wordWrap/>
        <w:overflowPunct/>
        <w:topLinePunct w:val="0"/>
        <w:autoSpaceDE/>
        <w:autoSpaceDN/>
        <w:bidi w:val="0"/>
        <w:adjustRightInd/>
        <w:snapToGrid/>
        <w:spacing w:before="0" w:after="0" w:line="560" w:lineRule="exact"/>
        <w:textAlignment w:val="auto"/>
        <w:rPr>
          <w:rFonts w:hint="eastAsia" w:ascii="宋体" w:hAnsi="宋体" w:eastAsia="宋体" w:cs="宋体"/>
          <w:sz w:val="18"/>
          <w:szCs w:val="18"/>
          <w:lang w:val="en-US" w:eastAsia="zh-CN"/>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2"/>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2"/>
          <w:rFonts w:hint="eastAsia" w:ascii="宋体" w:hAnsi="宋体" w:eastAsia="宋体" w:cs="宋体"/>
          <w:bCs w:val="0"/>
          <w:spacing w:val="-4"/>
          <w:sz w:val="18"/>
          <w:szCs w:val="18"/>
        </w:rPr>
      </w:pPr>
    </w:p>
    <w:p>
      <w:pPr>
        <w:spacing w:line="540" w:lineRule="exact"/>
        <w:ind w:firstLine="640"/>
        <w:rPr>
          <w:rStyle w:val="22"/>
          <w:rFonts w:ascii="黑体" w:hAnsi="黑体" w:eastAsia="黑体"/>
          <w:bCs w:val="0"/>
          <w:spacing w:val="-4"/>
          <w:sz w:val="32"/>
          <w:szCs w:val="32"/>
        </w:rPr>
      </w:pPr>
    </w:p>
    <w:p>
      <w:pPr>
        <w:spacing w:line="540" w:lineRule="exact"/>
        <w:ind w:firstLine="640"/>
        <w:rPr>
          <w:rStyle w:val="22"/>
          <w:rFonts w:ascii="黑体" w:hAnsi="黑体" w:eastAsia="黑体"/>
          <w:bCs w:val="0"/>
          <w:spacing w:val="-4"/>
          <w:sz w:val="32"/>
          <w:szCs w:val="32"/>
        </w:rPr>
      </w:pPr>
    </w:p>
    <w:p>
      <w:pPr>
        <w:spacing w:line="540" w:lineRule="exact"/>
        <w:ind w:firstLine="640"/>
        <w:rPr>
          <w:rStyle w:val="22"/>
          <w:rFonts w:ascii="黑体" w:hAnsi="黑体" w:eastAsia="黑体"/>
          <w:bCs w:val="0"/>
          <w:spacing w:val="-4"/>
          <w:sz w:val="32"/>
          <w:szCs w:val="32"/>
        </w:rPr>
      </w:pPr>
    </w:p>
    <w:p>
      <w:pPr>
        <w:spacing w:line="540" w:lineRule="exact"/>
        <w:ind w:firstLine="640"/>
        <w:rPr>
          <w:rStyle w:val="22"/>
          <w:rFonts w:ascii="黑体" w:hAnsi="黑体" w:eastAsia="黑体"/>
          <w:bCs w:val="0"/>
          <w:spacing w:val="-4"/>
          <w:sz w:val="32"/>
          <w:szCs w:val="32"/>
        </w:rPr>
      </w:pPr>
    </w:p>
    <w:p>
      <w:pPr>
        <w:spacing w:line="540" w:lineRule="exact"/>
        <w:rPr>
          <w:rStyle w:val="22"/>
          <w:rFonts w:ascii="仿宋" w:hAnsi="仿宋" w:eastAsia="仿宋"/>
          <w:b w:val="0"/>
          <w:spacing w:val="-4"/>
          <w:sz w:val="32"/>
          <w:szCs w:val="32"/>
        </w:rPr>
      </w:pPr>
    </w:p>
    <w:sectPr>
      <w:pgSz w:w="16838" w:h="11906" w:orient="landscape"/>
      <w:pgMar w:top="1800" w:right="1440" w:bottom="1558"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楷体简体">
    <w:altName w:val="宋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大黑简体">
    <w:altName w:val="黑体"/>
    <w:panose1 w:val="02010601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mc:Fallback>
      </mc:AlternateContent>
    </w:r>
  </w:p>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E5C6BF8"/>
    <w:multiLevelType w:val="singleLevel"/>
    <w:tmpl w:val="EE5C6BF8"/>
    <w:lvl w:ilvl="0" w:tentative="0">
      <w:start w:val="2"/>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08CA1AE4"/>
    <w:multiLevelType w:val="singleLevel"/>
    <w:tmpl w:val="08CA1AE4"/>
    <w:lvl w:ilvl="0" w:tentative="0">
      <w:start w:val="1"/>
      <w:numFmt w:val="decimal"/>
      <w:suff w:val="nothing"/>
      <w:lvlText w:val="%1、"/>
      <w:lvlJc w:val="left"/>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730CCE4"/>
    <w:multiLevelType w:val="singleLevel"/>
    <w:tmpl w:val="3730CCE4"/>
    <w:lvl w:ilvl="0" w:tentative="0">
      <w:start w:val="2"/>
      <w:numFmt w:val="decimal"/>
      <w:suff w:val="nothing"/>
      <w:lvlText w:val="（%1）"/>
      <w:lvlJc w:val="left"/>
    </w:lvl>
  </w:abstractNum>
  <w:abstractNum w:abstractNumId="6">
    <w:nsid w:val="3E414890"/>
    <w:multiLevelType w:val="singleLevel"/>
    <w:tmpl w:val="3E414890"/>
    <w:lvl w:ilvl="0" w:tentative="0">
      <w:start w:val="5"/>
      <w:numFmt w:val="chineseCounting"/>
      <w:suff w:val="nothing"/>
      <w:lvlText w:val="%1、"/>
      <w:lvlJc w:val="left"/>
      <w:rPr>
        <w:rFonts w:hint="eastAsia"/>
      </w:rPr>
    </w:lvl>
  </w:abstractNum>
  <w:num w:numId="1">
    <w:abstractNumId w:val="5"/>
  </w:num>
  <w:num w:numId="2">
    <w:abstractNumId w:val="1"/>
  </w:num>
  <w:num w:numId="3">
    <w:abstractNumId w:val="0"/>
  </w:num>
  <w:num w:numId="4">
    <w:abstractNumId w:val="4"/>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11B42"/>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56471B8"/>
    <w:rsid w:val="066D6EAA"/>
    <w:rsid w:val="08C662D4"/>
    <w:rsid w:val="09BD4D95"/>
    <w:rsid w:val="0DBF7CBE"/>
    <w:rsid w:val="0F8D41CB"/>
    <w:rsid w:val="11C75270"/>
    <w:rsid w:val="12637CC3"/>
    <w:rsid w:val="12E657C5"/>
    <w:rsid w:val="15304E67"/>
    <w:rsid w:val="167644AB"/>
    <w:rsid w:val="167C7687"/>
    <w:rsid w:val="168B3546"/>
    <w:rsid w:val="176B6507"/>
    <w:rsid w:val="18E65985"/>
    <w:rsid w:val="1A2374E0"/>
    <w:rsid w:val="1C317CE2"/>
    <w:rsid w:val="1DD45808"/>
    <w:rsid w:val="1DED42AC"/>
    <w:rsid w:val="20005763"/>
    <w:rsid w:val="20FB313D"/>
    <w:rsid w:val="220B4804"/>
    <w:rsid w:val="227A4A5F"/>
    <w:rsid w:val="25292D26"/>
    <w:rsid w:val="282475E3"/>
    <w:rsid w:val="29B715CE"/>
    <w:rsid w:val="2C6100C1"/>
    <w:rsid w:val="2DE76458"/>
    <w:rsid w:val="2F4A20D9"/>
    <w:rsid w:val="317E07AE"/>
    <w:rsid w:val="3264220D"/>
    <w:rsid w:val="36FD7457"/>
    <w:rsid w:val="38340151"/>
    <w:rsid w:val="3963178C"/>
    <w:rsid w:val="41CC2676"/>
    <w:rsid w:val="43B722BC"/>
    <w:rsid w:val="44DA0620"/>
    <w:rsid w:val="46B21672"/>
    <w:rsid w:val="47014440"/>
    <w:rsid w:val="498A5058"/>
    <w:rsid w:val="4EA72A10"/>
    <w:rsid w:val="4F552460"/>
    <w:rsid w:val="4F8333E4"/>
    <w:rsid w:val="4FCC6863"/>
    <w:rsid w:val="500A214A"/>
    <w:rsid w:val="50D05EB2"/>
    <w:rsid w:val="521F1C6B"/>
    <w:rsid w:val="522D604D"/>
    <w:rsid w:val="523763DA"/>
    <w:rsid w:val="5297585E"/>
    <w:rsid w:val="52AD7D6F"/>
    <w:rsid w:val="540D34C5"/>
    <w:rsid w:val="5549519D"/>
    <w:rsid w:val="5557596B"/>
    <w:rsid w:val="59E31591"/>
    <w:rsid w:val="5A964920"/>
    <w:rsid w:val="5B596DFC"/>
    <w:rsid w:val="5C411236"/>
    <w:rsid w:val="5DF03945"/>
    <w:rsid w:val="61E12EBA"/>
    <w:rsid w:val="62470970"/>
    <w:rsid w:val="637C2815"/>
    <w:rsid w:val="66BC658B"/>
    <w:rsid w:val="7257472D"/>
    <w:rsid w:val="76477C6B"/>
    <w:rsid w:val="7A353D0B"/>
    <w:rsid w:val="7AA878E1"/>
    <w:rsid w:val="7AC60101"/>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ind w:left="420" w:leftChars="200"/>
      <w:jc w:val="left"/>
      <w:outlineLvl w:val="0"/>
    </w:pPr>
    <w:rPr>
      <w:rFonts w:ascii="黑体" w:hAnsi="黑体" w:eastAsiaTheme="majorEastAsia"/>
      <w:b/>
      <w:bCs/>
      <w:kern w:val="32"/>
      <w:sz w:val="32"/>
      <w:szCs w:val="32"/>
    </w:rPr>
  </w:style>
  <w:style w:type="paragraph" w:styleId="4">
    <w:name w:val="heading 2"/>
    <w:basedOn w:val="1"/>
    <w:next w:val="1"/>
    <w:link w:val="25"/>
    <w:unhideWhenUsed/>
    <w:qFormat/>
    <w:uiPriority w:val="9"/>
    <w:pPr>
      <w:keepNext/>
      <w:widowControl/>
      <w:spacing w:before="240" w:after="60"/>
      <w:ind w:left="420" w:leftChars="200"/>
      <w:jc w:val="left"/>
      <w:outlineLvl w:val="1"/>
    </w:pPr>
    <w:rPr>
      <w:rFonts w:ascii="楷体" w:hAnsi="楷体" w:eastAsia="方正楷体简体"/>
      <w:b/>
      <w:bCs/>
      <w:iCs/>
      <w:kern w:val="0"/>
      <w:sz w:val="32"/>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9"/>
    <w:semiHidden/>
    <w:unhideWhenUsed/>
    <w:qFormat/>
    <w:uiPriority w:val="99"/>
    <w:rPr>
      <w:sz w:val="18"/>
      <w:szCs w:val="18"/>
    </w:rPr>
  </w:style>
  <w:style w:type="paragraph" w:styleId="14">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toc 1"/>
    <w:basedOn w:val="1"/>
    <w:next w:val="1"/>
    <w:semiHidden/>
    <w:unhideWhenUsed/>
    <w:qFormat/>
    <w:uiPriority w:val="39"/>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toc 2"/>
    <w:basedOn w:val="1"/>
    <w:next w:val="1"/>
    <w:semiHidden/>
    <w:unhideWhenUsed/>
    <w:qFormat/>
    <w:uiPriority w:val="39"/>
    <w:pPr>
      <w:ind w:left="420" w:leftChars="200"/>
    </w:pPr>
  </w:style>
  <w:style w:type="paragraph" w:styleId="19">
    <w:name w:val="Body Text First Indent"/>
    <w:basedOn w:val="12"/>
    <w:qFormat/>
    <w:uiPriority w:val="0"/>
    <w:pPr>
      <w:spacing w:after="0"/>
      <w:ind w:firstLine="20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黑体" w:hAnsi="黑体" w:eastAsiaTheme="majorEastAsia"/>
      <w:b/>
      <w:bCs/>
      <w:kern w:val="32"/>
      <w:sz w:val="32"/>
      <w:szCs w:val="32"/>
    </w:rPr>
  </w:style>
  <w:style w:type="character" w:customStyle="1" w:styleId="25">
    <w:name w:val="标题 2 字符"/>
    <w:basedOn w:val="21"/>
    <w:link w:val="4"/>
    <w:semiHidden/>
    <w:qFormat/>
    <w:uiPriority w:val="9"/>
    <w:rPr>
      <w:rFonts w:ascii="楷体" w:hAnsi="楷体" w:eastAsia="方正楷体简体"/>
      <w:b/>
      <w:bCs/>
      <w:iCs/>
      <w:sz w:val="32"/>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5"/>
    <w:qFormat/>
    <w:uiPriority w:val="99"/>
    <w:rPr>
      <w:rFonts w:ascii="Calibri" w:hAnsi="Calibri" w:eastAsia="宋体"/>
      <w:kern w:val="2"/>
      <w:sz w:val="18"/>
      <w:szCs w:val="18"/>
    </w:rPr>
  </w:style>
  <w:style w:type="character" w:customStyle="1" w:styleId="48">
    <w:name w:val="页脚 字符"/>
    <w:basedOn w:val="21"/>
    <w:link w:val="14"/>
    <w:qFormat/>
    <w:uiPriority w:val="99"/>
    <w:rPr>
      <w:rFonts w:ascii="Calibri" w:hAnsi="Calibri" w:eastAsia="宋体"/>
      <w:kern w:val="2"/>
      <w:sz w:val="18"/>
      <w:szCs w:val="18"/>
    </w:rPr>
  </w:style>
  <w:style w:type="character" w:customStyle="1" w:styleId="49">
    <w:name w:val="批注框文本 字符"/>
    <w:basedOn w:val="21"/>
    <w:link w:val="13"/>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6921</Words>
  <Characters>7242</Characters>
  <Lines>63</Lines>
  <Paragraphs>17</Paragraphs>
  <TotalTime>1</TotalTime>
  <ScaleCrop>false</ScaleCrop>
  <LinksUpToDate>false</LinksUpToDate>
  <CharactersWithSpaces>7299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2025-09-04T10:57:55Z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A0CEC8D01DE446E982678B4F5CC8F8F2</vt:lpwstr>
  </property>
  <property fmtid="{D5CDD505-2E9C-101B-9397-08002B2CF9AE}" pid="4" name="KSOSaveFontToCloudKey">
    <vt:lpwstr>462561243_btnclosed</vt:lpwstr>
  </property>
  <property fmtid="{D5CDD505-2E9C-101B-9397-08002B2CF9AE}" pid="5" name="KSOTemplateDocerSaveRecord">
    <vt:lpwstr>eyJoZGlkIjoiN2VjMGM4YTNmZTY1NDFjMWFjNmVmZmU0NDA2ZTk0ZmMiLCJ1c2VySWQiOiI4NjI1NDMxNDkifQ==</vt:lpwstr>
  </property>
</Properties>
</file>