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ascii="方正小标宋_GBK" w:hAnsi="华文中宋" w:eastAsia="方正小标宋_GBK" w:cs="宋体"/>
          <w:kern w:val="0"/>
          <w:sz w:val="48"/>
          <w:szCs w:val="48"/>
          <w:highlight w:val="none"/>
        </w:rPr>
      </w:pPr>
      <w:r>
        <w:rPr>
          <w:rFonts w:hint="eastAsia" w:ascii="方正小标宋_GBK" w:hAnsi="华文中宋" w:eastAsia="方正小标宋_GBK" w:cs="宋体"/>
          <w:kern w:val="0"/>
          <w:sz w:val="48"/>
          <w:szCs w:val="48"/>
          <w:highlight w:val="none"/>
          <w:lang w:val="en-US" w:eastAsia="zh-CN"/>
        </w:rPr>
        <w:t>招商引资项目前期费</w:t>
      </w:r>
      <w:r>
        <w:rPr>
          <w:rFonts w:hint="eastAsia" w:ascii="方正小标宋_GBK" w:hAnsi="华文中宋" w:eastAsia="方正小标宋_GBK" w:cs="宋体"/>
          <w:kern w:val="0"/>
          <w:sz w:val="48"/>
          <w:szCs w:val="48"/>
          <w:highlight w:val="none"/>
        </w:rPr>
        <w:t>资金项目支出绩效评价报告</w:t>
      </w:r>
    </w:p>
    <w:p>
      <w:pPr>
        <w:pageBreakBefore w:val="0"/>
        <w:kinsoku/>
        <w:wordWrap/>
        <w:overflowPunct/>
        <w:topLinePunct w:val="0"/>
        <w:autoSpaceDE/>
        <w:autoSpaceDN/>
        <w:bidi w:val="0"/>
        <w:adjustRightInd/>
        <w:snapToGrid/>
        <w:spacing w:line="560" w:lineRule="exact"/>
        <w:jc w:val="center"/>
        <w:rPr>
          <w:rFonts w:ascii="华文中宋" w:hAnsi="华文中宋" w:eastAsia="华文中宋" w:cs="宋体"/>
          <w:b/>
          <w:kern w:val="0"/>
          <w:sz w:val="52"/>
          <w:szCs w:val="52"/>
          <w:highlight w:val="none"/>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6"/>
          <w:szCs w:val="36"/>
          <w:highlight w:val="none"/>
        </w:rPr>
      </w:pPr>
      <w:r>
        <w:rPr>
          <w:rFonts w:hint="eastAsia" w:hAnsi="宋体" w:eastAsia="仿宋_GB2312" w:cs="宋体"/>
          <w:kern w:val="0"/>
          <w:sz w:val="36"/>
          <w:szCs w:val="36"/>
          <w:highlight w:val="none"/>
        </w:rPr>
        <w:t>（ 20</w:t>
      </w:r>
      <w:r>
        <w:rPr>
          <w:rFonts w:hint="eastAsia" w:hAnsi="宋体" w:eastAsia="仿宋_GB2312" w:cs="宋体"/>
          <w:kern w:val="0"/>
          <w:sz w:val="36"/>
          <w:szCs w:val="36"/>
          <w:highlight w:val="none"/>
          <w:lang w:val="en-US" w:eastAsia="zh-CN"/>
        </w:rPr>
        <w:t>20</w:t>
      </w:r>
      <w:r>
        <w:rPr>
          <w:rFonts w:hint="eastAsia" w:hAnsi="宋体" w:eastAsia="仿宋_GB2312" w:cs="宋体"/>
          <w:kern w:val="0"/>
          <w:sz w:val="36"/>
          <w:szCs w:val="36"/>
          <w:highlight w:val="none"/>
        </w:rPr>
        <w:t>年度）</w:t>
      </w: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exact"/>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exact"/>
        <w:ind w:firstLine="720" w:firstLineChars="200"/>
        <w:jc w:val="left"/>
        <w:rPr>
          <w:rFonts w:hint="default" w:hAnsi="宋体" w:eastAsia="仿宋_GB2312" w:cs="宋体"/>
          <w:kern w:val="0"/>
          <w:sz w:val="36"/>
          <w:szCs w:val="36"/>
          <w:highlight w:val="none"/>
          <w:lang w:val="en-US" w:eastAsia="zh-CN"/>
        </w:rPr>
      </w:pPr>
      <w:r>
        <w:rPr>
          <w:rFonts w:hint="eastAsia" w:hAnsi="宋体" w:eastAsia="仿宋_GB2312" w:cs="宋体"/>
          <w:kern w:val="0"/>
          <w:sz w:val="36"/>
          <w:szCs w:val="36"/>
          <w:highlight w:val="none"/>
        </w:rPr>
        <w:t>项目名称：</w:t>
      </w:r>
      <w:r>
        <w:rPr>
          <w:rFonts w:hint="eastAsia" w:hAnsi="宋体" w:eastAsia="仿宋_GB2312" w:cs="宋体"/>
          <w:kern w:val="0"/>
          <w:sz w:val="36"/>
          <w:szCs w:val="36"/>
          <w:highlight w:val="none"/>
          <w:lang w:val="en-US" w:eastAsia="zh-CN"/>
        </w:rPr>
        <w:t>招商引资项目前期费</w:t>
      </w:r>
    </w:p>
    <w:p>
      <w:pPr>
        <w:pageBreakBefore w:val="0"/>
        <w:kinsoku/>
        <w:wordWrap/>
        <w:overflowPunct/>
        <w:topLinePunct w:val="0"/>
        <w:autoSpaceDE/>
        <w:autoSpaceDN/>
        <w:bidi w:val="0"/>
        <w:adjustRightInd/>
        <w:snapToGrid/>
        <w:spacing w:line="560" w:lineRule="exact"/>
        <w:ind w:firstLine="720" w:firstLineChars="200"/>
        <w:jc w:val="left"/>
        <w:rPr>
          <w:rFonts w:hint="default" w:hAnsi="宋体" w:eastAsia="仿宋_GB2312" w:cs="宋体"/>
          <w:kern w:val="0"/>
          <w:sz w:val="36"/>
          <w:szCs w:val="36"/>
          <w:highlight w:val="none"/>
          <w:lang w:val="en-US" w:eastAsia="zh-CN"/>
        </w:rPr>
      </w:pPr>
      <w:r>
        <w:rPr>
          <w:rFonts w:hint="eastAsia" w:hAnsi="宋体" w:eastAsia="仿宋_GB2312" w:cs="宋体"/>
          <w:kern w:val="0"/>
          <w:sz w:val="36"/>
          <w:szCs w:val="36"/>
          <w:highlight w:val="none"/>
        </w:rPr>
        <w:t>实施单位（公章）：</w:t>
      </w:r>
      <w:r>
        <w:rPr>
          <w:rFonts w:hint="eastAsia" w:hAnsi="宋体" w:eastAsia="仿宋_GB2312" w:cs="宋体"/>
          <w:kern w:val="0"/>
          <w:sz w:val="36"/>
          <w:szCs w:val="36"/>
          <w:highlight w:val="none"/>
          <w:lang w:eastAsia="zh-CN"/>
        </w:rPr>
        <w:t>塔城</w:t>
      </w:r>
      <w:r>
        <w:rPr>
          <w:rFonts w:hint="eastAsia" w:hAnsi="宋体" w:eastAsia="仿宋_GB2312" w:cs="宋体"/>
          <w:kern w:val="0"/>
          <w:sz w:val="36"/>
          <w:szCs w:val="36"/>
          <w:highlight w:val="none"/>
          <w:lang w:val="en-US" w:eastAsia="zh-CN"/>
        </w:rPr>
        <w:t>地区商务局</w:t>
      </w:r>
    </w:p>
    <w:p>
      <w:pPr>
        <w:pageBreakBefore w:val="0"/>
        <w:kinsoku/>
        <w:wordWrap/>
        <w:overflowPunct/>
        <w:topLinePunct w:val="0"/>
        <w:autoSpaceDE/>
        <w:autoSpaceDN/>
        <w:bidi w:val="0"/>
        <w:adjustRightInd/>
        <w:snapToGrid/>
        <w:spacing w:line="560" w:lineRule="exact"/>
        <w:ind w:firstLine="720" w:firstLineChars="200"/>
        <w:jc w:val="left"/>
        <w:rPr>
          <w:rFonts w:hint="default" w:hAnsi="宋体" w:eastAsia="仿宋_GB2312" w:cs="宋体"/>
          <w:kern w:val="0"/>
          <w:sz w:val="36"/>
          <w:szCs w:val="36"/>
          <w:highlight w:val="none"/>
          <w:lang w:val="en-US" w:eastAsia="zh-CN"/>
        </w:rPr>
      </w:pPr>
      <w:r>
        <w:rPr>
          <w:rFonts w:hint="eastAsia" w:hAnsi="宋体" w:eastAsia="仿宋_GB2312" w:cs="宋体"/>
          <w:kern w:val="0"/>
          <w:sz w:val="36"/>
          <w:szCs w:val="36"/>
          <w:highlight w:val="none"/>
        </w:rPr>
        <w:t>主管部门（公章）：</w:t>
      </w:r>
      <w:r>
        <w:rPr>
          <w:rFonts w:hint="eastAsia" w:hAnsi="宋体" w:eastAsia="仿宋_GB2312" w:cs="宋体"/>
          <w:kern w:val="0"/>
          <w:sz w:val="36"/>
          <w:szCs w:val="36"/>
          <w:highlight w:val="none"/>
          <w:lang w:eastAsia="zh-CN"/>
        </w:rPr>
        <w:t>塔城</w:t>
      </w:r>
      <w:r>
        <w:rPr>
          <w:rFonts w:hint="eastAsia" w:hAnsi="宋体" w:eastAsia="仿宋_GB2312" w:cs="宋体"/>
          <w:kern w:val="0"/>
          <w:sz w:val="36"/>
          <w:szCs w:val="36"/>
          <w:highlight w:val="none"/>
          <w:lang w:val="en-US" w:eastAsia="zh-CN"/>
        </w:rPr>
        <w:t>地区商务局</w:t>
      </w:r>
    </w:p>
    <w:p>
      <w:pPr>
        <w:pageBreakBefore w:val="0"/>
        <w:kinsoku/>
        <w:wordWrap/>
        <w:overflowPunct/>
        <w:topLinePunct w:val="0"/>
        <w:autoSpaceDE/>
        <w:autoSpaceDN/>
        <w:bidi w:val="0"/>
        <w:adjustRightInd/>
        <w:snapToGrid/>
        <w:spacing w:line="560" w:lineRule="exact"/>
        <w:ind w:firstLine="720" w:firstLineChars="200"/>
        <w:jc w:val="left"/>
        <w:rPr>
          <w:rFonts w:hint="default" w:hAnsi="宋体" w:eastAsia="仿宋_GB2312" w:cs="宋体"/>
          <w:kern w:val="0"/>
          <w:sz w:val="36"/>
          <w:szCs w:val="36"/>
          <w:highlight w:val="none"/>
          <w:lang w:val="en-US" w:eastAsia="zh-CN"/>
        </w:rPr>
      </w:pPr>
      <w:r>
        <w:rPr>
          <w:rFonts w:hint="eastAsia" w:hAnsi="宋体" w:eastAsia="仿宋_GB2312" w:cs="宋体"/>
          <w:kern w:val="0"/>
          <w:sz w:val="36"/>
          <w:szCs w:val="36"/>
          <w:highlight w:val="none"/>
        </w:rPr>
        <w:t>项目负责人（签章）：</w:t>
      </w:r>
      <w:r>
        <w:rPr>
          <w:rFonts w:hint="eastAsia" w:hAnsi="宋体" w:eastAsia="仿宋_GB2312" w:cs="宋体"/>
          <w:kern w:val="0"/>
          <w:sz w:val="36"/>
          <w:szCs w:val="36"/>
          <w:highlight w:val="none"/>
          <w:lang w:val="en-US" w:eastAsia="zh-CN"/>
        </w:rPr>
        <w:t>谢成</w:t>
      </w:r>
    </w:p>
    <w:p>
      <w:pPr>
        <w:pageBreakBefore w:val="0"/>
        <w:kinsoku/>
        <w:wordWrap/>
        <w:overflowPunct/>
        <w:topLinePunct w:val="0"/>
        <w:autoSpaceDE/>
        <w:autoSpaceDN/>
        <w:bidi w:val="0"/>
        <w:adjustRightInd/>
        <w:snapToGrid/>
        <w:spacing w:line="560" w:lineRule="exact"/>
        <w:ind w:firstLine="720" w:firstLineChars="200"/>
        <w:jc w:val="left"/>
        <w:rPr>
          <w:rFonts w:hAnsi="宋体" w:eastAsia="仿宋_GB2312" w:cs="宋体"/>
          <w:kern w:val="0"/>
          <w:sz w:val="36"/>
          <w:szCs w:val="36"/>
          <w:highlight w:val="none"/>
        </w:rPr>
      </w:pPr>
      <w:r>
        <w:rPr>
          <w:rFonts w:hint="eastAsia" w:hAnsi="宋体" w:eastAsia="仿宋_GB2312" w:cs="宋体"/>
          <w:kern w:val="0"/>
          <w:sz w:val="36"/>
          <w:szCs w:val="36"/>
          <w:highlight w:val="none"/>
        </w:rPr>
        <w:t>填报时间：</w:t>
      </w:r>
      <w:r>
        <w:rPr>
          <w:rFonts w:hint="eastAsia" w:hAnsi="宋体" w:eastAsia="仿宋_GB2312" w:cs="宋体"/>
          <w:kern w:val="0"/>
          <w:sz w:val="36"/>
          <w:szCs w:val="36"/>
          <w:highlight w:val="none"/>
          <w:lang w:val="en-US" w:eastAsia="zh-CN"/>
        </w:rPr>
        <w:t>2021</w:t>
      </w:r>
      <w:r>
        <w:rPr>
          <w:rFonts w:hint="eastAsia" w:hAnsi="宋体" w:eastAsia="仿宋_GB2312" w:cs="宋体"/>
          <w:kern w:val="0"/>
          <w:sz w:val="36"/>
          <w:szCs w:val="36"/>
          <w:highlight w:val="none"/>
        </w:rPr>
        <w:t>年</w:t>
      </w:r>
      <w:r>
        <w:rPr>
          <w:rFonts w:hint="eastAsia" w:hAnsi="宋体" w:eastAsia="仿宋_GB2312" w:cs="宋体"/>
          <w:kern w:val="0"/>
          <w:sz w:val="36"/>
          <w:szCs w:val="36"/>
          <w:highlight w:val="none"/>
          <w:lang w:val="en-US" w:eastAsia="zh-CN"/>
        </w:rPr>
        <w:t>3</w:t>
      </w:r>
      <w:r>
        <w:rPr>
          <w:rFonts w:hint="eastAsia" w:hAnsi="宋体" w:eastAsia="仿宋_GB2312" w:cs="宋体"/>
          <w:kern w:val="0"/>
          <w:sz w:val="36"/>
          <w:szCs w:val="36"/>
          <w:highlight w:val="none"/>
        </w:rPr>
        <w:t>月</w:t>
      </w:r>
      <w:r>
        <w:rPr>
          <w:rFonts w:hint="eastAsia" w:hAnsi="宋体" w:eastAsia="仿宋_GB2312" w:cs="宋体"/>
          <w:kern w:val="0"/>
          <w:sz w:val="36"/>
          <w:szCs w:val="36"/>
          <w:highlight w:val="none"/>
          <w:lang w:val="en-US" w:eastAsia="zh-CN"/>
        </w:rPr>
        <w:t>30</w:t>
      </w:r>
      <w:r>
        <w:rPr>
          <w:rFonts w:hint="eastAsia" w:hAnsi="宋体" w:eastAsia="仿宋_GB2312" w:cs="宋体"/>
          <w:kern w:val="0"/>
          <w:sz w:val="36"/>
          <w:szCs w:val="36"/>
          <w:highlight w:val="none"/>
        </w:rPr>
        <w:t>日</w:t>
      </w:r>
    </w:p>
    <w:p>
      <w:pPr>
        <w:pageBreakBefore w:val="0"/>
        <w:kinsoku/>
        <w:wordWrap/>
        <w:overflowPunct/>
        <w:topLinePunct w:val="0"/>
        <w:autoSpaceDE/>
        <w:autoSpaceDN/>
        <w:bidi w:val="0"/>
        <w:adjustRightInd/>
        <w:snapToGrid/>
        <w:spacing w:line="560" w:lineRule="exact"/>
        <w:jc w:val="center"/>
        <w:rPr>
          <w:rFonts w:hAnsi="宋体" w:eastAsia="仿宋_GB2312" w:cs="宋体"/>
          <w:kern w:val="0"/>
          <w:sz w:val="30"/>
          <w:szCs w:val="30"/>
          <w:highlight w:val="none"/>
        </w:rPr>
      </w:pPr>
    </w:p>
    <w:p>
      <w:pPr>
        <w:pageBreakBefore w:val="0"/>
        <w:kinsoku/>
        <w:wordWrap/>
        <w:overflowPunct/>
        <w:topLinePunct w:val="0"/>
        <w:autoSpaceDE/>
        <w:autoSpaceDN/>
        <w:bidi w:val="0"/>
        <w:adjustRightInd/>
        <w:snapToGrid/>
        <w:spacing w:line="560" w:lineRule="exact"/>
        <w:rPr>
          <w:rStyle w:val="22"/>
          <w:rFonts w:ascii="黑体" w:hAnsi="黑体" w:eastAsia="黑体"/>
          <w:b w:val="0"/>
          <w:spacing w:val="-4"/>
          <w:sz w:val="32"/>
          <w:szCs w:val="32"/>
          <w:highlight w:val="none"/>
        </w:rPr>
      </w:pPr>
    </w:p>
    <w:p>
      <w:pPr>
        <w:pageBreakBefore w:val="0"/>
        <w:kinsoku/>
        <w:wordWrap/>
        <w:overflowPunct/>
        <w:topLinePunct w:val="0"/>
        <w:autoSpaceDE/>
        <w:autoSpaceDN/>
        <w:bidi w:val="0"/>
        <w:adjustRightInd/>
        <w:snapToGrid/>
        <w:spacing w:line="560" w:lineRule="exact"/>
        <w:ind w:firstLine="640"/>
        <w:rPr>
          <w:rStyle w:val="22"/>
          <w:rFonts w:ascii="黑体" w:hAnsi="黑体" w:eastAsia="黑体"/>
          <w:b w:val="0"/>
          <w:spacing w:val="-4"/>
          <w:sz w:val="32"/>
          <w:szCs w:val="32"/>
          <w:highlight w:val="none"/>
        </w:rPr>
      </w:pPr>
    </w:p>
    <w:p>
      <w:pPr>
        <w:pageBreakBefore w:val="0"/>
        <w:kinsoku/>
        <w:wordWrap/>
        <w:overflowPunct/>
        <w:topLinePunct w:val="0"/>
        <w:autoSpaceDE/>
        <w:autoSpaceDN/>
        <w:bidi w:val="0"/>
        <w:adjustRightInd/>
        <w:snapToGrid/>
        <w:spacing w:line="560" w:lineRule="exact"/>
        <w:rPr>
          <w:rStyle w:val="22"/>
          <w:rFonts w:ascii="黑体" w:hAnsi="黑体" w:eastAsia="黑体"/>
          <w:b w:val="0"/>
          <w:spacing w:val="-4"/>
          <w:sz w:val="32"/>
          <w:szCs w:val="32"/>
          <w:highlight w:val="none"/>
        </w:rPr>
      </w:pPr>
    </w:p>
    <w:p>
      <w:pPr>
        <w:pageBreakBefore w:val="0"/>
        <w:kinsoku/>
        <w:wordWrap/>
        <w:overflowPunct/>
        <w:topLinePunct w:val="0"/>
        <w:autoSpaceDE/>
        <w:autoSpaceDN/>
        <w:bidi w:val="0"/>
        <w:adjustRightInd/>
        <w:snapToGrid/>
        <w:spacing w:line="560" w:lineRule="exact"/>
        <w:rPr>
          <w:rFonts w:ascii="黑体" w:hAnsi="黑体" w:eastAsia="黑体" w:cs="黑体"/>
          <w:bCs/>
          <w:sz w:val="32"/>
          <w:szCs w:val="32"/>
          <w:highlight w:val="none"/>
        </w:rPr>
      </w:pPr>
      <w:r>
        <w:rPr>
          <w:rFonts w:hint="eastAsia" w:ascii="黑体" w:hAnsi="黑体" w:eastAsia="黑体" w:cs="黑体"/>
          <w:bCs/>
          <w:sz w:val="32"/>
          <w:szCs w:val="32"/>
          <w:highlight w:val="none"/>
        </w:rPr>
        <w:t>一、基本情况</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（一）项目概况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1、项目背景</w:t>
      </w:r>
    </w:p>
    <w:p>
      <w:pPr>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（1）项目实施的政策背景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fldData xml:space="preserve">QQAyADMAOQAxADQAMgBFAEEARABFADYANAA4AEYAQwA4ADYAOQAyAEQAQgBCADAANABEAEIAOQBC
ADYANwAzAA==
</w:fldData>
        </w:fldChar>
      </w:r>
      <w:r>
        <w:rPr>
          <w:rFonts w:hint="eastAsia" w:ascii="仿宋_GB2312" w:hAnsi="仿宋_GB2312" w:eastAsia="仿宋_GB2312" w:cs="仿宋_GB2312"/>
          <w:sz w:val="32"/>
          <w:szCs w:val="32"/>
          <w:highlight w:val="none"/>
        </w:rPr>
        <w:instrText xml:space="preserve">Addin (一)项目单位基本情况</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地区商务局改革于2019年1月，主要职责是内外贸易的管理、市场建设和招商招展，内设办公室、商贸综合科、招商</w:t>
      </w:r>
      <w:r>
        <w:rPr>
          <w:rFonts w:hint="eastAsia" w:ascii="仿宋_GB2312" w:hAnsi="仿宋_GB2312" w:eastAsia="仿宋_GB2312" w:cs="仿宋_GB2312"/>
          <w:sz w:val="32"/>
          <w:szCs w:val="32"/>
          <w:highlight w:val="none"/>
          <w:lang w:eastAsia="zh-CN"/>
        </w:rPr>
        <w:t>会</w:t>
      </w:r>
      <w:r>
        <w:rPr>
          <w:rFonts w:hint="eastAsia" w:ascii="仿宋_GB2312" w:hAnsi="仿宋_GB2312" w:eastAsia="仿宋_GB2312" w:cs="仿宋_GB2312"/>
          <w:sz w:val="32"/>
          <w:szCs w:val="32"/>
          <w:highlight w:val="none"/>
        </w:rPr>
        <w:t>展科3个科室和塔城贸促支会1个事业机构。</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重点围绕“坚持一产上水平，二产抓重点，三产大发展”的总体部署，推动农业提质增效、工业转型升级、服务业加快发展，构建现代产业体系，推动地区产业结构调整，提升地区经济活力。</w:t>
      </w:r>
    </w:p>
    <w:p>
      <w:pPr>
        <w:pStyle w:val="2"/>
        <w:pageBreakBefore w:val="0"/>
        <w:numPr>
          <w:ilvl w:val="0"/>
          <w:numId w:val="1"/>
        </w:numPr>
        <w:kinsoku/>
        <w:wordWrap/>
        <w:overflowPunct/>
        <w:topLinePunct w:val="0"/>
        <w:autoSpaceDE/>
        <w:autoSpaceDN/>
        <w:bidi w:val="0"/>
        <w:adjustRightInd/>
        <w:snapToGrid/>
        <w:spacing w:before="0" w:after="0" w:line="560" w:lineRule="exact"/>
        <w:ind w:firstLine="640" w:firstLineChars="200"/>
        <w:jc w:val="both"/>
        <w:rPr>
          <w:rFonts w:ascii="仿宋_GB2312" w:hAnsi="仿宋_GB2312" w:eastAsia="仿宋_GB2312" w:cs="仿宋_GB2312"/>
          <w:b w:val="0"/>
          <w:bCs w:val="0"/>
          <w:kern w:val="0"/>
          <w:highlight w:val="none"/>
        </w:rPr>
      </w:pPr>
      <w:r>
        <w:rPr>
          <w:rFonts w:hint="eastAsia" w:ascii="仿宋_GB2312" w:hAnsi="仿宋_GB2312" w:eastAsia="仿宋_GB2312" w:cs="仿宋_GB2312"/>
          <w:b w:val="0"/>
          <w:bCs w:val="0"/>
          <w:kern w:val="0"/>
          <w:highlight w:val="none"/>
        </w:rPr>
        <w:t>项目实施的历史概况</w:t>
      </w:r>
    </w:p>
    <w:p>
      <w:pPr>
        <w:pageBreakBefore w:val="0"/>
        <w:kinsoku/>
        <w:wordWrap/>
        <w:overflowPunct/>
        <w:topLinePunct w:val="0"/>
        <w:autoSpaceDE/>
        <w:autoSpaceDN/>
        <w:bidi w:val="0"/>
        <w:adjustRightInd/>
        <w:snapToGrid/>
        <w:spacing w:line="560" w:lineRule="exact"/>
        <w:ind w:firstLine="640" w:firstLineChars="200"/>
        <w:rPr>
          <w:rStyle w:val="22"/>
          <w:rFonts w:ascii="黑体" w:hAnsi="黑体" w:eastAsia="黑体"/>
          <w:bCs w:val="0"/>
          <w:spacing w:val="-4"/>
          <w:sz w:val="32"/>
          <w:szCs w:val="32"/>
          <w:highlight w:val="none"/>
        </w:rPr>
      </w:pPr>
      <w:r>
        <w:rPr>
          <w:rFonts w:hint="eastAsia" w:ascii="仿宋_GB2312" w:hAnsi="仿宋_GB2312" w:eastAsia="仿宋_GB2312" w:cs="仿宋_GB2312"/>
          <w:sz w:val="32"/>
          <w:szCs w:val="32"/>
          <w:highlight w:val="none"/>
          <w:lang w:val="en-US" w:eastAsia="zh-CN"/>
        </w:rPr>
        <w:t>2019年招商引资项目前期费拨付40万元，其中</w:t>
      </w:r>
      <w:r>
        <w:rPr>
          <w:rFonts w:hint="eastAsia" w:ascii="仿宋_GB2312" w:hAnsi="仿宋_GB2312" w:eastAsia="仿宋_GB2312" w:cs="仿宋_GB2312"/>
          <w:sz w:val="32"/>
          <w:szCs w:val="32"/>
          <w:highlight w:val="none"/>
        </w:rPr>
        <w:t>规范电商平台建设，服务地区商贸发展，定期开展对成品油、二手车交易市场、直销企业、农贸市场等监督管理。确保元旦、春节、国庆期间市场供应充足，物价平稳，加强了重点生活用品的市场监测和分析研判工作。</w:t>
      </w:r>
    </w:p>
    <w:p>
      <w:pPr>
        <w:pageBreakBefore w:val="0"/>
        <w:numPr>
          <w:ilvl w:val="0"/>
          <w:numId w:val="2"/>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项目主要内容及实施情况</w:t>
      </w:r>
    </w:p>
    <w:p>
      <w:pPr>
        <w:pStyle w:val="2"/>
        <w:pageBreakBefore w:val="0"/>
        <w:kinsoku/>
        <w:wordWrap/>
        <w:overflowPunct/>
        <w:topLinePunct w:val="0"/>
        <w:autoSpaceDE/>
        <w:autoSpaceDN/>
        <w:bidi w:val="0"/>
        <w:adjustRightInd/>
        <w:snapToGrid/>
        <w:spacing w:before="0" w:after="0" w:line="560" w:lineRule="exact"/>
        <w:ind w:firstLine="640" w:firstLineChars="200"/>
        <w:jc w:val="both"/>
        <w:rPr>
          <w:rStyle w:val="22"/>
          <w:rFonts w:hint="default" w:ascii="黑体" w:hAnsi="黑体" w:eastAsia="黑体" w:cs="Times New Roman"/>
          <w:b/>
          <w:bCs w:val="0"/>
          <w:spacing w:val="-4"/>
          <w:sz w:val="32"/>
          <w:szCs w:val="32"/>
          <w:highlight w:val="none"/>
          <w:lang w:val="en-US"/>
        </w:rPr>
      </w:pPr>
      <w:r>
        <w:rPr>
          <w:rFonts w:hint="eastAsia" w:ascii="仿宋_GB2312" w:hAnsi="仿宋_GB2312" w:eastAsia="仿宋_GB2312" w:cs="仿宋_GB2312"/>
          <w:b w:val="0"/>
          <w:bCs w:val="0"/>
          <w:kern w:val="2"/>
          <w:highlight w:val="none"/>
        </w:rPr>
        <w:t>项目主要内容：</w:t>
      </w:r>
      <w:r>
        <w:rPr>
          <w:rFonts w:hint="eastAsia" w:ascii="仿宋_GB2312" w:hAnsi="仿宋_GB2312" w:eastAsia="仿宋_GB2312" w:cs="仿宋_GB2312"/>
          <w:b w:val="0"/>
          <w:bCs w:val="0"/>
          <w:kern w:val="2"/>
          <w:sz w:val="32"/>
          <w:szCs w:val="32"/>
          <w:highlight w:val="none"/>
          <w:lang w:val="en-US" w:eastAsia="zh-CN" w:bidi="ar-SA"/>
        </w:rPr>
        <w:t>主要是组成招商代表团赴内地通过小分队招商、会展招商、节庆招商、以商招商等方式开展项目推介洽谈，吸引企业来访考察，投资落地；积极联系企业开展招商引资项目调研，帮助解决项目投资建设中的困难和问题，推进项目落地发展；认真做好招商引资项目的调度，掌握项目推进情况，及时为领导提供参谋决策。</w:t>
      </w:r>
    </w:p>
    <w:p>
      <w:pPr>
        <w:pageBreakBefore w:val="0"/>
        <w:kinsoku/>
        <w:wordWrap/>
        <w:overflowPunct/>
        <w:topLinePunct w:val="0"/>
        <w:autoSpaceDE/>
        <w:autoSpaceDN/>
        <w:bidi w:val="0"/>
        <w:adjustRightInd/>
        <w:snapToGrid/>
        <w:spacing w:line="560" w:lineRule="exact"/>
        <w:ind w:firstLine="640" w:firstLineChars="200"/>
        <w:rPr>
          <w:highlight w:val="none"/>
        </w:rPr>
      </w:pPr>
      <w:r>
        <w:rPr>
          <w:rFonts w:hint="eastAsia" w:ascii="仿宋_GB2312" w:hAnsi="仿宋_GB2312" w:eastAsia="仿宋_GB2312" w:cs="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本项目总投资</w:t>
      </w:r>
      <w:r>
        <w:rPr>
          <w:rFonts w:hint="eastAsia" w:ascii="仿宋_GB2312" w:hAnsi="仿宋_GB2312" w:eastAsia="仿宋_GB2312" w:cs="仿宋_GB2312"/>
          <w:sz w:val="32"/>
          <w:szCs w:val="32"/>
          <w:highlight w:val="none"/>
          <w:lang w:val="en-US" w:eastAsia="zh-CN"/>
        </w:rPr>
        <w:t>22.1</w:t>
      </w:r>
      <w:r>
        <w:rPr>
          <w:rFonts w:hint="eastAsia" w:ascii="仿宋_GB2312" w:hAnsi="仿宋_GB2312" w:eastAsia="仿宋_GB2312" w:cs="仿宋_GB2312"/>
          <w:sz w:val="32"/>
          <w:szCs w:val="32"/>
          <w:highlight w:val="none"/>
        </w:rPr>
        <w:t>万元，其中：财政本级资金</w:t>
      </w:r>
      <w:r>
        <w:rPr>
          <w:rFonts w:hint="eastAsia" w:ascii="仿宋_GB2312" w:hAnsi="仿宋_GB2312" w:eastAsia="仿宋_GB2312" w:cs="仿宋_GB2312"/>
          <w:sz w:val="32"/>
          <w:szCs w:val="32"/>
          <w:highlight w:val="none"/>
          <w:lang w:val="en-US" w:eastAsia="zh-CN"/>
        </w:rPr>
        <w:t>22.1</w:t>
      </w:r>
      <w:r>
        <w:rPr>
          <w:rFonts w:hint="eastAsia" w:ascii="仿宋_GB2312" w:hAnsi="仿宋_GB2312" w:eastAsia="仿宋_GB2312" w:cs="仿宋_GB2312"/>
          <w:sz w:val="32"/>
          <w:szCs w:val="32"/>
          <w:highlight w:val="none"/>
        </w:rPr>
        <w:t>万元。项目实际支出</w:t>
      </w:r>
      <w:r>
        <w:rPr>
          <w:rFonts w:hint="eastAsia" w:ascii="仿宋_GB2312" w:hAnsi="仿宋_GB2312" w:eastAsia="仿宋_GB2312" w:cs="仿宋_GB2312"/>
          <w:sz w:val="32"/>
          <w:szCs w:val="32"/>
          <w:highlight w:val="none"/>
          <w:lang w:val="en-US" w:eastAsia="zh-CN"/>
        </w:rPr>
        <w:t>22.1</w:t>
      </w:r>
      <w:r>
        <w:rPr>
          <w:rFonts w:hint="eastAsia" w:ascii="仿宋_GB2312" w:hAnsi="仿宋_GB2312" w:eastAsia="仿宋_GB2312" w:cs="仿宋_GB2312"/>
          <w:sz w:val="32"/>
          <w:szCs w:val="32"/>
          <w:highlight w:val="none"/>
        </w:rPr>
        <w:t>万元，支出率为100%。</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3、资金投入和使用情况</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20"/>
          <w:szCs w:val="20"/>
          <w:highlight w:val="none"/>
        </w:rPr>
      </w:pPr>
      <w:r>
        <w:rPr>
          <w:rFonts w:hint="eastAsia" w:ascii="仿宋_GB2312" w:hAnsi="仿宋_GB2312" w:eastAsia="仿宋_GB2312" w:cs="仿宋_GB2312"/>
          <w:sz w:val="32"/>
          <w:szCs w:val="32"/>
          <w:highlight w:val="none"/>
        </w:rPr>
        <w:t>（1）资金安排</w:t>
      </w:r>
    </w:p>
    <w:p>
      <w:pPr>
        <w:pageBreakBefore w:val="0"/>
        <w:kinsoku/>
        <w:wordWrap/>
        <w:overflowPunct/>
        <w:topLinePunct w:val="0"/>
        <w:autoSpaceDE/>
        <w:autoSpaceDN/>
        <w:bidi w:val="0"/>
        <w:adjustRightInd/>
        <w:snapToGrid/>
        <w:spacing w:line="560" w:lineRule="exact"/>
        <w:ind w:firstLine="579" w:firstLineChars="18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项目总投资</w:t>
      </w:r>
      <w:r>
        <w:rPr>
          <w:rFonts w:hint="eastAsia" w:ascii="仿宋_GB2312" w:hAnsi="仿宋_GB2312" w:eastAsia="仿宋_GB2312" w:cs="仿宋_GB2312"/>
          <w:sz w:val="32"/>
          <w:szCs w:val="32"/>
          <w:highlight w:val="none"/>
          <w:lang w:val="en-US" w:eastAsia="zh-CN"/>
        </w:rPr>
        <w:t>22.1</w:t>
      </w:r>
      <w:r>
        <w:rPr>
          <w:rFonts w:hint="eastAsia" w:ascii="仿宋_GB2312" w:hAnsi="仿宋_GB2312" w:eastAsia="仿宋_GB2312" w:cs="仿宋_GB2312"/>
          <w:sz w:val="32"/>
          <w:szCs w:val="32"/>
          <w:highlight w:val="none"/>
        </w:rPr>
        <w:t>万元，按照《</w:t>
      </w:r>
      <w:r>
        <w:rPr>
          <w:rFonts w:hint="eastAsia" w:ascii="仿宋_GB2312" w:hAnsi="仿宋_GB2312" w:eastAsia="仿宋_GB2312" w:cs="仿宋_GB2312"/>
          <w:sz w:val="32"/>
          <w:szCs w:val="32"/>
          <w:highlight w:val="none"/>
          <w:lang w:val="en-US" w:eastAsia="zh-CN"/>
        </w:rPr>
        <w:t>重点项目</w:t>
      </w:r>
      <w:r>
        <w:rPr>
          <w:rFonts w:hint="eastAsia" w:ascii="仿宋_GB2312" w:hAnsi="仿宋_GB2312" w:eastAsia="仿宋_GB2312" w:cs="仿宋_GB2312"/>
          <w:sz w:val="32"/>
          <w:szCs w:val="32"/>
          <w:highlight w:val="none"/>
        </w:rPr>
        <w:t>资金管理办法》及单位财务制度等相关规定，资金支出符合</w:t>
      </w:r>
      <w:r>
        <w:rPr>
          <w:rFonts w:hint="eastAsia" w:ascii="仿宋_GB2312" w:hAnsi="仿宋_GB2312" w:eastAsia="仿宋_GB2312" w:cs="仿宋_GB2312"/>
          <w:sz w:val="32"/>
          <w:szCs w:val="32"/>
          <w:highlight w:val="none"/>
          <w:lang w:val="en-US" w:eastAsia="zh-CN"/>
        </w:rPr>
        <w:t>招商引资项目前期费</w:t>
      </w:r>
      <w:r>
        <w:rPr>
          <w:rFonts w:hint="eastAsia" w:ascii="仿宋_GB2312" w:hAnsi="仿宋_GB2312" w:eastAsia="仿宋_GB2312" w:cs="仿宋_GB2312"/>
          <w:sz w:val="32"/>
          <w:szCs w:val="32"/>
          <w:highlight w:val="none"/>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highlight w:val="none"/>
          <w:lang w:val="en-US" w:eastAsia="zh-CN"/>
        </w:rPr>
        <w:t>招商引资项目前期费</w:t>
      </w:r>
      <w:r>
        <w:rPr>
          <w:rFonts w:hint="eastAsia" w:ascii="仿宋_GB2312" w:hAnsi="仿宋_GB2312" w:eastAsia="仿宋_GB2312" w:cs="仿宋_GB2312"/>
          <w:sz w:val="32"/>
          <w:szCs w:val="32"/>
          <w:highlight w:val="none"/>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exact"/>
        <w:ind w:firstLine="640" w:firstLineChars="200"/>
        <w:jc w:val="both"/>
        <w:rPr>
          <w:rFonts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highlight w:val="none"/>
        </w:rPr>
        <w:t>项目预算资金到位</w:t>
      </w:r>
      <w:r>
        <w:rPr>
          <w:rFonts w:hint="eastAsia" w:ascii="仿宋_GB2312" w:hAnsi="仿宋_GB2312" w:eastAsia="仿宋_GB2312" w:cs="仿宋_GB2312"/>
          <w:b w:val="0"/>
          <w:bCs w:val="0"/>
          <w:kern w:val="2"/>
          <w:highlight w:val="none"/>
          <w:lang w:val="en-US" w:eastAsia="zh-CN"/>
        </w:rPr>
        <w:t>22.1</w:t>
      </w:r>
      <w:r>
        <w:rPr>
          <w:rFonts w:hint="eastAsia" w:ascii="仿宋_GB2312" w:hAnsi="仿宋_GB2312" w:eastAsia="仿宋_GB2312" w:cs="仿宋_GB2312"/>
          <w:b w:val="0"/>
          <w:bCs w:val="0"/>
          <w:kern w:val="2"/>
          <w:highlight w:val="none"/>
        </w:rPr>
        <w:t>万元，用于支付项目实施进程中的各项费用。</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（二）项目绩效目标</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1、总体目标</w:t>
      </w:r>
    </w:p>
    <w:p>
      <w:pPr>
        <w:pStyle w:val="13"/>
        <w:pageBreakBefore w:val="0"/>
        <w:kinsoku/>
        <w:wordWrap/>
        <w:overflowPunct/>
        <w:topLinePunct w:val="0"/>
        <w:autoSpaceDE/>
        <w:autoSpaceDN/>
        <w:bidi w:val="0"/>
        <w:adjustRightInd/>
        <w:snapToGrid/>
        <w:spacing w:after="0"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bCs w:val="0"/>
          <w:kern w:val="2"/>
          <w:sz w:val="32"/>
          <w:szCs w:val="32"/>
          <w:highlight w:val="none"/>
          <w:lang w:val="en-US" w:eastAsia="zh-CN" w:bidi="ar-SA"/>
        </w:rPr>
        <w:t>招商引资项目前期费</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2、阶段性目标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前期准备：根据自治区财政厅《自治区本级财政支出绩效评价管理暂行办法》和《关于印发&lt;自治区全面实施预算绩效管理的工作方案&gt;的通知》，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（2）组织实施：资金一到位，立即根据项目要求实施项目。项目责任人按照《</w:t>
      </w:r>
      <w:r>
        <w:rPr>
          <w:rFonts w:hint="eastAsia" w:ascii="仿宋_GB2312" w:hAnsi="仿宋_GB2312" w:eastAsia="仿宋_GB2312" w:cs="仿宋_GB2312"/>
          <w:sz w:val="32"/>
          <w:szCs w:val="32"/>
          <w:highlight w:val="none"/>
          <w:lang w:eastAsia="zh-CN"/>
        </w:rPr>
        <w:t>塔城地区商务局</w:t>
      </w:r>
      <w:r>
        <w:rPr>
          <w:rFonts w:hint="eastAsia" w:ascii="仿宋_GB2312" w:hAnsi="仿宋_GB2312" w:eastAsia="仿宋_GB2312" w:cs="仿宋_GB2312"/>
          <w:sz w:val="32"/>
          <w:szCs w:val="32"/>
          <w:highlight w:val="none"/>
        </w:rPr>
        <w:t>全面实施预算绩效管理的工作方案》要求逐一进行项目部署安排，提高项目质量及效率性。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1"/>
        <w:rPr>
          <w:rFonts w:ascii="黑体" w:hAnsi="黑体" w:eastAsia="黑体"/>
          <w:sz w:val="32"/>
          <w:szCs w:val="32"/>
          <w:highlight w:val="none"/>
        </w:rPr>
      </w:pPr>
      <w:r>
        <w:rPr>
          <w:rFonts w:hint="eastAsia" w:ascii="黑体" w:hAnsi="黑体" w:eastAsia="黑体"/>
          <w:sz w:val="32"/>
          <w:szCs w:val="32"/>
          <w:highlight w:val="none"/>
        </w:rPr>
        <w:t>二、绩效评价工作开展情况</w:t>
      </w:r>
    </w:p>
    <w:p>
      <w:pPr>
        <w:pageBreakBefore w:val="0"/>
        <w:kinsoku/>
        <w:wordWrap/>
        <w:overflowPunct/>
        <w:topLinePunct w:val="0"/>
        <w:autoSpaceDE/>
        <w:autoSpaceDN/>
        <w:bidi w:val="0"/>
        <w:adjustRightInd/>
        <w:snapToGrid/>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1、绩效评价的目的</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3"/>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（2）项目绩效管理财政支出运行提供及时、有效的信息。</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2、绩效评价的对象</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招商引资项目前期费专项经费</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3、绩效评价的范围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评价从项目决策（包括绩效目标、决策过程）、项目管理（包括项目资金、项目实施）、项目产出（包括项目产出数量、产出质量、产出时效和产出成本）项目效益四个维度进行评价，评价对象为项目前期费，评价核心为专项资金的支出完成情况和效果。</w:t>
      </w:r>
    </w:p>
    <w:p>
      <w:pPr>
        <w:pageBreakBefore w:val="0"/>
        <w:kinsoku/>
        <w:wordWrap/>
        <w:overflowPunct/>
        <w:topLinePunct w:val="0"/>
        <w:autoSpaceDE/>
        <w:autoSpaceDN/>
        <w:bidi w:val="0"/>
        <w:adjustRightInd/>
        <w:snapToGrid/>
        <w:spacing w:line="560" w:lineRule="exact"/>
        <w:ind w:firstLine="641"/>
        <w:rPr>
          <w:rFonts w:ascii="仿宋_GB2312"/>
          <w:highlight w:val="none"/>
        </w:rPr>
      </w:pPr>
      <w:r>
        <w:rPr>
          <w:rFonts w:hint="eastAsia" w:ascii="楷体_GB2312" w:hAnsi="楷体_GB2312" w:eastAsia="楷体_GB2312" w:cs="楷体_GB2312"/>
          <w:b/>
          <w:bCs/>
          <w:sz w:val="32"/>
          <w:szCs w:val="32"/>
          <w:highlight w:val="none"/>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1、绩效评价原则</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2、评价指标体系</w:t>
      </w:r>
    </w:p>
    <w:p>
      <w:pPr>
        <w:pageBreakBefore w:val="0"/>
        <w:kinsoku/>
        <w:wordWrap/>
        <w:overflowPunct/>
        <w:topLinePunct w:val="0"/>
        <w:autoSpaceDE/>
        <w:autoSpaceDN/>
        <w:bidi w:val="0"/>
        <w:adjustRightInd/>
        <w:snapToGrid/>
        <w:spacing w:line="560" w:lineRule="exact"/>
        <w:ind w:firstLine="641"/>
        <w:rPr>
          <w:rFonts w:ascii="宋体" w:hAnsi="宋体" w:cs="宋体"/>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（1）确定评价指标</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采用层次分析法，建立评价指标体系。绩效评价将指标分为项目</w:t>
      </w:r>
      <w:r>
        <w:rPr>
          <w:rFonts w:hint="eastAsia" w:ascii="仿宋_GB2312" w:hAnsi="仿宋_GB2312" w:eastAsia="仿宋_GB2312" w:cs="仿宋_GB2312"/>
          <w:color w:val="000000"/>
          <w:spacing w:val="17"/>
          <w:sz w:val="32"/>
          <w:szCs w:val="32"/>
          <w:highlight w:val="none"/>
          <w:lang w:val="en-US" w:eastAsia="zh-CN"/>
        </w:rPr>
        <w:t>决策</w:t>
      </w:r>
      <w:r>
        <w:rPr>
          <w:rFonts w:hint="eastAsia" w:ascii="仿宋_GB2312" w:hAnsi="仿宋_GB2312" w:eastAsia="仿宋_GB2312" w:cs="仿宋_GB2312"/>
          <w:color w:val="000000"/>
          <w:spacing w:val="17"/>
          <w:sz w:val="32"/>
          <w:szCs w:val="32"/>
          <w:highlight w:val="none"/>
        </w:rPr>
        <w:t>指标、项目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指标</w:t>
      </w:r>
      <w:r>
        <w:rPr>
          <w:rFonts w:hint="eastAsia" w:ascii="仿宋_GB2312" w:hAnsi="仿宋_GB2312" w:eastAsia="仿宋_GB2312" w:cs="仿宋_GB2312"/>
          <w:color w:val="000000"/>
          <w:spacing w:val="17"/>
          <w:sz w:val="32"/>
          <w:szCs w:val="32"/>
          <w:highlight w:val="none"/>
          <w:lang w:eastAsia="zh-CN"/>
        </w:rPr>
        <w:t>、</w:t>
      </w:r>
      <w:r>
        <w:rPr>
          <w:rFonts w:hint="eastAsia" w:ascii="仿宋_GB2312" w:hAnsi="仿宋_GB2312" w:eastAsia="仿宋_GB2312" w:cs="仿宋_GB2312"/>
          <w:color w:val="000000"/>
          <w:spacing w:val="17"/>
          <w:sz w:val="32"/>
          <w:szCs w:val="32"/>
          <w:highlight w:val="none"/>
        </w:rPr>
        <w:t>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（2）确定权重</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确定各个指标相对于项目总体绩效的权重分值。在绩效评价指标体系中，项</w:t>
      </w:r>
      <w:r>
        <w:rPr>
          <w:rFonts w:hint="eastAsia" w:ascii="仿宋_GB2312" w:hAnsi="仿宋_GB2312" w:eastAsia="仿宋_GB2312" w:cs="仿宋_GB2312"/>
          <w:color w:val="000000"/>
          <w:spacing w:val="17"/>
          <w:sz w:val="32"/>
          <w:szCs w:val="32"/>
          <w:highlight w:val="none"/>
          <w:lang w:val="en-US" w:eastAsia="zh-CN"/>
        </w:rPr>
        <w:t>目决策</w:t>
      </w:r>
      <w:r>
        <w:rPr>
          <w:rFonts w:hint="eastAsia" w:ascii="仿宋_GB2312" w:hAnsi="仿宋_GB2312" w:eastAsia="仿宋_GB2312" w:cs="仿宋_GB2312"/>
          <w:color w:val="000000"/>
          <w:spacing w:val="17"/>
          <w:sz w:val="32"/>
          <w:szCs w:val="32"/>
          <w:highlight w:val="none"/>
        </w:rPr>
        <w:t>权重</w:t>
      </w:r>
      <w:r>
        <w:rPr>
          <w:rFonts w:hint="eastAsia" w:ascii="仿宋_GB2312" w:hAnsi="仿宋_GB2312" w:eastAsia="仿宋_GB2312" w:cs="仿宋_GB2312"/>
          <w:color w:val="000000"/>
          <w:spacing w:val="17"/>
          <w:sz w:val="32"/>
          <w:szCs w:val="32"/>
          <w:highlight w:val="none"/>
          <w:lang w:val="en-US" w:eastAsia="zh-CN"/>
        </w:rPr>
        <w:t>占5%</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w:t>
      </w:r>
      <w:r>
        <w:rPr>
          <w:rFonts w:hint="eastAsia" w:ascii="仿宋_GB2312" w:hAnsi="仿宋_GB2312" w:eastAsia="仿宋_GB2312" w:cs="仿宋_GB2312"/>
          <w:color w:val="000000"/>
          <w:spacing w:val="17"/>
          <w:sz w:val="32"/>
          <w:szCs w:val="32"/>
          <w:highlight w:val="none"/>
        </w:rPr>
        <w:t>，项目效益权重值占</w:t>
      </w:r>
      <w:r>
        <w:rPr>
          <w:rFonts w:hint="eastAsia" w:ascii="仿宋_GB2312" w:hAnsi="仿宋_GB2312" w:eastAsia="仿宋_GB2312" w:cs="仿宋_GB2312"/>
          <w:color w:val="000000"/>
          <w:spacing w:val="17"/>
          <w:sz w:val="32"/>
          <w:szCs w:val="32"/>
          <w:highlight w:val="none"/>
          <w:lang w:val="en-US" w:eastAsia="zh-CN"/>
        </w:rPr>
        <w:t>40%</w:t>
      </w:r>
      <w:r>
        <w:rPr>
          <w:rFonts w:hint="eastAsia" w:ascii="仿宋_GB2312" w:hAnsi="仿宋_GB2312" w:eastAsia="仿宋_GB2312" w:cs="仿宋_GB2312"/>
          <w:color w:val="000000"/>
          <w:spacing w:val="17"/>
          <w:sz w:val="32"/>
          <w:szCs w:val="32"/>
          <w:highlight w:val="none"/>
        </w:rPr>
        <w:t>。</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（3）确定指标标准值</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rPr>
          <w:rFonts w:ascii="仿宋_GB2312" w:hAnsi="仿宋_GB2312" w:eastAsia="仿宋_GB2312" w:cs="仿宋_GB2312"/>
          <w:b w:val="0"/>
          <w:bCs w:val="0"/>
          <w:color w:val="000000"/>
          <w:spacing w:val="17"/>
          <w:kern w:val="2"/>
          <w:highlight w:val="none"/>
        </w:rPr>
      </w:pPr>
      <w:r>
        <w:rPr>
          <w:rFonts w:hint="eastAsia" w:ascii="仿宋_GB2312" w:hAnsi="仿宋_GB2312" w:eastAsia="仿宋_GB2312" w:cs="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kinsoku/>
        <w:wordWrap/>
        <w:overflowPunct/>
        <w:topLinePunct w:val="0"/>
        <w:autoSpaceDE/>
        <w:autoSpaceDN/>
        <w:bidi w:val="0"/>
        <w:adjustRightInd/>
        <w:snapToGrid/>
        <w:spacing w:before="0" w:after="0" w:line="560" w:lineRule="exact"/>
        <w:ind w:firstLine="708" w:firstLineChars="200"/>
        <w:jc w:val="both"/>
        <w:rPr>
          <w:rFonts w:hint="eastAsia" w:ascii="仿宋_GB2312" w:hAnsi="仿宋_GB2312" w:eastAsia="仿宋_GB2312" w:cs="仿宋_GB2312"/>
          <w:b w:val="0"/>
          <w:bCs w:val="0"/>
          <w:color w:val="000000"/>
          <w:spacing w:val="17"/>
          <w:kern w:val="2"/>
          <w:highlight w:val="none"/>
        </w:rPr>
      </w:pPr>
      <w:r>
        <w:rPr>
          <w:rFonts w:hint="eastAsia" w:ascii="仿宋_GB2312" w:hAnsi="仿宋_GB2312" w:eastAsia="仿宋_GB2312" w:cs="仿宋_GB2312"/>
          <w:b w:val="0"/>
          <w:bCs w:val="0"/>
          <w:color w:val="000000"/>
          <w:spacing w:val="17"/>
          <w:kern w:val="2"/>
          <w:highlight w:val="none"/>
        </w:rPr>
        <w:t>具体评价指标体系详情见</w:t>
      </w:r>
      <w:r>
        <w:rPr>
          <w:rFonts w:hint="eastAsia" w:ascii="仿宋_GB2312" w:hAnsi="仿宋_GB2312" w:eastAsia="仿宋_GB2312" w:cs="仿宋_GB2312"/>
          <w:b w:val="0"/>
          <w:bCs w:val="0"/>
          <w:color w:val="000000"/>
          <w:spacing w:val="17"/>
          <w:kern w:val="2"/>
          <w:highlight w:val="none"/>
          <w:lang w:val="en-US" w:eastAsia="zh-CN"/>
        </w:rPr>
        <w:t>附件</w:t>
      </w:r>
      <w:r>
        <w:rPr>
          <w:rFonts w:hint="eastAsia" w:ascii="仿宋_GB2312" w:hAnsi="仿宋_GB2312" w:eastAsia="仿宋_GB2312" w:cs="仿宋_GB2312"/>
          <w:b w:val="0"/>
          <w:bCs w:val="0"/>
          <w:color w:val="000000"/>
          <w:spacing w:val="17"/>
          <w:kern w:val="2"/>
          <w:highlight w:val="none"/>
        </w:rPr>
        <w:t>1</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3、绩效评价方法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（1）比较法</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通过对绩效目标与实施效果、历史与当期情况，综合分析绩效目标实现程度。对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（2）因素分析法</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通过综合分析影响绩效目标实现、实施效果的内外因素，评价绩效目标实现程度。通过对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val="0"/>
          <w:bCs w:val="0"/>
          <w:highlight w:val="none"/>
          <w:lang w:val="en-US" w:eastAsia="zh-CN"/>
        </w:rPr>
      </w:pPr>
      <w:r>
        <w:rPr>
          <w:rFonts w:hint="eastAsia" w:ascii="仿宋_GB2312" w:hAnsi="仿宋_GB2312" w:eastAsia="仿宋_GB2312" w:cs="仿宋_GB2312"/>
          <w:b w:val="0"/>
          <w:bCs w:val="0"/>
          <w:highlight w:val="none"/>
          <w:lang w:val="en-US" w:eastAsia="zh-CN"/>
        </w:rPr>
        <w:t>4</w:t>
      </w:r>
      <w:r>
        <w:rPr>
          <w:rFonts w:hint="eastAsia" w:ascii="仿宋_GB2312" w:hAnsi="仿宋_GB2312" w:eastAsia="仿宋_GB2312" w:cs="仿宋_GB2312"/>
          <w:b w:val="0"/>
          <w:bCs w:val="0"/>
          <w:highlight w:val="none"/>
        </w:rPr>
        <w:t>、绩效评价</w:t>
      </w:r>
      <w:r>
        <w:rPr>
          <w:rFonts w:hint="eastAsia" w:ascii="仿宋_GB2312" w:hAnsi="仿宋_GB2312" w:eastAsia="仿宋_GB2312" w:cs="仿宋_GB2312"/>
          <w:b w:val="0"/>
          <w:bCs w:val="0"/>
          <w:highlight w:val="none"/>
          <w:lang w:val="en-US" w:eastAsia="zh-CN"/>
        </w:rPr>
        <w:t>标准</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绩效评价标准通常包括计划标准、行业标准、历史标准等，用于对绩效指标完成情况进行比较。本次评价主要采用了计划标准和行业标准。</w:t>
      </w:r>
    </w:p>
    <w:p>
      <w:pPr>
        <w:pageBreakBefore w:val="0"/>
        <w:kinsoku/>
        <w:wordWrap/>
        <w:overflowPunct/>
        <w:topLinePunct w:val="0"/>
        <w:autoSpaceDE/>
        <w:autoSpaceDN/>
        <w:bidi w:val="0"/>
        <w:adjustRightInd/>
        <w:snapToGrid/>
        <w:spacing w:line="560" w:lineRule="exact"/>
        <w:ind w:left="0" w:firstLine="711" w:firstLineChars="200"/>
        <w:rPr>
          <w:rFonts w:hint="eastAsia" w:ascii="仿宋_GB2312" w:hAnsi="仿宋_GB2312" w:eastAsia="仿宋_GB2312" w:cs="仿宋_GB2312"/>
          <w:b w:val="0"/>
          <w:bCs w:val="0"/>
          <w:color w:val="000000"/>
          <w:spacing w:val="17"/>
          <w:kern w:val="2"/>
          <w:sz w:val="32"/>
          <w:szCs w:val="32"/>
          <w:highlight w:val="none"/>
          <w:lang w:val="en-US" w:eastAsia="zh-CN" w:bidi="ar-SA"/>
        </w:rPr>
      </w:pPr>
      <w:r>
        <w:rPr>
          <w:rFonts w:hint="eastAsia" w:ascii="仿宋_GB2312" w:hAnsi="仿宋_GB2312" w:eastAsia="仿宋_GB2312" w:cs="仿宋_GB2312"/>
          <w:b/>
          <w:bCs/>
          <w:color w:val="000000"/>
          <w:spacing w:val="17"/>
          <w:kern w:val="2"/>
          <w:sz w:val="32"/>
          <w:szCs w:val="32"/>
          <w:highlight w:val="none"/>
          <w:lang w:val="en-US" w:eastAsia="zh-CN" w:bidi="ar-SA"/>
        </w:rPr>
        <w:t>（三）绩效评价工作过程</w:t>
      </w:r>
      <w:r>
        <w:rPr>
          <w:rFonts w:hint="eastAsia" w:ascii="仿宋_GB2312" w:hAnsi="仿宋_GB2312" w:eastAsia="仿宋_GB2312" w:cs="仿宋_GB2312"/>
          <w:b w:val="0"/>
          <w:bCs w:val="0"/>
          <w:color w:val="000000"/>
          <w:spacing w:val="17"/>
          <w:kern w:val="2"/>
          <w:sz w:val="32"/>
          <w:szCs w:val="32"/>
          <w:highlight w:val="none"/>
          <w:lang w:val="en-US" w:eastAsia="zh-CN" w:bidi="ar-SA"/>
        </w:rPr>
        <w:t>。</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highlight w:val="none"/>
          <w:lang w:val="en-US" w:eastAsia="zh-CN"/>
        </w:rPr>
      </w:pPr>
      <w:r>
        <w:rPr>
          <w:rFonts w:hint="default" w:ascii="仿宋_GB2312" w:hAnsi="仿宋_GB2312" w:eastAsia="仿宋_GB2312" w:cs="仿宋_GB2312"/>
          <w:color w:val="000000"/>
          <w:spacing w:val="17"/>
          <w:sz w:val="32"/>
          <w:szCs w:val="32"/>
          <w:highlight w:val="none"/>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highlight w:val="none"/>
          <w:lang w:val="en-US" w:eastAsia="zh-CN"/>
        </w:rPr>
      </w:pPr>
      <w:r>
        <w:rPr>
          <w:rFonts w:hint="default" w:ascii="仿宋_GB2312" w:hAnsi="仿宋_GB2312" w:eastAsia="仿宋_GB2312" w:cs="仿宋_GB2312"/>
          <w:color w:val="000000"/>
          <w:spacing w:val="17"/>
          <w:sz w:val="32"/>
          <w:szCs w:val="32"/>
          <w:highlight w:val="none"/>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highlight w:val="none"/>
          <w:lang w:val="en-US" w:eastAsia="zh-CN"/>
        </w:rPr>
      </w:pPr>
      <w:r>
        <w:rPr>
          <w:rFonts w:hint="default" w:ascii="仿宋_GB2312" w:hAnsi="仿宋_GB2312" w:eastAsia="仿宋_GB2312" w:cs="仿宋_GB2312"/>
          <w:color w:val="000000"/>
          <w:spacing w:val="17"/>
          <w:sz w:val="32"/>
          <w:szCs w:val="32"/>
          <w:highlight w:val="none"/>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4"/>
        </w:numPr>
        <w:kinsoku/>
        <w:wordWrap/>
        <w:overflowPunct/>
        <w:topLinePunct w:val="0"/>
        <w:autoSpaceDE/>
        <w:autoSpaceDN/>
        <w:bidi w:val="0"/>
        <w:adjustRightInd/>
        <w:snapToGrid/>
        <w:spacing w:line="560" w:lineRule="exact"/>
        <w:ind w:firstLine="641"/>
        <w:rPr>
          <w:rFonts w:ascii="黑体" w:hAnsi="黑体" w:eastAsia="黑体" w:cs="黑体"/>
          <w:sz w:val="32"/>
          <w:szCs w:val="32"/>
          <w:highlight w:val="none"/>
        </w:rPr>
      </w:pPr>
      <w:r>
        <w:rPr>
          <w:rFonts w:hint="eastAsia" w:ascii="黑体" w:hAnsi="黑体" w:eastAsia="黑体" w:cs="黑体"/>
          <w:sz w:val="32"/>
          <w:szCs w:val="32"/>
          <w:highlight w:val="none"/>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exact"/>
        <w:ind w:firstLine="641"/>
        <w:jc w:val="both"/>
        <w:outlineLvl w:val="9"/>
        <w:rPr>
          <w:rFonts w:hint="eastAsia" w:ascii="仿宋_GB2312" w:hAnsi="仿宋_GB2312" w:eastAsia="仿宋_GB2312" w:cs="仿宋_GB2312"/>
          <w:b w:val="0"/>
          <w:bCs w:val="0"/>
          <w:highlight w:val="none"/>
          <w:lang w:val="en-US" w:eastAsia="zh-CN"/>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招商引资项目前期费</w:t>
      </w:r>
      <w:r>
        <w:rPr>
          <w:rFonts w:hint="eastAsia" w:ascii="仿宋_GB2312" w:hAnsi="仿宋_GB2312" w:eastAsia="仿宋_GB2312" w:cs="仿宋_GB2312"/>
          <w:b w:val="0"/>
          <w:bCs w:val="0"/>
          <w:highlight w:val="none"/>
        </w:rPr>
        <w:t xml:space="preserve">项目进行客观评价，最终评分结果：总得分为 </w:t>
      </w:r>
      <w:r>
        <w:rPr>
          <w:rFonts w:hint="eastAsia" w:ascii="仿宋_GB2312" w:hAnsi="仿宋_GB2312" w:eastAsia="仿宋_GB2312" w:cs="仿宋_GB2312"/>
          <w:b w:val="0"/>
          <w:bCs w:val="0"/>
          <w:highlight w:val="none"/>
          <w:lang w:val="en-US" w:eastAsia="zh-CN"/>
        </w:rPr>
        <w:t>95.68</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100%。项目过程类指标权重为5分，得分为5 分，得分率为 100%。项目产出类指标权重为50分，得分为</w:t>
      </w:r>
      <w:r>
        <w:rPr>
          <w:rFonts w:hint="eastAsia" w:ascii="仿宋_GB2312" w:hAnsi="仿宋_GB2312" w:eastAsia="仿宋_GB2312" w:cs="仿宋_GB2312"/>
          <w:b w:val="0"/>
          <w:bCs w:val="0"/>
          <w:highlight w:val="none"/>
          <w:lang w:val="en-US" w:eastAsia="zh-CN"/>
        </w:rPr>
        <w:t>45.68</w:t>
      </w:r>
      <w:r>
        <w:rPr>
          <w:rFonts w:hint="eastAsia" w:ascii="仿宋_GB2312" w:hAnsi="仿宋_GB2312" w:eastAsia="仿宋_GB2312" w:cs="仿宋_GB2312"/>
          <w:b w:val="0"/>
          <w:bCs w:val="0"/>
          <w:highlight w:val="none"/>
        </w:rPr>
        <w:t>分，得分率为</w:t>
      </w:r>
      <w:r>
        <w:rPr>
          <w:rFonts w:hint="eastAsia" w:ascii="仿宋_GB2312" w:hAnsi="仿宋_GB2312" w:eastAsia="仿宋_GB2312" w:cs="仿宋_GB2312"/>
          <w:b w:val="0"/>
          <w:bCs w:val="0"/>
          <w:highlight w:val="none"/>
          <w:lang w:val="en-US" w:eastAsia="zh-CN"/>
        </w:rPr>
        <w:t>91.36</w:t>
      </w:r>
      <w:r>
        <w:rPr>
          <w:rFonts w:hint="eastAsia" w:ascii="仿宋_GB2312" w:hAnsi="仿宋_GB2312" w:eastAsia="仿宋_GB2312" w:cs="仿宋_GB2312"/>
          <w:b w:val="0"/>
          <w:bCs w:val="0"/>
          <w:highlight w:val="none"/>
        </w:rPr>
        <w:t>%。项目效益类指标权重为40分，得分为</w:t>
      </w:r>
      <w:r>
        <w:rPr>
          <w:rFonts w:hint="eastAsia" w:ascii="仿宋_GB2312" w:hAnsi="仿宋_GB2312" w:eastAsia="仿宋_GB2312" w:cs="仿宋_GB2312"/>
          <w:b w:val="0"/>
          <w:bCs w:val="0"/>
          <w:highlight w:val="none"/>
          <w:lang w:val="en-US" w:eastAsia="zh-CN"/>
        </w:rPr>
        <w:t>40</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w:t>
      </w:r>
    </w:p>
    <w:p>
      <w:pPr>
        <w:pStyle w:val="2"/>
        <w:pageBreakBefore w:val="0"/>
        <w:kinsoku/>
        <w:wordWrap/>
        <w:overflowPunct/>
        <w:topLinePunct w:val="0"/>
        <w:autoSpaceDE/>
        <w:autoSpaceDN/>
        <w:bidi w:val="0"/>
        <w:adjustRightInd/>
        <w:snapToGrid/>
        <w:spacing w:before="0" w:after="0" w:line="560" w:lineRule="exact"/>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表</w:t>
      </w:r>
      <w:r>
        <w:rPr>
          <w:rFonts w:hint="eastAsia" w:ascii="仿宋_GB2312" w:hAnsi="仿宋_GB2312" w:eastAsia="仿宋_GB2312" w:cs="仿宋_GB2312"/>
          <w:sz w:val="30"/>
          <w:szCs w:val="30"/>
          <w:highlight w:val="none"/>
          <w:lang w:val="en-US" w:eastAsia="zh-CN"/>
        </w:rPr>
        <w:t>1</w:t>
      </w:r>
      <w:r>
        <w:rPr>
          <w:rFonts w:hint="eastAsia" w:ascii="仿宋_GB2312" w:hAnsi="仿宋_GB2312" w:eastAsia="仿宋_GB2312" w:cs="仿宋_GB2312"/>
          <w:sz w:val="30"/>
          <w:szCs w:val="30"/>
          <w:highlight w:val="none"/>
        </w:rPr>
        <w:t>综合评分表</w:t>
      </w:r>
    </w:p>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决策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kern w:val="0"/>
                <w:sz w:val="22"/>
                <w:szCs w:val="22"/>
                <w:highlight w:val="none"/>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过程</w:t>
            </w:r>
          </w:p>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kern w:val="0"/>
                <w:sz w:val="22"/>
                <w:szCs w:val="22"/>
                <w:highlight w:val="none"/>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auto"/>
                <w:kern w:val="0"/>
                <w:sz w:val="22"/>
                <w:szCs w:val="22"/>
                <w:highlight w:val="none"/>
                <w:lang w:val="en-US" w:eastAsia="zh-CN" w:bidi="ar-SA"/>
              </w:rPr>
            </w:pPr>
            <w:r>
              <w:rPr>
                <w:rFonts w:hint="eastAsia" w:ascii="宋体" w:hAnsi="宋体" w:cs="宋体"/>
                <w:color w:val="auto"/>
                <w:kern w:val="0"/>
                <w:sz w:val="22"/>
                <w:szCs w:val="22"/>
                <w:highlight w:val="none"/>
                <w:lang w:val="en-US" w:eastAsia="zh-CN"/>
              </w:rPr>
              <w:t>=78.2%</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78.2%</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auto"/>
                <w:kern w:val="0"/>
                <w:sz w:val="22"/>
                <w:szCs w:val="22"/>
                <w:highlight w:val="none"/>
                <w:lang w:val="en-US" w:eastAsia="zh-CN" w:bidi="ar-SA"/>
              </w:rPr>
            </w:pPr>
            <w:r>
              <w:rPr>
                <w:rFonts w:hint="eastAsia" w:ascii="宋体" w:hAnsi="宋体" w:cs="宋体"/>
                <w:color w:val="auto"/>
                <w:kern w:val="0"/>
                <w:sz w:val="22"/>
                <w:szCs w:val="22"/>
                <w:highlight w:val="none"/>
                <w:lang w:val="en-US" w:eastAsia="zh-CN"/>
              </w:rPr>
              <w:t>11.73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auto"/>
                <w:kern w:val="0"/>
                <w:sz w:val="22"/>
                <w:szCs w:val="22"/>
                <w:highlight w:val="none"/>
                <w:lang w:val="en-US" w:eastAsia="zh-CN" w:bidi="ar-SA"/>
              </w:rPr>
            </w:pPr>
            <w:r>
              <w:rPr>
                <w:rFonts w:hint="eastAsia" w:ascii="宋体" w:hAnsi="宋体" w:cs="宋体"/>
                <w:color w:val="auto"/>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auto"/>
                <w:kern w:val="0"/>
                <w:sz w:val="22"/>
                <w:szCs w:val="22"/>
                <w:highlight w:val="none"/>
                <w:lang w:val="en-US" w:eastAsia="zh-CN" w:bidi="ar-SA"/>
              </w:rPr>
            </w:pPr>
            <w:r>
              <w:rPr>
                <w:rFonts w:hint="eastAsia" w:ascii="宋体" w:hAnsi="宋体" w:cs="宋体"/>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auto"/>
                <w:kern w:val="0"/>
                <w:sz w:val="22"/>
                <w:szCs w:val="22"/>
                <w:highlight w:val="none"/>
                <w:lang w:val="en-US" w:eastAsia="zh-CN" w:bidi="ar-SA"/>
              </w:rPr>
            </w:pPr>
            <w:r>
              <w:rPr>
                <w:rFonts w:hint="eastAsia" w:ascii="宋体" w:hAnsi="宋体" w:cs="宋体"/>
                <w:color w:val="auto"/>
                <w:kern w:val="0"/>
                <w:sz w:val="22"/>
                <w:szCs w:val="22"/>
                <w:highlight w:val="none"/>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auto"/>
                <w:kern w:val="0"/>
                <w:sz w:val="22"/>
                <w:szCs w:val="22"/>
                <w:highlight w:val="none"/>
                <w:lang w:val="en-US" w:eastAsia="zh-CN" w:bidi="ar-SA"/>
              </w:rPr>
            </w:pPr>
            <w:r>
              <w:rPr>
                <w:rFonts w:hint="eastAsia" w:ascii="宋体" w:hAnsi="宋体" w:cs="宋体"/>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auto"/>
                <w:kern w:val="0"/>
                <w:sz w:val="22"/>
                <w:szCs w:val="22"/>
                <w:highlight w:val="none"/>
                <w:lang w:val="en-US" w:eastAsia="zh-CN" w:bidi="ar-SA"/>
              </w:rPr>
            </w:pPr>
            <w:r>
              <w:rPr>
                <w:rFonts w:hint="eastAsia" w:ascii="宋体" w:hAnsi="宋体" w:cs="宋体"/>
                <w:color w:val="auto"/>
                <w:kern w:val="0"/>
                <w:sz w:val="22"/>
                <w:szCs w:val="22"/>
                <w:highlight w:val="none"/>
                <w:lang w:val="en-US" w:eastAsia="zh-CN"/>
              </w:rPr>
              <w:t>89.5%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89.5%</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auto"/>
                <w:kern w:val="0"/>
                <w:sz w:val="22"/>
                <w:szCs w:val="22"/>
                <w:highlight w:val="none"/>
                <w:lang w:val="en-US" w:eastAsia="zh-CN" w:bidi="ar-SA"/>
              </w:rPr>
            </w:pPr>
            <w:r>
              <w:rPr>
                <w:rFonts w:hint="eastAsia" w:ascii="宋体" w:hAnsi="宋体" w:cs="宋体"/>
                <w:color w:val="auto"/>
                <w:kern w:val="0"/>
                <w:sz w:val="22"/>
                <w:szCs w:val="22"/>
                <w:highlight w:val="none"/>
                <w:lang w:val="en-US" w:eastAsia="zh-CN"/>
              </w:rPr>
              <w:t>8.95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实施效益</w:t>
            </w:r>
          </w:p>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eastAsia="zh-CN"/>
              </w:rPr>
              <w:t>有所提升</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eastAsia="zh-CN"/>
              </w:rPr>
              <w:t>有所提升</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eastAsia="zh-CN"/>
              </w:rPr>
            </w:pPr>
            <w:r>
              <w:rPr>
                <w:rFonts w:hint="eastAsia" w:ascii="宋体" w:hAnsi="宋体" w:cs="宋体"/>
                <w:color w:val="000000"/>
                <w:kern w:val="0"/>
                <w:sz w:val="22"/>
                <w:szCs w:val="22"/>
                <w:highlight w:val="none"/>
                <w:lang w:eastAsia="zh-CN"/>
              </w:rPr>
              <w:t>有所提升</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eastAsia="zh-CN"/>
              </w:rPr>
              <w:t>有所提升</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w:t>
            </w:r>
          </w:p>
        </w:tc>
      </w:tr>
    </w:tbl>
    <w:p>
      <w:pPr>
        <w:pageBreakBefore w:val="0"/>
        <w:kinsoku/>
        <w:wordWrap/>
        <w:overflowPunct/>
        <w:topLinePunct w:val="0"/>
        <w:autoSpaceDE/>
        <w:autoSpaceDN/>
        <w:bidi w:val="0"/>
        <w:adjustRightInd/>
        <w:snapToGrid/>
        <w:spacing w:line="560" w:lineRule="exact"/>
        <w:rPr>
          <w:highlight w:val="none"/>
        </w:rPr>
      </w:pPr>
    </w:p>
    <w:p>
      <w:pPr>
        <w:pageBreakBefore w:val="0"/>
        <w:kinsoku/>
        <w:wordWrap/>
        <w:overflowPunct/>
        <w:topLinePunct w:val="0"/>
        <w:autoSpaceDE/>
        <w:autoSpaceDN/>
        <w:bidi w:val="0"/>
        <w:adjustRightInd/>
        <w:snapToGrid/>
        <w:spacing w:line="560" w:lineRule="exact"/>
        <w:ind w:firstLine="320" w:firstLineChars="100"/>
        <w:rPr>
          <w:rFonts w:ascii="黑体" w:hAnsi="黑体" w:eastAsia="黑体"/>
          <w:sz w:val="32"/>
          <w:szCs w:val="32"/>
          <w:highlight w:val="none"/>
        </w:rPr>
      </w:pPr>
      <w:r>
        <w:rPr>
          <w:rFonts w:hint="eastAsia" w:ascii="黑体" w:hAnsi="黑体" w:eastAsia="黑体"/>
          <w:sz w:val="32"/>
          <w:szCs w:val="32"/>
          <w:highlight w:val="none"/>
        </w:rPr>
        <w:t>四、绩效评价指标分析</w:t>
      </w:r>
    </w:p>
    <w:p>
      <w:pPr>
        <w:pStyle w:val="2"/>
        <w:pageBreakBefore w:val="0"/>
        <w:kinsoku/>
        <w:wordWrap/>
        <w:overflowPunct/>
        <w:topLinePunct w:val="0"/>
        <w:autoSpaceDE/>
        <w:autoSpaceDN/>
        <w:bidi w:val="0"/>
        <w:adjustRightInd/>
        <w:snapToGrid/>
        <w:spacing w:before="0" w:after="0" w:line="560" w:lineRule="exact"/>
        <w:ind w:firstLine="321" w:firstLineChars="100"/>
        <w:jc w:val="both"/>
        <w:rPr>
          <w:rFonts w:hint="eastAsia" w:ascii="楷体_GB2312" w:hAnsi="楷体_GB2312" w:eastAsia="楷体_GB2312" w:cs="楷体_GB2312"/>
          <w:highlight w:val="none"/>
        </w:rPr>
      </w:pPr>
      <w:r>
        <w:rPr>
          <w:rFonts w:hint="eastAsia" w:ascii="楷体_GB2312" w:hAnsi="楷体_GB2312" w:eastAsia="楷体_GB2312" w:cs="楷体_GB2312"/>
          <w:highlight w:val="none"/>
        </w:rPr>
        <w:t>（一）项目决策情况</w:t>
      </w:r>
    </w:p>
    <w:p>
      <w:pPr>
        <w:pageBreakBefore w:val="0"/>
        <w:kinsoku/>
        <w:wordWrap/>
        <w:overflowPunct/>
        <w:topLinePunct w:val="0"/>
        <w:autoSpaceDE/>
        <w:autoSpaceDN/>
        <w:bidi w:val="0"/>
        <w:adjustRightInd/>
        <w:snapToGrid/>
        <w:spacing w:line="560" w:lineRule="exact"/>
        <w:ind w:firstLine="640"/>
        <w:jc w:val="center"/>
        <w:rPr>
          <w:rStyle w:val="51"/>
          <w:rFonts w:hint="eastAsia"/>
          <w:b/>
          <w:bCs/>
          <w:color w:val="auto"/>
          <w:highlight w:val="none"/>
          <w:lang w:val="en-US" w:eastAsia="zh-CN"/>
        </w:rPr>
      </w:pPr>
      <w:r>
        <w:rPr>
          <w:rStyle w:val="51"/>
          <w:rFonts w:hint="eastAsia"/>
          <w:b/>
          <w:bCs/>
          <w:color w:val="auto"/>
          <w:highlight w:val="none"/>
          <w:lang w:val="en-US" w:eastAsia="zh-CN"/>
        </w:rPr>
        <w:t>项目决策指标得分情况</w:t>
      </w:r>
    </w:p>
    <w:tbl>
      <w:tblPr>
        <w:tblStyle w:val="20"/>
        <w:tblW w:w="8569" w:type="dxa"/>
        <w:tblInd w:w="0" w:type="dxa"/>
        <w:tblLayout w:type="fixed"/>
        <w:tblCellMar>
          <w:top w:w="0" w:type="dxa"/>
          <w:left w:w="0" w:type="dxa"/>
          <w:bottom w:w="0" w:type="dxa"/>
          <w:right w:w="0" w:type="dxa"/>
        </w:tblCellMar>
      </w:tblPr>
      <w:tblGrid>
        <w:gridCol w:w="2141"/>
        <w:gridCol w:w="2142"/>
        <w:gridCol w:w="2142"/>
        <w:gridCol w:w="2144"/>
      </w:tblGrid>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
                <w:bCs/>
                <w:color w:val="000000"/>
                <w:sz w:val="28"/>
                <w:szCs w:val="28"/>
                <w:highlight w:val="none"/>
              </w:rPr>
            </w:pPr>
            <w:r>
              <w:rPr>
                <w:rFonts w:hint="eastAsia" w:ascii="仿宋" w:hAnsi="仿宋" w:eastAsia="仿宋" w:cs="仿宋"/>
                <w:b/>
                <w:bCs/>
                <w:color w:val="000000"/>
                <w:kern w:val="0"/>
                <w:sz w:val="28"/>
                <w:szCs w:val="28"/>
                <w:highlight w:val="none"/>
              </w:rPr>
              <w:t>三级指标</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
                <w:bCs/>
                <w:color w:val="000000"/>
                <w:sz w:val="28"/>
                <w:szCs w:val="28"/>
                <w:highlight w:val="none"/>
              </w:rPr>
            </w:pPr>
            <w:r>
              <w:rPr>
                <w:rFonts w:hint="eastAsia" w:ascii="仿宋" w:hAnsi="仿宋" w:eastAsia="仿宋" w:cs="仿宋"/>
                <w:b/>
                <w:bCs/>
                <w:color w:val="000000"/>
                <w:kern w:val="0"/>
                <w:sz w:val="28"/>
                <w:szCs w:val="28"/>
                <w:highlight w:val="none"/>
              </w:rPr>
              <w:t>权重</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
                <w:bCs/>
                <w:color w:val="000000"/>
                <w:sz w:val="28"/>
                <w:szCs w:val="28"/>
                <w:highlight w:val="none"/>
              </w:rPr>
            </w:pPr>
            <w:r>
              <w:rPr>
                <w:rFonts w:hint="eastAsia" w:ascii="仿宋" w:hAnsi="仿宋" w:eastAsia="仿宋" w:cs="仿宋"/>
                <w:b/>
                <w:bCs/>
                <w:color w:val="000000"/>
                <w:kern w:val="0"/>
                <w:sz w:val="28"/>
                <w:szCs w:val="28"/>
                <w:highlight w:val="none"/>
              </w:rPr>
              <w:t>得分率</w:t>
            </w: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b/>
                <w:bCs/>
                <w:color w:val="000000"/>
                <w:sz w:val="28"/>
                <w:szCs w:val="28"/>
                <w:highlight w:val="none"/>
              </w:rPr>
            </w:pPr>
            <w:r>
              <w:rPr>
                <w:rFonts w:hint="eastAsia" w:ascii="仿宋" w:hAnsi="仿宋" w:eastAsia="仿宋" w:cs="仿宋"/>
                <w:b/>
                <w:bCs/>
                <w:color w:val="000000"/>
                <w:kern w:val="0"/>
                <w:sz w:val="28"/>
                <w:szCs w:val="28"/>
                <w:highlight w:val="none"/>
              </w:rPr>
              <w:t>实际得分</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立项依据充分性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lang w:val="en-US" w:eastAsia="zh-CN"/>
              </w:rPr>
              <w:t>0</w:t>
            </w:r>
            <w:r>
              <w:rPr>
                <w:rFonts w:hint="eastAsia" w:ascii="仿宋" w:hAnsi="仿宋" w:eastAsia="仿宋" w:cs="仿宋"/>
                <w:color w:val="000000"/>
                <w:kern w:val="0"/>
                <w:sz w:val="28"/>
                <w:szCs w:val="28"/>
                <w:highlight w:val="none"/>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lang w:val="en-US" w:eastAsia="zh-CN"/>
              </w:rPr>
              <w:t>0</w:t>
            </w:r>
            <w:r>
              <w:rPr>
                <w:rFonts w:hint="eastAsia" w:ascii="仿宋" w:hAnsi="仿宋" w:eastAsia="仿宋" w:cs="仿宋"/>
                <w:color w:val="000000"/>
                <w:kern w:val="0"/>
                <w:sz w:val="28"/>
                <w:szCs w:val="28"/>
                <w:highlight w:val="none"/>
              </w:rPr>
              <w:t>.5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立项程序规范性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lang w:val="en-US" w:eastAsia="zh-CN"/>
              </w:rPr>
              <w:t>0</w:t>
            </w:r>
            <w:r>
              <w:rPr>
                <w:rFonts w:hint="eastAsia" w:ascii="仿宋" w:hAnsi="仿宋" w:eastAsia="仿宋" w:cs="仿宋"/>
                <w:color w:val="000000"/>
                <w:kern w:val="0"/>
                <w:sz w:val="28"/>
                <w:szCs w:val="28"/>
                <w:highlight w:val="none"/>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lang w:val="en-US" w:eastAsia="zh-CN"/>
              </w:rPr>
              <w:t>0</w:t>
            </w:r>
            <w:r>
              <w:rPr>
                <w:rFonts w:hint="eastAsia" w:ascii="仿宋" w:hAnsi="仿宋" w:eastAsia="仿宋" w:cs="仿宋"/>
                <w:color w:val="000000"/>
                <w:kern w:val="0"/>
                <w:sz w:val="28"/>
                <w:szCs w:val="28"/>
                <w:highlight w:val="none"/>
              </w:rPr>
              <w:t>.5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绩效目标合理性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 w:hAnsi="仿宋" w:eastAsia="仿宋" w:cs="仿宋"/>
                <w:color w:val="000000"/>
                <w:sz w:val="28"/>
                <w:szCs w:val="28"/>
                <w:highlight w:val="none"/>
                <w:lang w:eastAsia="zh-CN"/>
              </w:rPr>
            </w:pPr>
            <w:r>
              <w:rPr>
                <w:rFonts w:hint="eastAsia" w:ascii="仿宋" w:hAnsi="仿宋" w:eastAsia="仿宋" w:cs="仿宋"/>
                <w:color w:val="000000"/>
                <w:kern w:val="0"/>
                <w:sz w:val="28"/>
                <w:szCs w:val="28"/>
                <w:highlight w:val="none"/>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lang w:val="en-US" w:eastAsia="zh-CN"/>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绩效指标明确性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 w:hAnsi="仿宋" w:eastAsia="仿宋" w:cs="仿宋"/>
                <w:color w:val="000000"/>
                <w:sz w:val="28"/>
                <w:szCs w:val="28"/>
                <w:highlight w:val="none"/>
                <w:lang w:eastAsia="zh-CN"/>
              </w:rPr>
            </w:pPr>
            <w:r>
              <w:rPr>
                <w:rFonts w:hint="eastAsia" w:ascii="仿宋" w:hAnsi="仿宋" w:eastAsia="仿宋" w:cs="仿宋"/>
                <w:color w:val="000000"/>
                <w:kern w:val="0"/>
                <w:sz w:val="28"/>
                <w:szCs w:val="28"/>
                <w:highlight w:val="none"/>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lang w:val="en-US" w:eastAsia="zh-CN"/>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预算编制科学性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 w:hAnsi="仿宋" w:eastAsia="仿宋" w:cs="仿宋"/>
                <w:color w:val="000000"/>
                <w:sz w:val="28"/>
                <w:szCs w:val="28"/>
                <w:highlight w:val="none"/>
                <w:lang w:eastAsia="zh-CN"/>
              </w:rPr>
            </w:pPr>
            <w:r>
              <w:rPr>
                <w:rFonts w:hint="eastAsia" w:ascii="仿宋" w:hAnsi="仿宋" w:eastAsia="仿宋" w:cs="仿宋"/>
                <w:color w:val="000000"/>
                <w:kern w:val="0"/>
                <w:sz w:val="28"/>
                <w:szCs w:val="28"/>
                <w:highlight w:val="none"/>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资金分配合理性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 w:hAnsi="仿宋" w:eastAsia="仿宋" w:cs="仿宋"/>
                <w:color w:val="000000"/>
                <w:sz w:val="28"/>
                <w:szCs w:val="28"/>
                <w:highlight w:val="none"/>
                <w:lang w:eastAsia="zh-CN"/>
              </w:rPr>
            </w:pPr>
            <w:r>
              <w:rPr>
                <w:rFonts w:hint="eastAsia" w:ascii="仿宋" w:hAnsi="仿宋" w:eastAsia="仿宋" w:cs="仿宋"/>
                <w:color w:val="000000"/>
                <w:kern w:val="0"/>
                <w:sz w:val="28"/>
                <w:szCs w:val="28"/>
                <w:highlight w:val="none"/>
                <w:lang w:val="en-US" w:eastAsia="zh-CN"/>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lang w:val="en-US" w:eastAsia="zh-CN"/>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both"/>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合计</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5</w:t>
            </w:r>
          </w:p>
        </w:tc>
      </w:tr>
    </w:tbl>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highlight w:val="none"/>
          <w:lang w:val="zh-TW" w:eastAsia="zh-CN"/>
        </w:rPr>
      </w:pPr>
      <w:r>
        <w:rPr>
          <w:rFonts w:hint="eastAsia" w:ascii="仿宋_GB2312" w:hAnsi="仿宋_GB2312" w:eastAsia="仿宋_GB2312" w:cs="仿宋_GB2312"/>
          <w:color w:val="000000"/>
          <w:spacing w:val="17"/>
          <w:sz w:val="32"/>
          <w:szCs w:val="32"/>
          <w:highlight w:val="none"/>
          <w:lang w:val="zh-TW" w:eastAsia="zh-CN"/>
        </w:rPr>
        <w:t>单位根据下达相关文件支出项目资金；</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项目立项与我单位部门职责范围相符，属于部门履职所需；</w:t>
      </w:r>
    </w:p>
    <w:p>
      <w:pPr>
        <w:pageBreakBefore w:val="0"/>
        <w:kinsoku/>
        <w:wordWrap/>
        <w:overflowPunct/>
        <w:topLinePunct w:val="0"/>
        <w:autoSpaceDE/>
        <w:autoSpaceDN/>
        <w:bidi w:val="0"/>
        <w:adjustRightInd/>
        <w:snapToGrid/>
        <w:spacing w:line="560" w:lineRule="exact"/>
        <w:ind w:firstLine="641"/>
        <w:rPr>
          <w:rFonts w:hint="default" w:ascii="仿宋_GB2312" w:hAnsi="仿宋_GB2312" w:eastAsia="仿宋_GB2312" w:cs="仿宋_GB2312"/>
          <w:color w:val="000000"/>
          <w:spacing w:val="17"/>
          <w:sz w:val="32"/>
          <w:szCs w:val="32"/>
          <w:highlight w:val="none"/>
          <w:lang w:val="en-US" w:eastAsia="zh-CN"/>
        </w:rPr>
      </w:pPr>
      <w:r>
        <w:rPr>
          <w:rFonts w:hint="default" w:ascii="仿宋_GB2312" w:hAnsi="仿宋_GB2312" w:eastAsia="仿宋_GB2312" w:cs="仿宋_GB2312"/>
          <w:color w:val="000000"/>
          <w:spacing w:val="17"/>
          <w:sz w:val="32"/>
          <w:szCs w:val="32"/>
          <w:highlight w:val="none"/>
          <w:lang w:val="en-US" w:eastAsia="zh-CN"/>
        </w:rPr>
        <w:t>项目属于</w:t>
      </w:r>
      <w:r>
        <w:rPr>
          <w:rFonts w:hint="eastAsia" w:ascii="仿宋_GB2312" w:hAnsi="仿宋_GB2312" w:eastAsia="仿宋_GB2312" w:cs="仿宋_GB2312"/>
          <w:color w:val="000000"/>
          <w:spacing w:val="17"/>
          <w:sz w:val="32"/>
          <w:szCs w:val="32"/>
          <w:highlight w:val="none"/>
          <w:lang w:val="en-US" w:eastAsia="zh-CN"/>
        </w:rPr>
        <w:t>地区重点项目筹集资金范畴</w:t>
      </w:r>
      <w:r>
        <w:rPr>
          <w:rFonts w:hint="default" w:ascii="仿宋_GB2312" w:hAnsi="仿宋_GB2312" w:eastAsia="仿宋_GB2312" w:cs="仿宋_GB2312"/>
          <w:color w:val="000000"/>
          <w:spacing w:val="17"/>
          <w:sz w:val="32"/>
          <w:szCs w:val="32"/>
          <w:highlight w:val="none"/>
          <w:lang w:val="en-US" w:eastAsia="zh-CN"/>
        </w:rPr>
        <w:t>：财政下达文件，拨付资金，我单位规范项目资金管理，按照规定支付项目资金，与预算确定的项目投资额或资金量相匹配，预算项目资金</w:t>
      </w:r>
      <w:r>
        <w:rPr>
          <w:rFonts w:hint="eastAsia" w:ascii="仿宋_GB2312" w:hAnsi="仿宋_GB2312" w:eastAsia="仿宋_GB2312" w:cs="仿宋_GB2312"/>
          <w:color w:val="000000"/>
          <w:spacing w:val="17"/>
          <w:sz w:val="32"/>
          <w:szCs w:val="32"/>
          <w:highlight w:val="none"/>
          <w:lang w:val="en-US" w:eastAsia="zh-CN"/>
        </w:rPr>
        <w:t>22.1</w:t>
      </w:r>
      <w:r>
        <w:rPr>
          <w:rFonts w:hint="default" w:ascii="仿宋_GB2312" w:hAnsi="仿宋_GB2312" w:eastAsia="仿宋_GB2312" w:cs="仿宋_GB2312"/>
          <w:color w:val="000000"/>
          <w:spacing w:val="17"/>
          <w:sz w:val="32"/>
          <w:szCs w:val="32"/>
          <w:highlight w:val="none"/>
          <w:lang w:val="en-US" w:eastAsia="zh-CN"/>
        </w:rPr>
        <w:t>万元，支出</w:t>
      </w:r>
      <w:r>
        <w:rPr>
          <w:rFonts w:hint="eastAsia" w:ascii="仿宋_GB2312" w:hAnsi="仿宋_GB2312" w:eastAsia="仿宋_GB2312" w:cs="仿宋_GB2312"/>
          <w:color w:val="000000"/>
          <w:spacing w:val="17"/>
          <w:sz w:val="32"/>
          <w:szCs w:val="32"/>
          <w:highlight w:val="none"/>
          <w:lang w:val="en-US" w:eastAsia="zh-CN"/>
        </w:rPr>
        <w:t>22.1</w:t>
      </w:r>
      <w:r>
        <w:rPr>
          <w:rFonts w:hint="default" w:ascii="仿宋_GB2312" w:hAnsi="仿宋_GB2312" w:eastAsia="仿宋_GB2312" w:cs="仿宋_GB2312"/>
          <w:color w:val="000000"/>
          <w:spacing w:val="17"/>
          <w:sz w:val="32"/>
          <w:szCs w:val="32"/>
          <w:highlight w:val="none"/>
          <w:lang w:val="en-US" w:eastAsia="zh-CN"/>
        </w:rPr>
        <w:t>万元。支付</w:t>
      </w:r>
      <w:r>
        <w:rPr>
          <w:rFonts w:hint="eastAsia" w:ascii="仿宋_GB2312" w:hAnsi="仿宋_GB2312" w:eastAsia="仿宋_GB2312" w:cs="仿宋_GB2312"/>
          <w:color w:val="000000"/>
          <w:spacing w:val="17"/>
          <w:sz w:val="32"/>
          <w:szCs w:val="32"/>
          <w:highlight w:val="none"/>
          <w:lang w:val="en-US" w:eastAsia="zh-CN"/>
        </w:rPr>
        <w:t>主要包括差旅费、办公费、公务用车运行维护费、公务接待费、会议费等</w:t>
      </w:r>
      <w:r>
        <w:rPr>
          <w:rFonts w:hint="default" w:ascii="仿宋_GB2312" w:hAnsi="仿宋_GB2312" w:eastAsia="仿宋_GB2312" w:cs="仿宋_GB2312"/>
          <w:color w:val="000000"/>
          <w:spacing w:val="17"/>
          <w:sz w:val="32"/>
          <w:szCs w:val="32"/>
          <w:highlight w:val="none"/>
          <w:lang w:val="en-US" w:eastAsia="zh-CN"/>
        </w:rPr>
        <w:t>。</w:t>
      </w:r>
    </w:p>
    <w:p>
      <w:pPr>
        <w:pageBreakBefore w:val="0"/>
        <w:kinsoku/>
        <w:wordWrap/>
        <w:overflowPunct/>
        <w:topLinePunct w:val="0"/>
        <w:autoSpaceDE/>
        <w:autoSpaceDN/>
        <w:bidi w:val="0"/>
        <w:adjustRightInd/>
        <w:snapToGrid/>
        <w:spacing w:line="560" w:lineRule="exact"/>
        <w:ind w:firstLine="708" w:firstLineChars="200"/>
        <w:rPr>
          <w:rFonts w:hint="default" w:eastAsia="楷体_GB2312"/>
          <w:sz w:val="36"/>
          <w:szCs w:val="44"/>
          <w:highlight w:val="none"/>
          <w:lang w:val="en-US" w:eastAsia="zh-CN"/>
        </w:rPr>
      </w:pPr>
      <w:r>
        <w:rPr>
          <w:rFonts w:hint="default" w:ascii="仿宋_GB2312" w:hAnsi="仿宋_GB2312" w:eastAsia="仿宋_GB2312" w:cs="仿宋_GB2312"/>
          <w:color w:val="000000"/>
          <w:spacing w:val="17"/>
          <w:sz w:val="32"/>
          <w:szCs w:val="32"/>
          <w:highlight w:val="none"/>
          <w:lang w:val="en-US" w:eastAsia="zh-CN"/>
        </w:rPr>
        <w:t>决策项目分值:5分，实际得分5分。</w:t>
      </w:r>
    </w:p>
    <w:p>
      <w:pPr>
        <w:pStyle w:val="2"/>
        <w:pageBreakBefore w:val="0"/>
        <w:numPr>
          <w:ilvl w:val="0"/>
          <w:numId w:val="5"/>
        </w:numPr>
        <w:kinsoku/>
        <w:wordWrap/>
        <w:overflowPunct/>
        <w:topLinePunct w:val="0"/>
        <w:autoSpaceDE/>
        <w:autoSpaceDN/>
        <w:bidi w:val="0"/>
        <w:adjustRightInd/>
        <w:snapToGrid/>
        <w:spacing w:before="0" w:after="0" w:line="560" w:lineRule="exact"/>
        <w:ind w:firstLine="321" w:firstLineChars="100"/>
        <w:jc w:val="both"/>
        <w:rPr>
          <w:highlight w:val="none"/>
        </w:rPr>
      </w:pPr>
      <w:r>
        <w:rPr>
          <w:rFonts w:hint="eastAsia" w:ascii="楷体_GB2312" w:hAnsi="楷体_GB2312" w:eastAsia="楷体_GB2312" w:cs="楷体_GB2312"/>
          <w:highlight w:val="none"/>
        </w:rPr>
        <w:t>项目过程情况</w:t>
      </w:r>
    </w:p>
    <w:p>
      <w:pPr>
        <w:pageBreakBefore w:val="0"/>
        <w:kinsoku/>
        <w:wordWrap/>
        <w:overflowPunct/>
        <w:topLinePunct w:val="0"/>
        <w:autoSpaceDE/>
        <w:autoSpaceDN/>
        <w:bidi w:val="0"/>
        <w:adjustRightInd/>
        <w:snapToGrid/>
        <w:spacing w:line="560" w:lineRule="exact"/>
        <w:ind w:firstLine="640"/>
        <w:jc w:val="center"/>
        <w:rPr>
          <w:rStyle w:val="51"/>
          <w:rFonts w:hint="eastAsia"/>
          <w:b/>
          <w:bCs/>
          <w:color w:val="auto"/>
          <w:highlight w:val="none"/>
          <w:lang w:val="en-US" w:eastAsia="zh-CN"/>
        </w:rPr>
      </w:pPr>
      <w:r>
        <w:rPr>
          <w:rStyle w:val="51"/>
          <w:rFonts w:hint="eastAsia"/>
          <w:b/>
          <w:bCs/>
          <w:color w:val="auto"/>
          <w:highlight w:val="none"/>
          <w:lang w:val="en-US" w:eastAsia="zh-CN"/>
        </w:rPr>
        <w:t>项目过程指标得分情况</w:t>
      </w:r>
    </w:p>
    <w:tbl>
      <w:tblPr>
        <w:tblStyle w:val="20"/>
        <w:tblW w:w="8567" w:type="dxa"/>
        <w:tblInd w:w="0" w:type="dxa"/>
        <w:tblLayout w:type="fixed"/>
        <w:tblCellMar>
          <w:top w:w="0" w:type="dxa"/>
          <w:left w:w="0" w:type="dxa"/>
          <w:bottom w:w="0" w:type="dxa"/>
          <w:right w:w="0" w:type="dxa"/>
        </w:tblCellMar>
      </w:tblPr>
      <w:tblGrid>
        <w:gridCol w:w="2424"/>
        <w:gridCol w:w="2016"/>
        <w:gridCol w:w="2016"/>
        <w:gridCol w:w="2111"/>
      </w:tblGrid>
      <w:tr>
        <w:tblPrEx>
          <w:tblCellMar>
            <w:top w:w="0" w:type="dxa"/>
            <w:left w:w="0" w:type="dxa"/>
            <w:bottom w:w="0" w:type="dxa"/>
            <w:right w:w="0" w:type="dxa"/>
          </w:tblCellMar>
        </w:tblPrEx>
        <w:trPr>
          <w:trHeight w:val="450"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2" w:firstLineChars="200"/>
              <w:jc w:val="center"/>
              <w:textAlignment w:val="center"/>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kern w:val="0"/>
                <w:sz w:val="28"/>
                <w:szCs w:val="28"/>
                <w:highlight w:val="none"/>
              </w:rPr>
              <w:t>三级指标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2" w:firstLineChars="200"/>
              <w:jc w:val="left"/>
              <w:textAlignment w:val="center"/>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kern w:val="0"/>
                <w:sz w:val="28"/>
                <w:szCs w:val="28"/>
                <w:highlight w:val="none"/>
              </w:rPr>
              <w:t>权重</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2" w:firstLineChars="200"/>
              <w:jc w:val="left"/>
              <w:textAlignment w:val="center"/>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kern w:val="0"/>
                <w:sz w:val="28"/>
                <w:szCs w:val="28"/>
                <w:highlight w:val="none"/>
              </w:rPr>
              <w:t>得分率</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2" w:firstLineChars="200"/>
              <w:jc w:val="left"/>
              <w:textAlignment w:val="center"/>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kern w:val="0"/>
                <w:sz w:val="28"/>
                <w:szCs w:val="28"/>
                <w:highlight w:val="none"/>
              </w:rPr>
              <w:t>实际得分</w:t>
            </w:r>
          </w:p>
        </w:tc>
      </w:tr>
      <w:tr>
        <w:tblPrEx>
          <w:tblCellMar>
            <w:top w:w="0" w:type="dxa"/>
            <w:left w:w="0" w:type="dxa"/>
            <w:bottom w:w="0" w:type="dxa"/>
            <w:right w:w="0" w:type="dxa"/>
          </w:tblCellMar>
        </w:tblPrEx>
        <w:trPr>
          <w:trHeight w:val="31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资金到位率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615"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预算执行率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100</w:t>
            </w:r>
            <w:r>
              <w:rPr>
                <w:rFonts w:hint="eastAsia" w:ascii="仿宋_GB2312" w:hAnsi="仿宋_GB2312" w:eastAsia="仿宋_GB2312" w:cs="仿宋_GB2312"/>
                <w:color w:val="000000"/>
                <w:kern w:val="0"/>
                <w:sz w:val="28"/>
                <w:szCs w:val="28"/>
                <w:highlight w:val="none"/>
              </w:rPr>
              <w:t>%</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资金使用合规性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管理制度健全性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制度执行</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合计</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5</w:t>
            </w:r>
          </w:p>
        </w:tc>
      </w:tr>
    </w:tbl>
    <w:p>
      <w:pPr>
        <w:pStyle w:val="52"/>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rPr>
          <w:rFonts w:hint="eastAsia" w:ascii="仿宋_GB2312" w:hAnsi="华文仿宋" w:eastAsia="仿宋_GB2312" w:cs="Times New Roman"/>
          <w:kern w:val="2"/>
          <w:sz w:val="32"/>
          <w:szCs w:val="32"/>
          <w:highlight w:val="none"/>
          <w:lang w:val="en-US" w:eastAsia="zh-CN" w:bidi="ar-SA"/>
        </w:rPr>
      </w:pPr>
      <w:r>
        <w:rPr>
          <w:rFonts w:hint="eastAsia" w:ascii="仿宋_GB2312" w:hAnsi="华文仿宋" w:eastAsia="仿宋_GB2312" w:cs="Times New Roman"/>
          <w:kern w:val="2"/>
          <w:sz w:val="32"/>
          <w:szCs w:val="32"/>
          <w:highlight w:val="none"/>
          <w:lang w:val="en-US" w:eastAsia="zh-CN" w:bidi="ar-SA"/>
        </w:rPr>
        <w:t>（1）资金到位率：</w:t>
      </w:r>
    </w:p>
    <w:p>
      <w:pPr>
        <w:pStyle w:val="52"/>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rPr>
          <w:rFonts w:hint="eastAsia" w:ascii="仿宋_GB2312" w:hAnsi="华文仿宋" w:eastAsia="仿宋_GB2312" w:cs="Times New Roman"/>
          <w:kern w:val="2"/>
          <w:sz w:val="32"/>
          <w:szCs w:val="32"/>
          <w:highlight w:val="none"/>
          <w:lang w:val="en-US" w:eastAsia="zh-CN" w:bidi="ar-SA"/>
        </w:rPr>
      </w:pPr>
      <w:r>
        <w:rPr>
          <w:rFonts w:hint="eastAsia" w:ascii="仿宋_GB2312" w:hAnsi="华文仿宋" w:eastAsia="仿宋_GB2312" w:cs="Times New Roman"/>
          <w:kern w:val="2"/>
          <w:sz w:val="32"/>
          <w:szCs w:val="32"/>
          <w:highlight w:val="none"/>
          <w:lang w:val="en-US" w:eastAsia="zh-CN" w:bidi="ar-SA"/>
        </w:rPr>
        <w:t>预算资金：22.1万元，实际到位资金：22.1万元。</w:t>
      </w:r>
    </w:p>
    <w:p>
      <w:pPr>
        <w:pStyle w:val="52"/>
        <w:keepNext w:val="0"/>
        <w:keepLines w:val="0"/>
        <w:pageBreakBefore w:val="0"/>
        <w:kinsoku/>
        <w:wordWrap/>
        <w:overflowPunct/>
        <w:topLinePunct w:val="0"/>
        <w:autoSpaceDE/>
        <w:autoSpaceDN/>
        <w:bidi w:val="0"/>
        <w:adjustRightInd/>
        <w:snapToGrid/>
        <w:spacing w:line="560" w:lineRule="exact"/>
        <w:ind w:left="210" w:leftChars="100" w:right="210" w:rightChars="100" w:firstLine="640" w:firstLineChars="200"/>
        <w:jc w:val="left"/>
        <w:rPr>
          <w:rFonts w:hint="eastAsia" w:ascii="仿宋_GB2312" w:hAnsi="华文仿宋" w:eastAsia="仿宋_GB2312" w:cs="Times New Roman"/>
          <w:kern w:val="2"/>
          <w:sz w:val="32"/>
          <w:szCs w:val="32"/>
          <w:highlight w:val="none"/>
          <w:lang w:val="en-US" w:eastAsia="zh-CN" w:bidi="ar-SA"/>
        </w:rPr>
      </w:pPr>
      <w:r>
        <w:rPr>
          <w:rFonts w:hint="eastAsia" w:ascii="仿宋_GB2312" w:hAnsi="华文仿宋" w:eastAsia="仿宋_GB2312" w:cs="Times New Roman"/>
          <w:kern w:val="2"/>
          <w:sz w:val="32"/>
          <w:szCs w:val="32"/>
          <w:highlight w:val="none"/>
          <w:lang w:val="en-US" w:eastAsia="zh-CN" w:bidi="ar-SA"/>
        </w:rPr>
        <w:t>（2）资金执行率：资金执行率=100%</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实际到位</w:t>
      </w:r>
      <w:r>
        <w:rPr>
          <w:rFonts w:hint="eastAsia" w:ascii="仿宋_GB2312" w:hAnsi="仿宋_GB2312" w:eastAsia="仿宋_GB2312" w:cs="仿宋_GB2312"/>
          <w:color w:val="000000"/>
          <w:spacing w:val="17"/>
          <w:sz w:val="32"/>
          <w:szCs w:val="32"/>
          <w:highlight w:val="none"/>
          <w:lang w:val="zh-TW" w:eastAsia="zh-CN"/>
        </w:rPr>
        <w:t>资金：</w:t>
      </w:r>
      <w:r>
        <w:rPr>
          <w:rFonts w:hint="eastAsia" w:ascii="仿宋_GB2312" w:hAnsi="仿宋_GB2312" w:eastAsia="仿宋_GB2312" w:cs="仿宋_GB2312"/>
          <w:color w:val="000000"/>
          <w:spacing w:val="17"/>
          <w:sz w:val="32"/>
          <w:szCs w:val="32"/>
          <w:highlight w:val="none"/>
          <w:lang w:val="en-US" w:eastAsia="zh-CN"/>
        </w:rPr>
        <w:t>22.1</w:t>
      </w:r>
      <w:r>
        <w:rPr>
          <w:rFonts w:hint="eastAsia" w:ascii="仿宋_GB2312" w:hAnsi="仿宋_GB2312" w:eastAsia="仿宋_GB2312" w:cs="仿宋_GB2312"/>
          <w:color w:val="000000"/>
          <w:spacing w:val="17"/>
          <w:sz w:val="32"/>
          <w:szCs w:val="32"/>
          <w:highlight w:val="none"/>
          <w:lang w:val="zh-TW" w:eastAsia="zh-CN"/>
        </w:rPr>
        <w:t>万元。</w:t>
      </w:r>
      <w:r>
        <w:rPr>
          <w:rFonts w:hint="eastAsia" w:ascii="仿宋_GB2312" w:hAnsi="仿宋_GB2312" w:eastAsia="仿宋_GB2312" w:cs="仿宋_GB2312"/>
          <w:color w:val="000000"/>
          <w:spacing w:val="17"/>
          <w:sz w:val="32"/>
          <w:szCs w:val="32"/>
          <w:highlight w:val="none"/>
          <w:lang w:val="en-US" w:eastAsia="zh-CN"/>
        </w:rPr>
        <w:t xml:space="preserve"> 执行</w:t>
      </w:r>
      <w:r>
        <w:rPr>
          <w:rFonts w:hint="eastAsia" w:ascii="仿宋_GB2312" w:hAnsi="仿宋_GB2312" w:eastAsia="仿宋_GB2312" w:cs="仿宋_GB2312"/>
          <w:color w:val="000000"/>
          <w:spacing w:val="17"/>
          <w:sz w:val="32"/>
          <w:szCs w:val="32"/>
          <w:highlight w:val="none"/>
          <w:lang w:val="zh-TW" w:eastAsia="zh-CN"/>
        </w:rPr>
        <w:t>资金：</w:t>
      </w:r>
      <w:r>
        <w:rPr>
          <w:rFonts w:hint="eastAsia" w:ascii="仿宋_GB2312" w:hAnsi="仿宋_GB2312" w:eastAsia="仿宋_GB2312" w:cs="仿宋_GB2312"/>
          <w:color w:val="000000"/>
          <w:spacing w:val="17"/>
          <w:sz w:val="32"/>
          <w:szCs w:val="32"/>
          <w:highlight w:val="none"/>
          <w:lang w:val="en-US" w:eastAsia="zh-CN"/>
        </w:rPr>
        <w:t>22.1</w:t>
      </w:r>
      <w:r>
        <w:rPr>
          <w:rFonts w:hint="eastAsia" w:ascii="仿宋_GB2312" w:hAnsi="仿宋_GB2312" w:eastAsia="仿宋_GB2312" w:cs="仿宋_GB2312"/>
          <w:color w:val="000000"/>
          <w:spacing w:val="17"/>
          <w:sz w:val="32"/>
          <w:szCs w:val="32"/>
          <w:highlight w:val="none"/>
          <w:lang w:val="zh-TW" w:eastAsia="zh-CN"/>
        </w:rPr>
        <w:t>万元。</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（3）资金管理情况：</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符合国家财经法规和财务管理制度以及有关专项资金管理办法的规定；资金的拨付有完整的审批程序和手续；符合项目预算批复或合同规定的用途；我单位不存在截留、挤占、挪用、虚列支出等情况。</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组织实施情况：己制定相应的财务和业务管理制度；财务和业务管理制度合法、合规、完整。符合相关法律法规和相关管理规定；项目调整及支出调整手续完备；</w:t>
      </w:r>
    </w:p>
    <w:p>
      <w:pPr>
        <w:pageBreakBefore w:val="0"/>
        <w:kinsoku/>
        <w:wordWrap/>
        <w:overflowPunct/>
        <w:topLinePunct w:val="0"/>
        <w:autoSpaceDE/>
        <w:autoSpaceDN/>
        <w:bidi w:val="0"/>
        <w:adjustRightInd/>
        <w:snapToGrid/>
        <w:spacing w:line="560" w:lineRule="exact"/>
        <w:ind w:firstLine="641"/>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项目过程分值:5分，我单位经过自评得分：5分</w:t>
      </w:r>
    </w:p>
    <w:p>
      <w:pPr>
        <w:pStyle w:val="19"/>
        <w:pageBreakBefore w:val="0"/>
        <w:numPr>
          <w:ilvl w:val="0"/>
          <w:numId w:val="5"/>
        </w:numPr>
        <w:kinsoku/>
        <w:wordWrap/>
        <w:overflowPunct/>
        <w:topLinePunct w:val="0"/>
        <w:autoSpaceDE/>
        <w:autoSpaceDN/>
        <w:bidi w:val="0"/>
        <w:adjustRightInd/>
        <w:snapToGrid/>
        <w:spacing w:after="0" w:line="560" w:lineRule="exact"/>
        <w:ind w:firstLine="321" w:firstLineChars="100"/>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项目产出</w:t>
      </w:r>
    </w:p>
    <w:p>
      <w:pPr>
        <w:pageBreakBefore w:val="0"/>
        <w:kinsoku/>
        <w:wordWrap/>
        <w:overflowPunct/>
        <w:topLinePunct w:val="0"/>
        <w:autoSpaceDE/>
        <w:autoSpaceDN/>
        <w:bidi w:val="0"/>
        <w:adjustRightInd/>
        <w:snapToGrid/>
        <w:spacing w:line="560" w:lineRule="exact"/>
        <w:ind w:firstLine="640"/>
        <w:rPr>
          <w:rStyle w:val="51"/>
          <w:rFonts w:hint="eastAsia"/>
          <w:color w:val="auto"/>
          <w:highlight w:val="none"/>
          <w:lang w:val="en-US" w:eastAsia="zh-CN"/>
        </w:rPr>
      </w:pPr>
      <w:r>
        <w:rPr>
          <w:rStyle w:val="51"/>
          <w:rFonts w:hint="eastAsia"/>
          <w:color w:val="auto"/>
          <w:highlight w:val="none"/>
          <w:lang w:val="en-US" w:eastAsia="zh-CN"/>
        </w:rPr>
        <w:t>数量指标方面：</w:t>
      </w:r>
    </w:p>
    <w:tbl>
      <w:tblPr>
        <w:tblStyle w:val="20"/>
        <w:tblW w:w="8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8"/>
        <w:gridCol w:w="2042"/>
        <w:gridCol w:w="2041"/>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三级指标</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权重</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得分率</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实际得分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产出数量</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15</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78.2</w:t>
            </w:r>
            <w:r>
              <w:rPr>
                <w:rFonts w:hint="eastAsia" w:ascii="仿宋_GB2312" w:hAnsi="仿宋_GB2312" w:eastAsia="仿宋_GB2312" w:cs="仿宋_GB2312"/>
                <w:color w:val="000000"/>
                <w:kern w:val="0"/>
                <w:sz w:val="32"/>
                <w:szCs w:val="32"/>
                <w:highlight w:val="none"/>
              </w:rPr>
              <w:t>%</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rPr>
            </w:pPr>
            <w:r>
              <w:rPr>
                <w:rFonts w:hint="eastAsia" w:ascii="仿宋_GB2312" w:hAnsi="仿宋_GB2312" w:eastAsia="仿宋_GB2312" w:cs="仿宋_GB2312"/>
                <w:color w:val="000000"/>
                <w:kern w:val="0"/>
                <w:sz w:val="32"/>
                <w:szCs w:val="32"/>
                <w:highlight w:val="none"/>
                <w:lang w:val="en-US" w:eastAsia="zh-CN"/>
              </w:rPr>
              <w:t>11.73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产出质量</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产出时效</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15</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成本情况</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89.5</w:t>
            </w:r>
            <w:r>
              <w:rPr>
                <w:rFonts w:hint="eastAsia" w:ascii="仿宋_GB2312" w:hAnsi="仿宋_GB2312" w:eastAsia="仿宋_GB2312" w:cs="仿宋_GB2312"/>
                <w:color w:val="000000"/>
                <w:kern w:val="0"/>
                <w:sz w:val="32"/>
                <w:szCs w:val="32"/>
                <w:highlight w:val="none"/>
              </w:rPr>
              <w:t>%</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合计</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ind w:firstLine="640" w:firstLineChars="200"/>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91.36</w:t>
            </w:r>
            <w:r>
              <w:rPr>
                <w:rFonts w:hint="eastAsia" w:ascii="仿宋_GB2312" w:hAnsi="仿宋_GB2312" w:eastAsia="仿宋_GB2312" w:cs="仿宋_GB2312"/>
                <w:color w:val="000000"/>
                <w:kern w:val="0"/>
                <w:sz w:val="32"/>
                <w:szCs w:val="32"/>
                <w:highlight w:val="none"/>
              </w:rPr>
              <w:t>%</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exact"/>
              <w:jc w:val="center"/>
              <w:rPr>
                <w:rFonts w:hint="default" w:ascii="仿宋_GB2312" w:hAnsi="仿宋_GB2312" w:eastAsia="仿宋_GB2312" w:cs="仿宋_GB2312"/>
                <w:color w:val="000000"/>
                <w:kern w:val="0"/>
                <w:sz w:val="32"/>
                <w:szCs w:val="32"/>
                <w:highlight w:val="none"/>
                <w:lang w:val="en-US"/>
              </w:rPr>
            </w:pPr>
            <w:r>
              <w:rPr>
                <w:rFonts w:hint="eastAsia" w:ascii="仿宋_GB2312" w:hAnsi="仿宋_GB2312" w:eastAsia="仿宋_GB2312" w:cs="仿宋_GB2312"/>
                <w:color w:val="000000"/>
                <w:kern w:val="0"/>
                <w:sz w:val="32"/>
                <w:szCs w:val="32"/>
                <w:highlight w:val="none"/>
                <w:lang w:val="en-US" w:eastAsia="zh-CN"/>
              </w:rPr>
              <w:t>45.68</w:t>
            </w:r>
          </w:p>
        </w:tc>
      </w:tr>
    </w:tbl>
    <w:p>
      <w:pPr>
        <w:pageBreakBefore w:val="0"/>
        <w:kinsoku/>
        <w:wordWrap/>
        <w:overflowPunct/>
        <w:topLinePunct w:val="0"/>
        <w:autoSpaceDE/>
        <w:autoSpaceDN/>
        <w:bidi w:val="0"/>
        <w:adjustRightInd/>
        <w:snapToGrid/>
        <w:spacing w:line="560" w:lineRule="exact"/>
        <w:ind w:firstLine="640"/>
        <w:rPr>
          <w:rStyle w:val="22"/>
          <w:rFonts w:hint="eastAsia" w:ascii="仿宋_GB2312" w:hAnsi="仿宋_GB2312" w:eastAsia="仿宋_GB2312" w:cs="仿宋_GB2312"/>
          <w:b w:val="0"/>
          <w:bCs/>
          <w:color w:val="auto"/>
          <w:spacing w:val="-4"/>
          <w:sz w:val="32"/>
          <w:szCs w:val="32"/>
          <w:highlight w:val="none"/>
        </w:rPr>
      </w:pPr>
      <w:r>
        <w:rPr>
          <w:rStyle w:val="22"/>
          <w:rFonts w:hint="eastAsia" w:ascii="仿宋_GB2312" w:hAnsi="仿宋_GB2312" w:eastAsia="仿宋_GB2312" w:cs="仿宋_GB2312"/>
          <w:b w:val="0"/>
          <w:bCs/>
          <w:color w:val="auto"/>
          <w:spacing w:val="-4"/>
          <w:sz w:val="32"/>
          <w:szCs w:val="32"/>
          <w:highlight w:val="none"/>
        </w:rPr>
        <w:t>数量指标方面：</w:t>
      </w:r>
    </w:p>
    <w:p>
      <w:pPr>
        <w:pageBreakBefore w:val="0"/>
        <w:kinsoku/>
        <w:wordWrap/>
        <w:overflowPunct/>
        <w:topLinePunct w:val="0"/>
        <w:autoSpaceDE/>
        <w:autoSpaceDN/>
        <w:bidi w:val="0"/>
        <w:adjustRightInd/>
        <w:snapToGrid/>
        <w:spacing w:line="560" w:lineRule="exact"/>
        <w:ind w:firstLine="640"/>
        <w:rPr>
          <w:rStyle w:val="22"/>
          <w:rFonts w:hint="eastAsia" w:ascii="仿宋_GB2312" w:hAnsi="仿宋_GB2312" w:eastAsia="仿宋_GB2312" w:cs="仿宋_GB2312"/>
          <w:b w:val="0"/>
          <w:bCs/>
          <w:color w:val="auto"/>
          <w:spacing w:val="-4"/>
          <w:sz w:val="32"/>
          <w:szCs w:val="32"/>
          <w:highlight w:val="none"/>
          <w:lang w:val="en-US" w:eastAsia="zh-CN"/>
        </w:rPr>
      </w:pPr>
      <w:r>
        <w:rPr>
          <w:rStyle w:val="22"/>
          <w:rFonts w:hint="eastAsia" w:ascii="仿宋_GB2312" w:hAnsi="仿宋_GB2312" w:eastAsia="仿宋_GB2312" w:cs="仿宋_GB2312"/>
          <w:b w:val="0"/>
          <w:bCs/>
          <w:color w:val="auto"/>
          <w:spacing w:val="-4"/>
          <w:sz w:val="32"/>
          <w:szCs w:val="32"/>
          <w:highlight w:val="none"/>
          <w:lang w:eastAsia="zh-CN"/>
        </w:rPr>
        <w:t>指标</w:t>
      </w:r>
      <w:r>
        <w:rPr>
          <w:rStyle w:val="22"/>
          <w:rFonts w:hint="eastAsia" w:ascii="仿宋_GB2312" w:hAnsi="仿宋_GB2312" w:eastAsia="仿宋_GB2312" w:cs="仿宋_GB2312"/>
          <w:b w:val="0"/>
          <w:bCs/>
          <w:color w:val="auto"/>
          <w:spacing w:val="-4"/>
          <w:sz w:val="32"/>
          <w:szCs w:val="32"/>
          <w:highlight w:val="none"/>
          <w:lang w:val="en-US" w:eastAsia="zh-CN"/>
        </w:rPr>
        <w:t>1：开展网络招商项目洽谈活动，年度指标值≥5次，实际完成值10次，指标</w:t>
      </w:r>
      <w:r>
        <w:rPr>
          <w:rStyle w:val="22"/>
          <w:rFonts w:hint="eastAsia" w:ascii="仿宋_GB2312" w:hAnsi="仿宋_GB2312" w:eastAsia="仿宋_GB2312" w:cs="仿宋_GB2312"/>
          <w:b w:val="0"/>
          <w:bCs/>
          <w:color w:val="auto"/>
          <w:spacing w:val="-4"/>
          <w:sz w:val="32"/>
          <w:szCs w:val="32"/>
          <w:highlight w:val="none"/>
          <w:lang w:eastAsia="zh-CN"/>
        </w:rPr>
        <w:t>完成率</w:t>
      </w:r>
      <w:r>
        <w:rPr>
          <w:rStyle w:val="22"/>
          <w:rFonts w:hint="eastAsia" w:ascii="仿宋_GB2312" w:hAnsi="仿宋_GB2312" w:eastAsia="仿宋_GB2312" w:cs="仿宋_GB2312"/>
          <w:b w:val="0"/>
          <w:bCs/>
          <w:color w:val="auto"/>
          <w:spacing w:val="-4"/>
          <w:sz w:val="32"/>
          <w:szCs w:val="32"/>
          <w:highlight w:val="none"/>
          <w:lang w:val="en-US" w:eastAsia="zh-CN"/>
        </w:rPr>
        <w:t>200%</w:t>
      </w:r>
    </w:p>
    <w:p>
      <w:pPr>
        <w:keepNext w:val="0"/>
        <w:keepLines w:val="0"/>
        <w:pageBreakBefore w:val="0"/>
        <w:kinsoku/>
        <w:wordWrap/>
        <w:overflowPunct/>
        <w:topLinePunct w:val="0"/>
        <w:autoSpaceDE/>
        <w:autoSpaceDN/>
        <w:bidi w:val="0"/>
        <w:adjustRightInd/>
        <w:snapToGrid/>
        <w:spacing w:line="560" w:lineRule="exact"/>
        <w:ind w:firstLine="640"/>
        <w:jc w:val="left"/>
        <w:textAlignment w:val="auto"/>
        <w:rPr>
          <w:rStyle w:val="22"/>
          <w:rFonts w:hint="eastAsia" w:ascii="仿宋_GB2312" w:hAnsi="仿宋_GB2312" w:eastAsia="仿宋_GB2312" w:cs="仿宋_GB2312"/>
          <w:b w:val="0"/>
          <w:bCs/>
          <w:color w:val="auto"/>
          <w:spacing w:val="-4"/>
          <w:sz w:val="32"/>
          <w:szCs w:val="32"/>
          <w:highlight w:val="none"/>
          <w:lang w:val="en-US" w:eastAsia="zh-CN"/>
        </w:rPr>
      </w:pPr>
      <w:r>
        <w:rPr>
          <w:rStyle w:val="22"/>
          <w:rFonts w:hint="eastAsia" w:ascii="仿宋_GB2312" w:hAnsi="仿宋_GB2312" w:eastAsia="仿宋_GB2312" w:cs="仿宋_GB2312"/>
          <w:b w:val="0"/>
          <w:bCs/>
          <w:color w:val="auto"/>
          <w:spacing w:val="-4"/>
          <w:sz w:val="32"/>
          <w:szCs w:val="32"/>
          <w:highlight w:val="none"/>
          <w:lang w:val="en-US" w:eastAsia="zh-CN"/>
        </w:rPr>
        <w:t>指标2：接待来访考察，年度指标值≥15批次，实际完成值10批次，指标</w:t>
      </w:r>
      <w:r>
        <w:rPr>
          <w:rStyle w:val="22"/>
          <w:rFonts w:hint="eastAsia" w:ascii="仿宋_GB2312" w:hAnsi="仿宋_GB2312" w:eastAsia="仿宋_GB2312" w:cs="仿宋_GB2312"/>
          <w:b w:val="0"/>
          <w:bCs/>
          <w:color w:val="auto"/>
          <w:spacing w:val="-4"/>
          <w:sz w:val="32"/>
          <w:szCs w:val="32"/>
          <w:highlight w:val="none"/>
          <w:lang w:eastAsia="zh-CN"/>
        </w:rPr>
        <w:t>完成率</w:t>
      </w:r>
      <w:r>
        <w:rPr>
          <w:rStyle w:val="22"/>
          <w:rFonts w:hint="eastAsia" w:ascii="仿宋_GB2312" w:hAnsi="仿宋_GB2312" w:eastAsia="仿宋_GB2312" w:cs="仿宋_GB2312"/>
          <w:b w:val="0"/>
          <w:bCs/>
          <w:color w:val="auto"/>
          <w:spacing w:val="-4"/>
          <w:sz w:val="32"/>
          <w:szCs w:val="32"/>
          <w:highlight w:val="none"/>
          <w:lang w:val="en-US" w:eastAsia="zh-CN"/>
        </w:rPr>
        <w:t>66.6%，偏差原因：</w:t>
      </w:r>
      <w:r>
        <w:rPr>
          <w:rFonts w:hint="eastAsia" w:ascii="仿宋_GB2312" w:eastAsia="仿宋_GB2312"/>
          <w:kern w:val="2"/>
          <w:sz w:val="32"/>
          <w:szCs w:val="32"/>
          <w:lang w:val="en-US" w:eastAsia="zh-CN" w:bidi="ar-SA"/>
        </w:rPr>
        <w:t>传染病防治</w:t>
      </w:r>
      <w:r>
        <w:rPr>
          <w:rStyle w:val="22"/>
          <w:rFonts w:hint="eastAsia" w:ascii="仿宋_GB2312" w:hAnsi="仿宋_GB2312" w:eastAsia="仿宋_GB2312" w:cs="仿宋_GB2312"/>
          <w:b w:val="0"/>
          <w:bCs/>
          <w:color w:val="auto"/>
          <w:spacing w:val="-4"/>
          <w:sz w:val="32"/>
          <w:szCs w:val="32"/>
          <w:highlight w:val="none"/>
          <w:lang w:val="en-US" w:eastAsia="zh-CN"/>
        </w:rPr>
        <w:t>原因来考察人员大幅度减少。</w:t>
      </w:r>
    </w:p>
    <w:p>
      <w:pPr>
        <w:pStyle w:val="2"/>
        <w:keepNext w:val="0"/>
        <w:keepLines w:val="0"/>
        <w:pageBreakBefore w:val="0"/>
        <w:kinsoku/>
        <w:wordWrap/>
        <w:overflowPunct/>
        <w:topLinePunct w:val="0"/>
        <w:autoSpaceDE/>
        <w:autoSpaceDN/>
        <w:bidi w:val="0"/>
        <w:adjustRightInd/>
        <w:snapToGrid/>
        <w:spacing w:before="0" w:after="0" w:line="560" w:lineRule="exact"/>
        <w:ind w:firstLine="624" w:firstLineChars="200"/>
        <w:jc w:val="left"/>
        <w:textAlignment w:val="auto"/>
        <w:rPr>
          <w:rStyle w:val="22"/>
          <w:rFonts w:hint="eastAsia" w:ascii="仿宋_GB2312" w:hAnsi="仿宋_GB2312" w:eastAsia="仿宋_GB2312" w:cs="仿宋_GB2312"/>
          <w:b w:val="0"/>
          <w:bCs/>
          <w:color w:val="auto"/>
          <w:spacing w:val="-4"/>
          <w:sz w:val="32"/>
          <w:szCs w:val="32"/>
          <w:highlight w:val="none"/>
          <w:lang w:val="en-US" w:eastAsia="zh-CN"/>
        </w:rPr>
      </w:pPr>
      <w:r>
        <w:rPr>
          <w:rStyle w:val="22"/>
          <w:rFonts w:hint="eastAsia" w:ascii="仿宋_GB2312" w:hAnsi="仿宋_GB2312" w:eastAsia="仿宋_GB2312" w:cs="仿宋_GB2312"/>
          <w:b w:val="0"/>
          <w:bCs/>
          <w:color w:val="auto"/>
          <w:spacing w:val="-4"/>
          <w:sz w:val="32"/>
          <w:szCs w:val="32"/>
          <w:highlight w:val="none"/>
          <w:lang w:val="en-US" w:eastAsia="zh-CN"/>
        </w:rPr>
        <w:t>指标3：项目策划、编制，年度指标值2000本，实际完成值1000本，指标</w:t>
      </w:r>
      <w:r>
        <w:rPr>
          <w:rStyle w:val="22"/>
          <w:rFonts w:hint="eastAsia" w:ascii="仿宋_GB2312" w:hAnsi="仿宋_GB2312" w:eastAsia="仿宋_GB2312" w:cs="仿宋_GB2312"/>
          <w:b w:val="0"/>
          <w:bCs/>
          <w:color w:val="auto"/>
          <w:spacing w:val="-4"/>
          <w:sz w:val="32"/>
          <w:szCs w:val="32"/>
          <w:highlight w:val="none"/>
          <w:lang w:eastAsia="zh-CN"/>
        </w:rPr>
        <w:t>完成率</w:t>
      </w:r>
      <w:r>
        <w:rPr>
          <w:rStyle w:val="22"/>
          <w:rFonts w:hint="eastAsia" w:ascii="仿宋_GB2312" w:hAnsi="仿宋_GB2312" w:eastAsia="仿宋_GB2312" w:cs="仿宋_GB2312"/>
          <w:b w:val="0"/>
          <w:bCs/>
          <w:color w:val="auto"/>
          <w:spacing w:val="-4"/>
          <w:sz w:val="32"/>
          <w:szCs w:val="32"/>
          <w:highlight w:val="none"/>
          <w:lang w:val="en-US" w:eastAsia="zh-CN"/>
        </w:rPr>
        <w:t>50%，偏差原因是因传染病防治</w:t>
      </w:r>
      <w:r>
        <w:rPr>
          <w:rStyle w:val="22"/>
          <w:rFonts w:hint="eastAsia" w:ascii="仿宋_GB2312" w:hAnsi="仿宋_GB2312" w:eastAsia="仿宋_GB2312" w:cs="仿宋_GB2312"/>
          <w:b w:val="0"/>
          <w:bCs/>
          <w:color w:val="auto"/>
          <w:spacing w:val="-4"/>
          <w:sz w:val="32"/>
          <w:szCs w:val="32"/>
          <w:highlight w:val="none"/>
          <w:lang w:val="en-US" w:eastAsia="zh-CN"/>
        </w:rPr>
        <w:t>原因，只外出招商一次，宣传册印刷减少。</w:t>
      </w:r>
    </w:p>
    <w:p>
      <w:pPr>
        <w:pageBreakBefore w:val="0"/>
        <w:kinsoku/>
        <w:wordWrap/>
        <w:overflowPunct/>
        <w:topLinePunct w:val="0"/>
        <w:autoSpaceDE/>
        <w:autoSpaceDN/>
        <w:bidi w:val="0"/>
        <w:adjustRightInd/>
        <w:snapToGrid/>
        <w:spacing w:line="560" w:lineRule="exact"/>
        <w:ind w:firstLine="640"/>
        <w:rPr>
          <w:rStyle w:val="22"/>
          <w:rFonts w:hint="eastAsia" w:ascii="仿宋_GB2312" w:hAnsi="仿宋_GB2312" w:eastAsia="仿宋_GB2312" w:cs="仿宋_GB2312"/>
          <w:b w:val="0"/>
          <w:bCs/>
          <w:color w:val="auto"/>
          <w:spacing w:val="-4"/>
          <w:sz w:val="32"/>
          <w:szCs w:val="32"/>
          <w:highlight w:val="none"/>
          <w:lang w:val="en-US" w:eastAsia="zh-CN"/>
        </w:rPr>
      </w:pPr>
      <w:r>
        <w:rPr>
          <w:rStyle w:val="22"/>
          <w:rFonts w:hint="eastAsia" w:ascii="仿宋_GB2312" w:hAnsi="仿宋_GB2312" w:eastAsia="仿宋_GB2312" w:cs="仿宋_GB2312"/>
          <w:b w:val="0"/>
          <w:bCs/>
          <w:color w:val="auto"/>
          <w:spacing w:val="-4"/>
          <w:sz w:val="32"/>
          <w:szCs w:val="32"/>
          <w:highlight w:val="none"/>
          <w:lang w:val="en-US" w:eastAsia="zh-CN"/>
        </w:rPr>
        <w:t>指标4：制作招商引资宣传片,年度指标值1部，实际完成值1部，指标完成率100%。</w:t>
      </w:r>
    </w:p>
    <w:p>
      <w:pPr>
        <w:pageBreakBefore w:val="0"/>
        <w:kinsoku/>
        <w:wordWrap/>
        <w:overflowPunct/>
        <w:topLinePunct w:val="0"/>
        <w:autoSpaceDE/>
        <w:autoSpaceDN/>
        <w:bidi w:val="0"/>
        <w:adjustRightInd/>
        <w:snapToGrid/>
        <w:spacing w:line="560" w:lineRule="exact"/>
        <w:ind w:firstLine="640"/>
        <w:rPr>
          <w:rStyle w:val="22"/>
          <w:rFonts w:hint="eastAsia" w:ascii="仿宋_GB2312" w:hAnsi="仿宋_GB2312" w:eastAsia="仿宋_GB2312" w:cs="仿宋_GB2312"/>
          <w:b w:val="0"/>
          <w:bCs/>
          <w:color w:val="auto"/>
          <w:spacing w:val="-4"/>
          <w:sz w:val="32"/>
          <w:szCs w:val="32"/>
          <w:highlight w:val="none"/>
          <w:lang w:val="en-US" w:eastAsia="zh-CN"/>
        </w:rPr>
      </w:pPr>
      <w:r>
        <w:rPr>
          <w:rStyle w:val="22"/>
          <w:rFonts w:hint="eastAsia" w:ascii="仿宋_GB2312" w:hAnsi="仿宋_GB2312" w:eastAsia="仿宋_GB2312" w:cs="仿宋_GB2312"/>
          <w:b w:val="0"/>
          <w:bCs/>
          <w:color w:val="auto"/>
          <w:spacing w:val="-4"/>
          <w:sz w:val="32"/>
          <w:szCs w:val="32"/>
          <w:highlight w:val="none"/>
          <w:lang w:val="en-US" w:eastAsia="zh-CN"/>
        </w:rPr>
        <w:t>指标5：招商工作及项目调研，年度指标值≥8次，实际完成值6次，指标完成率75%。</w:t>
      </w:r>
    </w:p>
    <w:p>
      <w:pPr>
        <w:pageBreakBefore w:val="0"/>
        <w:kinsoku/>
        <w:wordWrap/>
        <w:overflowPunct/>
        <w:topLinePunct w:val="0"/>
        <w:autoSpaceDE/>
        <w:autoSpaceDN/>
        <w:bidi w:val="0"/>
        <w:adjustRightInd/>
        <w:snapToGrid/>
        <w:spacing w:line="560" w:lineRule="exact"/>
        <w:ind w:firstLine="640"/>
        <w:rPr>
          <w:rStyle w:val="22"/>
          <w:rFonts w:hint="eastAsia" w:ascii="仿宋_GB2312" w:hAnsi="仿宋_GB2312" w:eastAsia="仿宋_GB2312" w:cs="仿宋_GB2312"/>
          <w:b w:val="0"/>
          <w:bCs/>
          <w:color w:val="auto"/>
          <w:spacing w:val="-4"/>
          <w:sz w:val="32"/>
          <w:szCs w:val="32"/>
          <w:highlight w:val="none"/>
          <w:lang w:val="en-US" w:eastAsia="zh-CN"/>
        </w:rPr>
      </w:pPr>
      <w:r>
        <w:rPr>
          <w:rStyle w:val="51"/>
          <w:rFonts w:hint="eastAsia"/>
          <w:color w:val="auto"/>
          <w:highlight w:val="none"/>
        </w:rPr>
        <w:t>质量指标方面：招商引资目标完成率</w:t>
      </w:r>
      <w:r>
        <w:rPr>
          <w:rStyle w:val="51"/>
          <w:rFonts w:hint="eastAsia" w:eastAsia="仿宋_GB2312"/>
          <w:color w:val="auto"/>
          <w:highlight w:val="none"/>
          <w:lang w:eastAsia="zh-CN"/>
        </w:rPr>
        <w:t>，年度指标值≥90%，</w:t>
      </w:r>
      <w:r>
        <w:rPr>
          <w:rStyle w:val="22"/>
          <w:rFonts w:hint="eastAsia" w:ascii="仿宋_GB2312" w:hAnsi="仿宋_GB2312" w:eastAsia="仿宋_GB2312" w:cs="仿宋_GB2312"/>
          <w:b w:val="0"/>
          <w:bCs/>
          <w:color w:val="auto"/>
          <w:spacing w:val="-4"/>
          <w:sz w:val="32"/>
          <w:szCs w:val="32"/>
          <w:highlight w:val="none"/>
          <w:lang w:val="en-US" w:eastAsia="zh-CN"/>
        </w:rPr>
        <w:t>实际完成值</w:t>
      </w:r>
      <w:r>
        <w:rPr>
          <w:rStyle w:val="51"/>
          <w:rFonts w:hint="eastAsia" w:eastAsia="仿宋_GB2312"/>
          <w:color w:val="auto"/>
          <w:highlight w:val="none"/>
          <w:lang w:eastAsia="zh-CN"/>
        </w:rPr>
        <w:t>100%，</w:t>
      </w:r>
      <w:r>
        <w:rPr>
          <w:rStyle w:val="22"/>
          <w:rFonts w:hint="eastAsia" w:ascii="仿宋_GB2312" w:hAnsi="仿宋_GB2312" w:eastAsia="仿宋_GB2312" w:cs="仿宋_GB2312"/>
          <w:b w:val="0"/>
          <w:bCs/>
          <w:color w:val="auto"/>
          <w:spacing w:val="-4"/>
          <w:sz w:val="32"/>
          <w:szCs w:val="32"/>
          <w:highlight w:val="none"/>
          <w:lang w:val="en-US" w:eastAsia="zh-CN"/>
        </w:rPr>
        <w:t>指标完成率111%。</w:t>
      </w:r>
    </w:p>
    <w:p>
      <w:pPr>
        <w:pageBreakBefore w:val="0"/>
        <w:kinsoku/>
        <w:wordWrap/>
        <w:overflowPunct/>
        <w:topLinePunct w:val="0"/>
        <w:autoSpaceDE/>
        <w:autoSpaceDN/>
        <w:bidi w:val="0"/>
        <w:adjustRightInd/>
        <w:snapToGrid/>
        <w:spacing w:line="560" w:lineRule="exact"/>
        <w:ind w:firstLine="640"/>
        <w:rPr>
          <w:rStyle w:val="51"/>
          <w:rFonts w:hint="eastAsia"/>
          <w:color w:val="auto"/>
          <w:highlight w:val="none"/>
          <w:lang w:val="en-US" w:eastAsia="zh-CN"/>
        </w:rPr>
      </w:pPr>
      <w:r>
        <w:rPr>
          <w:rStyle w:val="51"/>
          <w:rFonts w:hint="eastAsia"/>
          <w:color w:val="auto"/>
          <w:highlight w:val="none"/>
          <w:lang w:val="en-US" w:eastAsia="zh-CN"/>
        </w:rPr>
        <w:t>时效指标方面：工作完成时间，</w:t>
      </w:r>
      <w:r>
        <w:rPr>
          <w:rStyle w:val="51"/>
          <w:rFonts w:hint="eastAsia"/>
          <w:color w:val="auto"/>
          <w:highlight w:val="none"/>
          <w:lang w:eastAsia="zh-CN"/>
        </w:rPr>
        <w:t>年度指标值</w:t>
      </w:r>
      <w:r>
        <w:rPr>
          <w:rStyle w:val="51"/>
          <w:rFonts w:hint="eastAsia"/>
          <w:color w:val="auto"/>
          <w:highlight w:val="none"/>
          <w:lang w:val="en-US" w:eastAsia="zh-CN"/>
        </w:rPr>
        <w:t>2020年12月，实际完成值2020年12月，指标完成率100%。</w:t>
      </w:r>
    </w:p>
    <w:p>
      <w:pPr>
        <w:pageBreakBefore w:val="0"/>
        <w:kinsoku/>
        <w:wordWrap/>
        <w:overflowPunct/>
        <w:topLinePunct w:val="0"/>
        <w:autoSpaceDE/>
        <w:autoSpaceDN/>
        <w:bidi w:val="0"/>
        <w:adjustRightInd/>
        <w:snapToGrid/>
        <w:spacing w:line="560" w:lineRule="exact"/>
        <w:ind w:firstLine="640"/>
        <w:rPr>
          <w:rStyle w:val="51"/>
          <w:rFonts w:hint="eastAsia"/>
          <w:color w:val="auto"/>
          <w:highlight w:val="none"/>
          <w:lang w:val="en-US" w:eastAsia="zh-CN"/>
        </w:rPr>
      </w:pPr>
      <w:r>
        <w:rPr>
          <w:rStyle w:val="51"/>
          <w:rFonts w:hint="default"/>
          <w:color w:val="auto"/>
          <w:highlight w:val="none"/>
          <w:lang w:val="en-US" w:eastAsia="zh-CN"/>
        </w:rPr>
        <w:t>成本指标</w:t>
      </w:r>
      <w:r>
        <w:rPr>
          <w:rStyle w:val="51"/>
          <w:rFonts w:hint="eastAsia"/>
          <w:color w:val="auto"/>
          <w:highlight w:val="none"/>
          <w:lang w:val="en-US" w:eastAsia="zh-CN"/>
        </w:rPr>
        <w:t>：项目前期费，</w:t>
      </w:r>
      <w:r>
        <w:rPr>
          <w:rStyle w:val="51"/>
          <w:rFonts w:hint="eastAsia"/>
          <w:color w:val="auto"/>
          <w:highlight w:val="none"/>
          <w:lang w:eastAsia="zh-CN"/>
        </w:rPr>
        <w:t>年度指标值</w:t>
      </w:r>
      <w:r>
        <w:rPr>
          <w:rStyle w:val="51"/>
          <w:rFonts w:hint="eastAsia"/>
          <w:color w:val="auto"/>
          <w:highlight w:val="none"/>
          <w:lang w:val="en-US" w:eastAsia="zh-CN"/>
        </w:rPr>
        <w:t>20万，实际完成值22.1万元，超出10.5%，指标完成率89.5%。</w:t>
      </w:r>
    </w:p>
    <w:p>
      <w:pPr>
        <w:pStyle w:val="19"/>
        <w:pageBreakBefore w:val="0"/>
        <w:numPr>
          <w:ilvl w:val="0"/>
          <w:numId w:val="5"/>
        </w:numPr>
        <w:kinsoku/>
        <w:wordWrap/>
        <w:overflowPunct/>
        <w:topLinePunct w:val="0"/>
        <w:autoSpaceDE/>
        <w:autoSpaceDN/>
        <w:bidi w:val="0"/>
        <w:adjustRightInd/>
        <w:snapToGrid/>
        <w:spacing w:after="0" w:line="560" w:lineRule="exact"/>
        <w:ind w:firstLine="321" w:firstLineChars="100"/>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效益情况</w:t>
      </w:r>
    </w:p>
    <w:p>
      <w:pPr>
        <w:pageBreakBefore w:val="0"/>
        <w:kinsoku/>
        <w:wordWrap/>
        <w:overflowPunct/>
        <w:topLinePunct w:val="0"/>
        <w:autoSpaceDE/>
        <w:autoSpaceDN/>
        <w:bidi w:val="0"/>
        <w:adjustRightInd/>
        <w:snapToGrid/>
        <w:spacing w:line="560" w:lineRule="exact"/>
        <w:ind w:firstLine="640"/>
        <w:jc w:val="center"/>
        <w:rPr>
          <w:rStyle w:val="51"/>
          <w:rFonts w:hint="eastAsia"/>
          <w:b/>
          <w:bCs/>
          <w:color w:val="auto"/>
          <w:highlight w:val="none"/>
        </w:rPr>
      </w:pPr>
      <w:r>
        <w:rPr>
          <w:rStyle w:val="51"/>
          <w:rFonts w:hint="eastAsia"/>
          <w:b/>
          <w:bCs/>
          <w:color w:val="auto"/>
          <w:highlight w:val="none"/>
        </w:rPr>
        <w:t>项目绩效指标得分情况如表所示：</w:t>
      </w:r>
    </w:p>
    <w:tbl>
      <w:tblPr>
        <w:tblStyle w:val="20"/>
        <w:tblpPr w:leftFromText="180" w:rightFromText="180" w:vertAnchor="text" w:horzAnchor="page" w:tblpX="1941" w:tblpY="144"/>
        <w:tblOverlap w:val="never"/>
        <w:tblW w:w="8581" w:type="dxa"/>
        <w:jc w:val="center"/>
        <w:tblLayout w:type="fixed"/>
        <w:tblCellMar>
          <w:top w:w="0" w:type="dxa"/>
          <w:left w:w="0" w:type="dxa"/>
          <w:bottom w:w="0" w:type="dxa"/>
          <w:right w:w="0" w:type="dxa"/>
        </w:tblCellMar>
      </w:tblPr>
      <w:tblGrid>
        <w:gridCol w:w="2452"/>
        <w:gridCol w:w="2043"/>
        <w:gridCol w:w="2043"/>
        <w:gridCol w:w="2043"/>
      </w:tblGrid>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三级指标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both"/>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权重</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560" w:firstLineChars="200"/>
              <w:jc w:val="both"/>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得分率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kern w:val="0"/>
                <w:sz w:val="28"/>
                <w:szCs w:val="28"/>
                <w:highlight w:val="none"/>
              </w:rPr>
              <w:t>实际得分</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Style w:val="51"/>
                <w:rFonts w:hint="eastAsia" w:eastAsia="仿宋_GB2312"/>
                <w:color w:val="auto"/>
                <w:sz w:val="32"/>
                <w:szCs w:val="32"/>
                <w:highlight w:val="none"/>
                <w:lang w:eastAsia="zh-CN"/>
              </w:rPr>
              <w:t>经济效益</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both"/>
              <w:textAlignment w:val="center"/>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15</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both"/>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15</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rPr>
            </w:pPr>
            <w:r>
              <w:rPr>
                <w:rStyle w:val="51"/>
                <w:rFonts w:hint="eastAsia"/>
                <w:color w:val="auto"/>
                <w:sz w:val="32"/>
                <w:szCs w:val="32"/>
                <w:highlight w:val="none"/>
                <w:lang w:eastAsia="zh-CN"/>
              </w:rPr>
              <w:t>社会效益</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both"/>
              <w:textAlignment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15</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both"/>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15</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满意度</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both"/>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both"/>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合计</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ind w:firstLine="640" w:firstLineChars="200"/>
              <w:jc w:val="both"/>
              <w:textAlignment w:val="bottom"/>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exact"/>
              <w:ind w:firstLine="640" w:firstLineChars="200"/>
              <w:jc w:val="both"/>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exact"/>
              <w:jc w:val="center"/>
              <w:textAlignment w:val="bottom"/>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40</w:t>
            </w:r>
          </w:p>
        </w:tc>
      </w:tr>
    </w:tbl>
    <w:p>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Style w:val="51"/>
          <w:rFonts w:hint="default" w:eastAsia="仿宋_GB2312"/>
          <w:color w:val="auto"/>
          <w:highlight w:val="none"/>
          <w:lang w:val="en-US" w:eastAsia="zh-CN"/>
        </w:rPr>
      </w:pPr>
      <w:r>
        <w:rPr>
          <w:rStyle w:val="51"/>
          <w:rFonts w:hint="eastAsia" w:eastAsia="仿宋_GB2312"/>
          <w:color w:val="auto"/>
          <w:highlight w:val="none"/>
          <w:lang w:eastAsia="zh-CN"/>
        </w:rPr>
        <w:t>经济效益指标：</w:t>
      </w:r>
      <w:r>
        <w:rPr>
          <w:rStyle w:val="51"/>
          <w:rFonts w:hint="eastAsia"/>
          <w:color w:val="auto"/>
          <w:highlight w:val="none"/>
        </w:rPr>
        <w:t>引进企业投资到位资金</w:t>
      </w:r>
      <w:r>
        <w:rPr>
          <w:rStyle w:val="51"/>
          <w:rFonts w:hint="eastAsia" w:eastAsia="仿宋_GB2312"/>
          <w:color w:val="auto"/>
          <w:highlight w:val="none"/>
          <w:lang w:eastAsia="zh-CN"/>
        </w:rPr>
        <w:t>，</w:t>
      </w:r>
      <w:r>
        <w:rPr>
          <w:rStyle w:val="51"/>
          <w:rFonts w:hint="eastAsia"/>
          <w:color w:val="auto"/>
          <w:highlight w:val="none"/>
          <w:lang w:eastAsia="zh-CN"/>
        </w:rPr>
        <w:t>年度指标值</w:t>
      </w:r>
      <w:r>
        <w:rPr>
          <w:rStyle w:val="51"/>
          <w:rFonts w:hint="eastAsia" w:eastAsia="仿宋_GB2312"/>
          <w:color w:val="auto"/>
          <w:highlight w:val="none"/>
          <w:lang w:eastAsia="zh-CN"/>
        </w:rPr>
        <w:t>≥100亿元</w:t>
      </w:r>
      <w:r>
        <w:rPr>
          <w:rStyle w:val="51"/>
          <w:rFonts w:hint="eastAsia" w:eastAsia="仿宋_GB2312"/>
          <w:color w:val="auto"/>
          <w:highlight w:val="none"/>
          <w:lang w:val="en-US" w:eastAsia="zh-CN"/>
        </w:rPr>
        <w:t>，</w:t>
      </w:r>
      <w:r>
        <w:rPr>
          <w:rStyle w:val="51"/>
          <w:rFonts w:hint="eastAsia"/>
          <w:color w:val="auto"/>
          <w:highlight w:val="none"/>
          <w:lang w:val="en-US" w:eastAsia="zh-CN"/>
        </w:rPr>
        <w:t>实际完成值</w:t>
      </w:r>
      <w:r>
        <w:rPr>
          <w:rStyle w:val="51"/>
          <w:rFonts w:hint="eastAsia" w:eastAsia="仿宋_GB2312"/>
          <w:color w:val="auto"/>
          <w:highlight w:val="none"/>
          <w:lang w:eastAsia="zh-CN"/>
        </w:rPr>
        <w:t>118.73亿元，指标完成率</w:t>
      </w:r>
      <w:r>
        <w:rPr>
          <w:rStyle w:val="51"/>
          <w:rFonts w:hint="eastAsia" w:eastAsia="仿宋_GB2312"/>
          <w:color w:val="auto"/>
          <w:highlight w:val="none"/>
          <w:lang w:val="en-US" w:eastAsia="zh-CN"/>
        </w:rPr>
        <w:t>118%；</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51"/>
          <w:rFonts w:hint="default"/>
          <w:color w:val="auto"/>
          <w:highlight w:val="none"/>
          <w:lang w:val="en-US" w:eastAsia="zh-CN"/>
        </w:rPr>
      </w:pPr>
      <w:r>
        <w:rPr>
          <w:rStyle w:val="51"/>
          <w:rFonts w:hint="eastAsia"/>
          <w:color w:val="auto"/>
          <w:highlight w:val="none"/>
          <w:lang w:eastAsia="zh-CN"/>
        </w:rPr>
        <w:t>社会效益指标：促进地区经济发展，年度指标值有所增长，</w:t>
      </w:r>
      <w:r>
        <w:rPr>
          <w:rStyle w:val="51"/>
          <w:rFonts w:hint="eastAsia"/>
          <w:color w:val="auto"/>
          <w:highlight w:val="none"/>
          <w:lang w:val="en-US" w:eastAsia="zh-CN"/>
        </w:rPr>
        <w:t>实际完成值</w:t>
      </w:r>
      <w:r>
        <w:rPr>
          <w:rStyle w:val="51"/>
          <w:rFonts w:hint="eastAsia"/>
          <w:color w:val="auto"/>
          <w:highlight w:val="none"/>
          <w:lang w:eastAsia="zh-CN"/>
        </w:rPr>
        <w:t>有所增长，指标完成率</w:t>
      </w:r>
      <w:r>
        <w:rPr>
          <w:rStyle w:val="51"/>
          <w:rFonts w:hint="eastAsia"/>
          <w:color w:val="auto"/>
          <w:highlight w:val="none"/>
          <w:lang w:val="en-US" w:eastAsia="zh-CN"/>
        </w:rPr>
        <w:t>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highlight w:val="none"/>
          <w:lang w:eastAsia="zh-CN"/>
        </w:rPr>
      </w:pPr>
      <w:r>
        <w:rPr>
          <w:rStyle w:val="51"/>
          <w:rFonts w:hint="eastAsia" w:eastAsia="仿宋_GB2312"/>
          <w:color w:val="auto"/>
          <w:highlight w:val="none"/>
          <w:lang w:eastAsia="zh-CN"/>
        </w:rPr>
        <w:t>满意度指标：上级对工作的满意度，</w:t>
      </w:r>
      <w:r>
        <w:rPr>
          <w:rStyle w:val="51"/>
          <w:rFonts w:hint="eastAsia"/>
          <w:color w:val="auto"/>
          <w:highlight w:val="none"/>
          <w:lang w:eastAsia="zh-CN"/>
        </w:rPr>
        <w:t>年度指标值</w:t>
      </w:r>
      <w:r>
        <w:rPr>
          <w:rStyle w:val="51"/>
          <w:rFonts w:hint="eastAsia" w:eastAsia="仿宋_GB2312"/>
          <w:color w:val="auto"/>
          <w:highlight w:val="none"/>
          <w:lang w:eastAsia="zh-CN"/>
        </w:rPr>
        <w:t>≥90%，</w:t>
      </w:r>
      <w:r>
        <w:rPr>
          <w:rStyle w:val="51"/>
          <w:rFonts w:hint="eastAsia"/>
          <w:color w:val="auto"/>
          <w:highlight w:val="none"/>
          <w:lang w:val="en-US" w:eastAsia="zh-CN"/>
        </w:rPr>
        <w:t>实际完成值</w:t>
      </w:r>
      <w:r>
        <w:rPr>
          <w:rStyle w:val="51"/>
          <w:rFonts w:hint="eastAsia" w:eastAsia="仿宋_GB2312"/>
          <w:color w:val="auto"/>
          <w:highlight w:val="none"/>
          <w:lang w:eastAsia="zh-CN"/>
        </w:rPr>
        <w:t>95%，</w:t>
      </w:r>
      <w:r>
        <w:rPr>
          <w:rStyle w:val="51"/>
          <w:rFonts w:hint="eastAsia"/>
          <w:color w:val="auto"/>
          <w:highlight w:val="none"/>
          <w:lang w:eastAsia="zh-CN"/>
        </w:rPr>
        <w:t>指标完成率</w:t>
      </w:r>
      <w:r>
        <w:rPr>
          <w:rStyle w:val="51"/>
          <w:rFonts w:hint="eastAsia"/>
          <w:color w:val="auto"/>
          <w:highlight w:val="none"/>
          <w:lang w:val="en-US" w:eastAsia="zh-CN"/>
        </w:rPr>
        <w:t>105%；</w:t>
      </w:r>
    </w:p>
    <w:p>
      <w:pPr>
        <w:pageBreakBefore w:val="0"/>
        <w:kinsoku/>
        <w:wordWrap/>
        <w:overflowPunct/>
        <w:topLinePunct w:val="0"/>
        <w:autoSpaceDE/>
        <w:autoSpaceDN/>
        <w:bidi w:val="0"/>
        <w:adjustRightInd/>
        <w:snapToGrid/>
        <w:spacing w:line="560" w:lineRule="exact"/>
        <w:ind w:firstLine="641"/>
        <w:rPr>
          <w:rStyle w:val="51"/>
          <w:color w:val="auto"/>
          <w:highlight w:val="none"/>
        </w:rPr>
      </w:pPr>
      <w:r>
        <w:rPr>
          <w:rFonts w:hint="eastAsia" w:ascii="黑体" w:hAnsi="黑体" w:eastAsia="黑体"/>
          <w:sz w:val="32"/>
          <w:szCs w:val="32"/>
          <w:highlight w:val="none"/>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（一）主要经验及做法</w:t>
      </w:r>
    </w:p>
    <w:p>
      <w:pPr>
        <w:pageBreakBefore w:val="0"/>
        <w:kinsoku/>
        <w:wordWrap/>
        <w:overflowPunct/>
        <w:topLinePunct w:val="0"/>
        <w:autoSpaceDE/>
        <w:autoSpaceDN/>
        <w:bidi w:val="0"/>
        <w:adjustRightInd/>
        <w:snapToGrid/>
        <w:spacing w:line="560" w:lineRule="exact"/>
        <w:ind w:firstLine="640"/>
        <w:rPr>
          <w:rStyle w:val="51"/>
          <w:rFonts w:hint="eastAsia"/>
          <w:color w:val="auto"/>
          <w:highlight w:val="none"/>
        </w:rPr>
      </w:pPr>
      <w:r>
        <w:rPr>
          <w:rStyle w:val="51"/>
          <w:rFonts w:hint="eastAsia"/>
          <w:color w:val="auto"/>
          <w:highlight w:val="none"/>
        </w:rPr>
        <w:t>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numPr>
          <w:ilvl w:val="0"/>
          <w:numId w:val="6"/>
        </w:numPr>
        <w:kinsoku/>
        <w:wordWrap/>
        <w:overflowPunct/>
        <w:topLinePunct w:val="0"/>
        <w:autoSpaceDE/>
        <w:autoSpaceDN/>
        <w:bidi w:val="0"/>
        <w:adjustRightInd/>
        <w:snapToGrid/>
        <w:spacing w:before="0" w:after="0" w:line="560" w:lineRule="exact"/>
        <w:ind w:firstLine="640" w:firstLineChars="200"/>
        <w:jc w:val="both"/>
        <w:rPr>
          <w:rFonts w:hint="eastAsia" w:ascii="仿宋_GB2312" w:hAnsi="仿宋_GB2312" w:eastAsia="仿宋_GB2312" w:cs="仿宋_GB2312"/>
          <w:b w:val="0"/>
          <w:bCs w:val="0"/>
          <w:kern w:val="2"/>
          <w:highlight w:val="none"/>
        </w:rPr>
      </w:pPr>
      <w:r>
        <w:rPr>
          <w:rFonts w:hint="eastAsia" w:ascii="仿宋_GB2312" w:hAnsi="仿宋_GB2312" w:eastAsia="仿宋_GB2312" w:cs="仿宋_GB2312"/>
          <w:b w:val="0"/>
          <w:bCs w:val="0"/>
          <w:kern w:val="2"/>
          <w:highlight w:val="none"/>
        </w:rPr>
        <w:t>存在的问题</w:t>
      </w:r>
    </w:p>
    <w:p>
      <w:pPr>
        <w:pageBreakBefore w:val="0"/>
        <w:kinsoku/>
        <w:wordWrap/>
        <w:overflowPunct/>
        <w:topLinePunct w:val="0"/>
        <w:autoSpaceDE/>
        <w:autoSpaceDN/>
        <w:bidi w:val="0"/>
        <w:adjustRightInd/>
        <w:snapToGrid/>
        <w:spacing w:line="560" w:lineRule="exact"/>
        <w:ind w:firstLine="640"/>
        <w:rPr>
          <w:rStyle w:val="51"/>
          <w:rFonts w:hint="eastAsia"/>
          <w:color w:val="auto"/>
          <w:highlight w:val="none"/>
        </w:rPr>
      </w:pPr>
      <w:r>
        <w:rPr>
          <w:rStyle w:val="51"/>
          <w:rFonts w:hint="eastAsia"/>
          <w:color w:val="auto"/>
          <w:highlight w:val="none"/>
          <w:lang w:val="en-US" w:eastAsia="zh-CN"/>
        </w:rPr>
        <w:t>受</w:t>
      </w:r>
      <w:r>
        <w:rPr>
          <w:rFonts w:hint="eastAsia" w:ascii="仿宋_GB2312" w:eastAsia="仿宋_GB2312"/>
          <w:kern w:val="2"/>
          <w:sz w:val="32"/>
          <w:szCs w:val="32"/>
          <w:lang w:val="en-US" w:eastAsia="zh-CN" w:bidi="ar-SA"/>
        </w:rPr>
        <w:t>传染病防治</w:t>
      </w:r>
      <w:r>
        <w:rPr>
          <w:rStyle w:val="51"/>
          <w:rFonts w:hint="eastAsia"/>
          <w:color w:val="auto"/>
          <w:highlight w:val="none"/>
          <w:lang w:val="en-US" w:eastAsia="zh-CN"/>
        </w:rPr>
        <w:t>影响，外出招商活动和企业来访考察活动不便，国内外市场需求急剧减少，内地大部分企业产能回缩，对外投资意愿不强，招商引资工作面临困难。</w:t>
      </w:r>
    </w:p>
    <w:p>
      <w:pPr>
        <w:pageBreakBefore w:val="0"/>
        <w:numPr>
          <w:ilvl w:val="0"/>
          <w:numId w:val="6"/>
        </w:numPr>
        <w:kinsoku/>
        <w:wordWrap/>
        <w:overflowPunct/>
        <w:topLinePunct w:val="0"/>
        <w:autoSpaceDE/>
        <w:autoSpaceDN/>
        <w:bidi w:val="0"/>
        <w:adjustRightInd/>
        <w:snapToGrid/>
        <w:spacing w:line="560" w:lineRule="exact"/>
        <w:ind w:left="0" w:leftChars="0"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原因分析</w:t>
      </w:r>
    </w:p>
    <w:p>
      <w:pPr>
        <w:pStyle w:val="13"/>
        <w:pageBreakBefore w:val="0"/>
        <w:numPr>
          <w:ilvl w:val="0"/>
          <w:numId w:val="0"/>
        </w:numPr>
        <w:kinsoku/>
        <w:wordWrap/>
        <w:overflowPunct/>
        <w:topLinePunct w:val="0"/>
        <w:autoSpaceDE/>
        <w:autoSpaceDN/>
        <w:bidi w:val="0"/>
        <w:adjustRightInd/>
        <w:snapToGrid/>
        <w:spacing w:after="0" w:line="560" w:lineRule="exact"/>
        <w:ind w:firstLine="640" w:firstLineChars="200"/>
        <w:rPr>
          <w:highlight w:val="none"/>
        </w:rPr>
      </w:pPr>
      <w:r>
        <w:rPr>
          <w:rStyle w:val="51"/>
          <w:rFonts w:hint="eastAsia"/>
          <w:color w:val="auto"/>
          <w:kern w:val="2"/>
          <w:highlight w:val="none"/>
          <w:lang w:val="en-US" w:eastAsia="zh-CN" w:bidi="ar-SA"/>
        </w:rPr>
        <w:t>招商方式单一化，应与第三方机构合作打造网络平台，积极推进网络招商。利用网络、微信积极加强企业对接联系，组织开展网上洽谈、网上推介、网上签约活动，督促县市积极利用招商网络平台，实现精准招商。</w:t>
      </w:r>
    </w:p>
    <w:p>
      <w:pPr>
        <w:pageBreakBefore w:val="0"/>
        <w:numPr>
          <w:ilvl w:val="0"/>
          <w:numId w:val="7"/>
        </w:numPr>
        <w:kinsoku/>
        <w:wordWrap/>
        <w:overflowPunct/>
        <w:topLinePunct w:val="0"/>
        <w:autoSpaceDE/>
        <w:autoSpaceDN/>
        <w:bidi w:val="0"/>
        <w:adjustRightInd/>
        <w:snapToGrid/>
        <w:spacing w:line="560" w:lineRule="exact"/>
        <w:ind w:firstLine="641"/>
        <w:rPr>
          <w:rFonts w:ascii="黑体" w:hAnsi="黑体" w:eastAsia="黑体"/>
          <w:sz w:val="32"/>
          <w:szCs w:val="32"/>
          <w:highlight w:val="none"/>
        </w:rPr>
      </w:pPr>
      <w:r>
        <w:rPr>
          <w:rFonts w:hint="eastAsia" w:ascii="黑体" w:hAnsi="黑体" w:eastAsia="黑体"/>
          <w:sz w:val="32"/>
          <w:szCs w:val="32"/>
          <w:highlight w:val="none"/>
        </w:rPr>
        <w:t>有关建议</w:t>
      </w:r>
    </w:p>
    <w:p>
      <w:pPr>
        <w:pageBreakBefore w:val="0"/>
        <w:numPr>
          <w:ilvl w:val="0"/>
          <w:numId w:val="8"/>
        </w:numPr>
        <w:kinsoku/>
        <w:wordWrap/>
        <w:overflowPunct/>
        <w:topLinePunct w:val="0"/>
        <w:autoSpaceDE/>
        <w:autoSpaceDN/>
        <w:bidi w:val="0"/>
        <w:adjustRightInd/>
        <w:snapToGrid/>
        <w:spacing w:line="560" w:lineRule="exact"/>
        <w:ind w:firstLine="641"/>
        <w:rPr>
          <w:rStyle w:val="51"/>
          <w:rFonts w:hint="eastAsia"/>
          <w:color w:val="auto"/>
          <w:kern w:val="2"/>
          <w:highlight w:val="none"/>
          <w:lang w:val="en-US" w:eastAsia="zh-CN" w:bidi="ar-SA"/>
        </w:rPr>
      </w:pPr>
      <w:r>
        <w:rPr>
          <w:rStyle w:val="51"/>
          <w:rFonts w:hint="eastAsia"/>
          <w:color w:val="auto"/>
          <w:kern w:val="2"/>
          <w:highlight w:val="none"/>
          <w:lang w:val="en-US" w:eastAsia="zh-CN" w:bidi="ar-SA"/>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8"/>
        </w:numPr>
        <w:kinsoku/>
        <w:wordWrap/>
        <w:overflowPunct/>
        <w:topLinePunct w:val="0"/>
        <w:autoSpaceDE/>
        <w:autoSpaceDN/>
        <w:bidi w:val="0"/>
        <w:adjustRightInd/>
        <w:snapToGrid/>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7"/>
        </w:numPr>
        <w:kinsoku/>
        <w:wordWrap/>
        <w:overflowPunct/>
        <w:topLinePunct w:val="0"/>
        <w:autoSpaceDE/>
        <w:autoSpaceDN/>
        <w:bidi w:val="0"/>
        <w:adjustRightInd/>
        <w:snapToGrid/>
        <w:spacing w:line="560" w:lineRule="exact"/>
        <w:ind w:firstLine="641"/>
        <w:rPr>
          <w:rFonts w:ascii="黑体" w:hAnsi="黑体" w:eastAsia="黑体"/>
          <w:sz w:val="32"/>
          <w:szCs w:val="32"/>
          <w:highlight w:val="none"/>
        </w:rPr>
      </w:pPr>
      <w:r>
        <w:rPr>
          <w:rFonts w:hint="eastAsia" w:ascii="黑体" w:hAnsi="黑体" w:eastAsia="黑体"/>
          <w:sz w:val="32"/>
          <w:szCs w:val="32"/>
          <w:highlight w:val="none"/>
        </w:rPr>
        <w:t>其他需要说</w:t>
      </w:r>
      <w:bookmarkStart w:id="1" w:name="page8"/>
      <w:bookmarkEnd w:id="1"/>
      <w:r>
        <w:rPr>
          <w:rFonts w:hint="eastAsia" w:ascii="黑体" w:hAnsi="黑体" w:eastAsia="黑体"/>
          <w:sz w:val="32"/>
          <w:szCs w:val="32"/>
          <w:highlight w:val="none"/>
        </w:rPr>
        <w:t>明的问题</w:t>
      </w:r>
    </w:p>
    <w:p>
      <w:pPr>
        <w:pStyle w:val="2"/>
        <w:pageBreakBefore w:val="0"/>
        <w:kinsoku/>
        <w:wordWrap/>
        <w:overflowPunct/>
        <w:topLinePunct w:val="0"/>
        <w:autoSpaceDE/>
        <w:autoSpaceDN/>
        <w:bidi w:val="0"/>
        <w:adjustRightInd/>
        <w:snapToGrid/>
        <w:spacing w:before="0" w:after="0" w:line="560" w:lineRule="exact"/>
        <w:jc w:val="both"/>
        <w:rPr>
          <w:rFonts w:hint="default" w:ascii="黑体" w:hAnsi="黑体" w:eastAsia="黑体"/>
          <w:sz w:val="32"/>
          <w:szCs w:val="32"/>
          <w:highlight w:val="none"/>
          <w:lang w:val="en-US" w:eastAsia="zh-CN"/>
        </w:rPr>
      </w:pPr>
      <w:r>
        <w:rPr>
          <w:rFonts w:hint="eastAsia" w:ascii="黑体" w:hAnsi="黑体" w:eastAsia="黑体"/>
          <w:sz w:val="32"/>
          <w:szCs w:val="32"/>
          <w:highlight w:val="none"/>
          <w:lang w:val="en-US" w:eastAsia="zh-CN"/>
        </w:rPr>
        <w:t xml:space="preserve">    </w:t>
      </w:r>
      <w:r>
        <w:rPr>
          <w:rFonts w:hint="eastAsia" w:ascii="仿宋_GB2312" w:hAnsi="仿宋_GB2312" w:eastAsia="仿宋_GB2312" w:cs="仿宋_GB2312"/>
          <w:b w:val="0"/>
          <w:bCs w:val="0"/>
          <w:kern w:val="2"/>
          <w:sz w:val="32"/>
          <w:szCs w:val="32"/>
          <w:highlight w:val="none"/>
          <w:lang w:val="en-US" w:eastAsia="zh-CN" w:bidi="ar-SA"/>
        </w:rPr>
        <w:t>无。</w:t>
      </w:r>
    </w:p>
    <w:p>
      <w:pPr>
        <w:pageBreakBefore w:val="0"/>
        <w:kinsoku/>
        <w:wordWrap/>
        <w:overflowPunct/>
        <w:topLinePunct w:val="0"/>
        <w:autoSpaceDE/>
        <w:autoSpaceDN/>
        <w:bidi w:val="0"/>
        <w:adjustRightInd/>
        <w:snapToGrid/>
        <w:spacing w:line="560" w:lineRule="exact"/>
        <w:rPr>
          <w:rFonts w:hint="eastAsia" w:ascii="黑体" w:hAnsi="黑体" w:eastAsia="黑体"/>
          <w:sz w:val="32"/>
          <w:szCs w:val="32"/>
          <w:highlight w:val="none"/>
        </w:rPr>
      </w:pPr>
    </w:p>
    <w:p>
      <w:pPr>
        <w:pStyle w:val="2"/>
        <w:pageBreakBefore w:val="0"/>
        <w:kinsoku/>
        <w:wordWrap/>
        <w:overflowPunct/>
        <w:topLinePunct w:val="0"/>
        <w:autoSpaceDE/>
        <w:autoSpaceDN/>
        <w:bidi w:val="0"/>
        <w:adjustRightInd/>
        <w:snapToGrid/>
        <w:spacing w:before="0" w:after="0" w:line="560" w:lineRule="exact"/>
        <w:jc w:val="both"/>
        <w:rPr>
          <w:highlight w:val="none"/>
        </w:rPr>
      </w:pPr>
    </w:p>
    <w:p>
      <w:pPr>
        <w:rPr>
          <w:rFonts w:hint="eastAsia" w:ascii="方正小标宋_GBK" w:hAnsi="方正小标宋_GBK" w:eastAsia="方正小标宋_GBK" w:cs="方正小标宋_GBK"/>
          <w:b w:val="0"/>
          <w:bCs w:val="0"/>
          <w:sz w:val="44"/>
          <w:szCs w:val="44"/>
          <w:highlight w:val="none"/>
        </w:rPr>
      </w:pPr>
    </w:p>
    <w:tbl>
      <w:tblPr>
        <w:tblStyle w:val="20"/>
        <w:tblW w:w="9180" w:type="dxa"/>
        <w:tblInd w:w="0" w:type="dxa"/>
        <w:shd w:val="clear" w:color="auto" w:fill="auto"/>
        <w:tblLayout w:type="fixed"/>
        <w:tblCellMar>
          <w:top w:w="0" w:type="dxa"/>
          <w:left w:w="0" w:type="dxa"/>
          <w:bottom w:w="0" w:type="dxa"/>
          <w:right w:w="0" w:type="dxa"/>
        </w:tblCellMar>
      </w:tblPr>
      <w:tblGrid>
        <w:gridCol w:w="840"/>
        <w:gridCol w:w="840"/>
        <w:gridCol w:w="1200"/>
        <w:gridCol w:w="840"/>
        <w:gridCol w:w="840"/>
        <w:gridCol w:w="840"/>
        <w:gridCol w:w="1065"/>
        <w:gridCol w:w="1680"/>
        <w:gridCol w:w="1035"/>
      </w:tblGrid>
      <w:tr>
        <w:tblPrEx>
          <w:shd w:val="clear" w:color="auto" w:fill="auto"/>
        </w:tblPrEx>
        <w:trPr>
          <w:trHeight w:val="409" w:hRule="atLeast"/>
        </w:trPr>
        <w:tc>
          <w:tcPr>
            <w:tcW w:w="91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小标宋_GBK" w:hAnsi="方正小标宋_GBK" w:eastAsia="方正小标宋_GBK" w:cs="方正小标宋_GBK"/>
                <w:b w:val="0"/>
                <w:bCs w:val="0"/>
                <w:i w:val="0"/>
                <w:color w:val="000000"/>
                <w:sz w:val="44"/>
                <w:szCs w:val="44"/>
                <w:u w:val="none"/>
              </w:rPr>
            </w:pPr>
            <w:r>
              <w:rPr>
                <w:rFonts w:hint="eastAsia" w:ascii="方正小标宋_GBK" w:hAnsi="方正小标宋_GBK" w:eastAsia="方正小标宋_GBK" w:cs="方正小标宋_GBK"/>
                <w:b w:val="0"/>
                <w:bCs w:val="0"/>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1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918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50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项目前期费</w:t>
            </w:r>
          </w:p>
        </w:tc>
      </w:tr>
      <w:tr>
        <w:tblPrEx>
          <w:shd w:val="clear" w:color="auto" w:fill="auto"/>
          <w:tblCellMar>
            <w:top w:w="0" w:type="dxa"/>
            <w:left w:w="0" w:type="dxa"/>
            <w:bottom w:w="0" w:type="dxa"/>
            <w:right w:w="0" w:type="dxa"/>
          </w:tblCellMar>
        </w:tblPrEx>
        <w:trPr>
          <w:trHeight w:val="52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78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塔城地区商务局</w:t>
            </w:r>
          </w:p>
        </w:tc>
      </w:tr>
      <w:tr>
        <w:tblPrEx>
          <w:shd w:val="clear" w:color="auto" w:fill="auto"/>
          <w:tblCellMar>
            <w:top w:w="0" w:type="dxa"/>
            <w:left w:w="0" w:type="dxa"/>
            <w:bottom w:w="0" w:type="dxa"/>
            <w:right w:w="0" w:type="dxa"/>
          </w:tblCellMar>
        </w:tblPrEx>
        <w:trPr>
          <w:trHeight w:val="52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37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22.10</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6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248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1、组织开展招商引资活动和网络招商活动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2、制作招商宣传小程序、宣传片、PPT、项目册                                             3、参加自治区商务厅举办的展会及招商活动。</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4、接待企业来访考察洽谈项目。</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5、赴县市开展招商工作及项目调研。                                                        </w:t>
            </w: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1、组织开展招商引资活动和网络招商活动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2、制作招商宣传小程序、宣传片、PPT、项目册                                             3、参加自治区商务厅举办的展会及招商活动。</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4、接待企业来访考察洽谈项目。</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5、赴县市开展招商工作及项目调研。                                                        </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开展网络招商项目洽谈活动</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≥5次</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10次</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6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接待来</w:t>
            </w:r>
            <w:bookmarkStart w:id="2" w:name="_GoBack"/>
            <w:bookmarkEnd w:id="2"/>
            <w:r>
              <w:rPr>
                <w:rFonts w:hint="eastAsia" w:ascii="宋体" w:hAnsi="宋体" w:eastAsia="宋体" w:cs="宋体"/>
                <w:i w:val="0"/>
                <w:color w:val="000000"/>
                <w:kern w:val="0"/>
                <w:sz w:val="18"/>
                <w:szCs w:val="18"/>
                <w:u w:val="none"/>
                <w:lang w:val="en-US" w:eastAsia="zh-CN" w:bidi="ar"/>
              </w:rPr>
              <w:t>访考察</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≥15批次</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10批次</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w:t>
            </w:r>
            <w:r>
              <w:rPr>
                <w:rFonts w:hint="eastAsia" w:ascii="宋体" w:hAnsi="宋体" w:eastAsia="宋体" w:cs="宋体"/>
                <w:i w:val="0"/>
                <w:color w:val="000000"/>
                <w:kern w:val="0"/>
                <w:sz w:val="18"/>
                <w:szCs w:val="18"/>
                <w:u w:val="none"/>
                <w:lang w:val="en-US" w:eastAsia="zh-CN" w:bidi="ar"/>
              </w:rPr>
              <w:t>传染病防治原</w:t>
            </w:r>
            <w:r>
              <w:rPr>
                <w:rFonts w:hint="eastAsia" w:ascii="宋体" w:hAnsi="宋体" w:eastAsia="宋体" w:cs="宋体"/>
                <w:i w:val="0"/>
                <w:color w:val="000000"/>
                <w:kern w:val="0"/>
                <w:sz w:val="18"/>
                <w:szCs w:val="18"/>
                <w:u w:val="none"/>
                <w:lang w:val="en-US" w:eastAsia="zh-CN" w:bidi="ar"/>
              </w:rPr>
              <w:t>因来考察人员大幅度减少</w:t>
            </w:r>
          </w:p>
        </w:tc>
      </w:tr>
      <w:tr>
        <w:tblPrEx>
          <w:shd w:val="clear" w:color="auto" w:fill="auto"/>
          <w:tblCellMar>
            <w:top w:w="0" w:type="dxa"/>
            <w:left w:w="0" w:type="dxa"/>
            <w:bottom w:w="0" w:type="dxa"/>
            <w:right w:w="0" w:type="dxa"/>
          </w:tblCellMar>
        </w:tblPrEx>
        <w:trPr>
          <w:trHeight w:val="118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项目策划、编制</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=2000本</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1000本</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w:t>
            </w:r>
            <w:r>
              <w:rPr>
                <w:rFonts w:hint="eastAsia" w:ascii="宋体" w:hAnsi="宋体" w:eastAsia="宋体" w:cs="宋体"/>
                <w:i w:val="0"/>
                <w:color w:val="000000"/>
                <w:kern w:val="0"/>
                <w:sz w:val="18"/>
                <w:szCs w:val="18"/>
                <w:u w:val="none"/>
                <w:lang w:val="en-US" w:eastAsia="zh-CN" w:bidi="ar"/>
              </w:rPr>
              <w:t>传染病防治</w:t>
            </w:r>
            <w:r>
              <w:rPr>
                <w:rFonts w:hint="eastAsia" w:ascii="宋体" w:hAnsi="宋体" w:eastAsia="宋体" w:cs="宋体"/>
                <w:i w:val="0"/>
                <w:color w:val="000000"/>
                <w:kern w:val="0"/>
                <w:sz w:val="18"/>
                <w:szCs w:val="18"/>
                <w:u w:val="none"/>
                <w:lang w:val="en-US" w:eastAsia="zh-CN" w:bidi="ar"/>
              </w:rPr>
              <w:t>原因，只外出招商一次，宣传册印刷减少</w:t>
            </w: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制作招商引资宣传片</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=1部</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1部</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招商工作及项目调研</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≥8次</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6次</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w:t>
            </w:r>
            <w:r>
              <w:rPr>
                <w:rFonts w:hint="eastAsia" w:ascii="宋体" w:hAnsi="宋体" w:eastAsia="宋体" w:cs="宋体"/>
                <w:i w:val="0"/>
                <w:color w:val="000000"/>
                <w:kern w:val="0"/>
                <w:sz w:val="18"/>
                <w:szCs w:val="18"/>
                <w:u w:val="none"/>
                <w:lang w:val="en-US" w:eastAsia="zh-CN" w:bidi="ar"/>
              </w:rPr>
              <w:t>传染病防治</w:t>
            </w:r>
            <w:r>
              <w:rPr>
                <w:rFonts w:hint="eastAsia" w:ascii="宋体" w:hAnsi="宋体" w:eastAsia="宋体" w:cs="宋体"/>
                <w:i w:val="0"/>
                <w:color w:val="000000"/>
                <w:kern w:val="0"/>
                <w:sz w:val="18"/>
                <w:szCs w:val="18"/>
                <w:u w:val="none"/>
                <w:lang w:val="en-US" w:eastAsia="zh-CN" w:bidi="ar"/>
              </w:rPr>
              <w:t>原因减少城市间流动</w:t>
            </w:r>
          </w:p>
        </w:tc>
      </w:tr>
      <w:tr>
        <w:tblPrEx>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招商引资目标完成率</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8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工作完成时间</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项目前期费</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22.1万元</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8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引进企业投资到位资金</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≥100亿元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118.73亿元</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促进地区经济发展</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有所增长</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有所增长</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上级对工作的满意度</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pStyle w:val="2"/>
        <w:jc w:val="both"/>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rPr>
          <w:rFonts w:hint="eastAsia" w:ascii="仿宋_GB2312"/>
          <w:bCs/>
          <w:sz w:val="32"/>
          <w:szCs w:val="32"/>
          <w:highlight w:val="none"/>
          <w:lang w:val="en-US" w:eastAsia="zh-CN"/>
        </w:rPr>
      </w:pPr>
      <w:r>
        <w:rPr>
          <w:rFonts w:hint="eastAsia" w:ascii="仿宋_GB2312"/>
          <w:bCs/>
          <w:sz w:val="32"/>
          <w:szCs w:val="32"/>
          <w:highlight w:val="none"/>
          <w:lang w:val="en-US" w:eastAsia="zh-CN"/>
        </w:rPr>
        <w:t>附件1</w:t>
      </w:r>
    </w:p>
    <w:tbl>
      <w:tblPr>
        <w:tblStyle w:val="20"/>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7"/>
        <w:gridCol w:w="766"/>
        <w:gridCol w:w="873"/>
        <w:gridCol w:w="2353"/>
        <w:gridCol w:w="5191"/>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一级指标</w:t>
            </w:r>
          </w:p>
        </w:tc>
        <w:tc>
          <w:tcPr>
            <w:tcW w:w="766"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二级指标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三级指标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指标解释</w:t>
            </w:r>
          </w:p>
        </w:tc>
        <w:tc>
          <w:tcPr>
            <w:tcW w:w="5191"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指标说明</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权重</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766"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立项依据</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充分性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项目立项是否符合法律法规、相关政策、发展规划以及部门职责，用以反映和考核项目立项依据情况。</w:t>
            </w:r>
          </w:p>
        </w:tc>
        <w:tc>
          <w:tcPr>
            <w:tcW w:w="5191"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①项目立项是否符合国家法律法规、国民经济发展规划和相关政策；</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②项目立项是否符合行业发展规划和政策要求；</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③项目立项是否与部门职责范围相符，属于部门履职所需；</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④项目是否属于公共财政支持范围，是否符合中央、地方事权支出责任划分原则；</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⑤项目是否与相关部门同类项目或部门内部相关项目重复。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766"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立项程序</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规范性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项目申请、设立过程是否符合相关要求，用以反映和考核项目立项的规范情况。</w:t>
            </w:r>
          </w:p>
        </w:tc>
        <w:tc>
          <w:tcPr>
            <w:tcW w:w="5191"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①项目是否按照规定的程序申请设立；</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②审批文件、材料是否符合相关要求；</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③事前是否已经过必要的可行性研究、专家论证、风险评估、绩效评估、集体决策。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766"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项目所设定的绩效目标是否依据充分，是否符合客观实际，用以反映和考核项目绩效目标与项目实施的相符情况。</w:t>
            </w:r>
          </w:p>
        </w:tc>
        <w:tc>
          <w:tcPr>
            <w:tcW w:w="5191"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（如未设定预算绩效目标，也可考核其他工作任务目标）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①项目是否有绩效目标；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②项目绩效目标与实际工作内容是否具有相关性；</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④是否与预算确定的项目投资额或资金量相匹配。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tc>
        <w:tc>
          <w:tcPr>
            <w:tcW w:w="766"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绩效指标</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明确性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依据绩效目标设定的绩效指标是否清晰、细化、可衡量等，用以反映和考核项目绩效目标的明细化情况。</w:t>
            </w:r>
          </w:p>
        </w:tc>
        <w:tc>
          <w:tcPr>
            <w:tcW w:w="5191"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①是否将项目绩效目标细化分解为具体的绩效指标；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②是否通过清晰、可衡量的指标值予以体现；</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③是否与项目目标任务数或计划数相对应。</w:t>
            </w:r>
            <w:r>
              <w:rPr>
                <w:rFonts w:hint="eastAsia" w:ascii="宋体" w:hAnsi="宋体" w:eastAsia="宋体" w:cs="宋体"/>
                <w:color w:val="000000"/>
                <w:kern w:val="0"/>
                <w:sz w:val="22"/>
                <w:szCs w:val="22"/>
                <w:highlight w:val="none"/>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766"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资金投入</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预算编制</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科学性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1"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①预算编制是否经过科学论证；</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②预算内容与项目内容是否匹配；</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③预算额度测算依据是否充分，是否按照标准编制；</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④预算确定的项目投资额或资金量是否与工作任务相匹配。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766"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资金分配</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5191"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①预算资金分配依据是否充分；</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②资金分配额度是否合理，与项目单位或地方实际是否相适应。</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7" w:type="dxa"/>
            <w:vMerge w:val="restart"/>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w:t>
            </w:r>
          </w:p>
        </w:tc>
        <w:tc>
          <w:tcPr>
            <w:tcW w:w="766"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实际到位资金与预算资金的比率，用以反映和考核资金落实情况对项目实施的总体保障程度。</w:t>
            </w:r>
          </w:p>
        </w:tc>
        <w:tc>
          <w:tcPr>
            <w:tcW w:w="5191"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资金到位率=（实际到位资金/预算资金）×100%。</w:t>
            </w:r>
          </w:p>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预算资金：一定时期（本年度或项目期）内预算安排到具体项目的资金。</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p>
        </w:tc>
        <w:tc>
          <w:tcPr>
            <w:tcW w:w="766"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5191"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预算执行率=（实际支出资金/实际到位资金）×100%。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实际支出资金：一定时期（本年度或项目期）内项目实际拨付的资金。</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66"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5191"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①是否符合国家财经法规和财务管理制度以及有关专项资金管理办法的规定；</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②资金的拨付是否有完整的审批程序和手续；</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③是否符合项目预算批复或合同规定的用途；</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④是否存在截留、挤占、挪用、虚列支出等情况。</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766"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5191"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①是否已制定或具有相应的财务和业务管理制度；</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②财务和业务管理制度是否合法、合规、完整。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766"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5191"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①是否遵守相关法律法规和相关管理规定；</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②项目调整及支出调整手续是否完备；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③项目合同书、验收报告、技术鉴定等资料是否齐全并及时归档；</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④项目实施的人员条件、场地设备、信息支撑等是否落实到位。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66"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5191"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实际完成率=（实际产出数/计划产出数）×100%。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实际产出数：一定时期（本年度或项目期）内项目实际产出的产品或提供的服务数量。</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auto"/>
                <w:kern w:val="0"/>
                <w:sz w:val="22"/>
                <w:szCs w:val="22"/>
                <w:highlight w:val="none"/>
                <w:lang w:val="en-US" w:eastAsia="zh-CN"/>
              </w:rPr>
              <w:t>11.73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66"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5191"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766" w:type="dxa"/>
            <w:shd w:val="clear" w:color="auto" w:fill="FFFFFF"/>
            <w:noWrap w:val="0"/>
            <w:vAlign w:val="center"/>
          </w:tcPr>
          <w:p>
            <w:pPr>
              <w:pageBreakBefore w:val="0"/>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完成及时性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5191"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实际完成时间：项目实施单位完成该项目实际所耗用的时间。</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766"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成本节约率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5191"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成本节约率=[（计划成本-实际成本）/计划成本]×100%。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实际成本：项目实施单位如期、保质、保量完成既定工作目标实际所耗费的支出。</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auto"/>
                <w:kern w:val="0"/>
                <w:sz w:val="22"/>
                <w:szCs w:val="22"/>
                <w:highlight w:val="none"/>
                <w:lang w:val="en-US" w:eastAsia="zh-CN"/>
              </w:rPr>
              <w:t>8.95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66"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实施效益</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5191"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30</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766"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满意度</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5191"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w:t>
            </w:r>
          </w:p>
        </w:tc>
      </w:tr>
    </w:tbl>
    <w:p>
      <w:pPr>
        <w:pStyle w:val="2"/>
        <w:pageBreakBefore w:val="0"/>
        <w:kinsoku/>
        <w:wordWrap/>
        <w:overflowPunct/>
        <w:topLinePunct w:val="0"/>
        <w:autoSpaceDE/>
        <w:autoSpaceDN/>
        <w:bidi w:val="0"/>
        <w:adjustRightInd/>
        <w:snapToGrid/>
        <w:spacing w:before="0" w:after="0" w:line="560" w:lineRule="exact"/>
        <w:rPr>
          <w:rFonts w:hint="default"/>
          <w:highlight w:val="none"/>
          <w:lang w:val="en-US" w:eastAsia="zh-CN"/>
        </w:rPr>
        <w:sectPr>
          <w:pgSz w:w="16838" w:h="11906" w:orient="landscape"/>
          <w:pgMar w:top="1800" w:right="1440" w:bottom="1558" w:left="144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rPr>
          <w:rFonts w:hint="default"/>
          <w:highlight w:val="none"/>
          <w:lang w:val="en-US" w:eastAsia="zh-CN"/>
        </w:rPr>
      </w:pPr>
    </w:p>
    <w:p>
      <w:pPr>
        <w:pageBreakBefore w:val="0"/>
        <w:kinsoku/>
        <w:wordWrap/>
        <w:overflowPunct/>
        <w:topLinePunct w:val="0"/>
        <w:autoSpaceDE/>
        <w:autoSpaceDN/>
        <w:bidi w:val="0"/>
        <w:adjustRightInd/>
        <w:snapToGrid/>
        <w:spacing w:line="560" w:lineRule="exact"/>
        <w:rPr>
          <w:highlight w:val="none"/>
        </w:rPr>
      </w:pPr>
    </w:p>
    <w:p>
      <w:pPr>
        <w:pageBreakBefore w:val="0"/>
        <w:kinsoku/>
        <w:wordWrap/>
        <w:overflowPunct/>
        <w:topLinePunct w:val="0"/>
        <w:autoSpaceDE/>
        <w:autoSpaceDN/>
        <w:bidi w:val="0"/>
        <w:adjustRightInd/>
        <w:snapToGrid/>
        <w:spacing w:line="560" w:lineRule="exact"/>
        <w:ind w:firstLine="640"/>
        <w:rPr>
          <w:rStyle w:val="22"/>
          <w:rFonts w:ascii="黑体" w:hAnsi="黑体" w:eastAsia="黑体"/>
          <w:bCs w:val="0"/>
          <w:spacing w:val="-4"/>
          <w:sz w:val="32"/>
          <w:szCs w:val="32"/>
          <w:highlight w:val="none"/>
        </w:rPr>
      </w:pPr>
    </w:p>
    <w:p>
      <w:pPr>
        <w:pageBreakBefore w:val="0"/>
        <w:kinsoku/>
        <w:wordWrap/>
        <w:overflowPunct/>
        <w:topLinePunct w:val="0"/>
        <w:autoSpaceDE/>
        <w:autoSpaceDN/>
        <w:bidi w:val="0"/>
        <w:adjustRightInd/>
        <w:snapToGrid/>
        <w:spacing w:line="560" w:lineRule="exact"/>
        <w:ind w:firstLine="640"/>
        <w:rPr>
          <w:rStyle w:val="22"/>
          <w:rFonts w:ascii="黑体" w:hAnsi="黑体" w:eastAsia="黑体"/>
          <w:bCs w:val="0"/>
          <w:spacing w:val="-4"/>
          <w:sz w:val="32"/>
          <w:szCs w:val="32"/>
          <w:highlight w:val="none"/>
        </w:rPr>
      </w:pPr>
    </w:p>
    <w:p>
      <w:pPr>
        <w:pageBreakBefore w:val="0"/>
        <w:kinsoku/>
        <w:wordWrap/>
        <w:overflowPunct/>
        <w:topLinePunct w:val="0"/>
        <w:autoSpaceDE/>
        <w:autoSpaceDN/>
        <w:bidi w:val="0"/>
        <w:adjustRightInd/>
        <w:snapToGrid/>
        <w:spacing w:line="560" w:lineRule="exact"/>
        <w:ind w:firstLine="640"/>
        <w:rPr>
          <w:rStyle w:val="22"/>
          <w:rFonts w:ascii="黑体" w:hAnsi="黑体" w:eastAsia="黑体"/>
          <w:bCs w:val="0"/>
          <w:spacing w:val="-4"/>
          <w:sz w:val="32"/>
          <w:szCs w:val="32"/>
          <w:highlight w:val="none"/>
        </w:rPr>
      </w:pPr>
    </w:p>
    <w:p>
      <w:pPr>
        <w:pageBreakBefore w:val="0"/>
        <w:kinsoku/>
        <w:wordWrap/>
        <w:overflowPunct/>
        <w:topLinePunct w:val="0"/>
        <w:autoSpaceDE/>
        <w:autoSpaceDN/>
        <w:bidi w:val="0"/>
        <w:adjustRightInd/>
        <w:snapToGrid/>
        <w:spacing w:line="560" w:lineRule="exact"/>
        <w:ind w:firstLine="640"/>
        <w:rPr>
          <w:rStyle w:val="22"/>
          <w:rFonts w:ascii="黑体" w:hAnsi="黑体" w:eastAsia="黑体"/>
          <w:bCs w:val="0"/>
          <w:spacing w:val="-4"/>
          <w:sz w:val="32"/>
          <w:szCs w:val="32"/>
          <w:highlight w:val="none"/>
        </w:rPr>
      </w:pPr>
    </w:p>
    <w:p>
      <w:pPr>
        <w:pageBreakBefore w:val="0"/>
        <w:kinsoku/>
        <w:wordWrap/>
        <w:overflowPunct/>
        <w:topLinePunct w:val="0"/>
        <w:autoSpaceDE/>
        <w:autoSpaceDN/>
        <w:bidi w:val="0"/>
        <w:adjustRightInd/>
        <w:snapToGrid/>
        <w:spacing w:line="560" w:lineRule="exact"/>
        <w:ind w:firstLine="640"/>
        <w:rPr>
          <w:rStyle w:val="22"/>
          <w:rFonts w:ascii="黑体" w:hAnsi="黑体" w:eastAsia="黑体"/>
          <w:bCs w:val="0"/>
          <w:spacing w:val="-4"/>
          <w:sz w:val="32"/>
          <w:szCs w:val="32"/>
          <w:highlight w:val="none"/>
        </w:rPr>
      </w:pPr>
    </w:p>
    <w:p>
      <w:pPr>
        <w:pageBreakBefore w:val="0"/>
        <w:kinsoku/>
        <w:wordWrap/>
        <w:overflowPunct/>
        <w:topLinePunct w:val="0"/>
        <w:autoSpaceDE/>
        <w:autoSpaceDN/>
        <w:bidi w:val="0"/>
        <w:adjustRightInd/>
        <w:snapToGrid/>
        <w:spacing w:line="560" w:lineRule="exact"/>
        <w:ind w:firstLine="640"/>
        <w:rPr>
          <w:rStyle w:val="22"/>
          <w:rFonts w:ascii="黑体" w:hAnsi="黑体" w:eastAsia="黑体"/>
          <w:bCs w:val="0"/>
          <w:spacing w:val="-4"/>
          <w:sz w:val="32"/>
          <w:szCs w:val="32"/>
          <w:highlight w:val="none"/>
        </w:rPr>
      </w:pPr>
    </w:p>
    <w:p>
      <w:pPr>
        <w:pageBreakBefore w:val="0"/>
        <w:kinsoku/>
        <w:wordWrap/>
        <w:overflowPunct/>
        <w:topLinePunct w:val="0"/>
        <w:autoSpaceDE/>
        <w:autoSpaceDN/>
        <w:bidi w:val="0"/>
        <w:adjustRightInd/>
        <w:snapToGrid/>
        <w:spacing w:line="560" w:lineRule="exact"/>
        <w:rPr>
          <w:rStyle w:val="22"/>
          <w:rFonts w:ascii="仿宋" w:hAnsi="仿宋" w:eastAsia="仿宋"/>
          <w:b w:val="0"/>
          <w:spacing w:val="-4"/>
          <w:sz w:val="32"/>
          <w:szCs w:val="32"/>
          <w:highlight w:val="none"/>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3730CCE4"/>
    <w:multiLevelType w:val="singleLevel"/>
    <w:tmpl w:val="3730CCE4"/>
    <w:lvl w:ilvl="0" w:tentative="0">
      <w:start w:val="2"/>
      <w:numFmt w:val="decimal"/>
      <w:suff w:val="nothing"/>
      <w:lvlText w:val="（%1）"/>
      <w:lvlJc w:val="left"/>
    </w:lvl>
  </w:abstractNum>
  <w:abstractNum w:abstractNumId="6">
    <w:nsid w:val="40319F08"/>
    <w:multiLevelType w:val="singleLevel"/>
    <w:tmpl w:val="40319F08"/>
    <w:lvl w:ilvl="0" w:tentative="0">
      <w:start w:val="1"/>
      <w:numFmt w:val="decimal"/>
      <w:suff w:val="nothing"/>
      <w:lvlText w:val="%1、"/>
      <w:lvlJc w:val="left"/>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5"/>
  </w:num>
  <w:num w:numId="2">
    <w:abstractNumId w:val="2"/>
  </w:num>
  <w:num w:numId="3">
    <w:abstractNumId w:val="1"/>
  </w:num>
  <w:num w:numId="4">
    <w:abstractNumId w:val="4"/>
  </w:num>
  <w:num w:numId="5">
    <w:abstractNumId w:val="7"/>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41627"/>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5BF44D0"/>
    <w:rsid w:val="066D6EAA"/>
    <w:rsid w:val="073C55CF"/>
    <w:rsid w:val="073F4F0C"/>
    <w:rsid w:val="089C64CD"/>
    <w:rsid w:val="08C662D4"/>
    <w:rsid w:val="09BD4D95"/>
    <w:rsid w:val="0A247AC4"/>
    <w:rsid w:val="0F6A1432"/>
    <w:rsid w:val="0F8D41CB"/>
    <w:rsid w:val="10FC32D4"/>
    <w:rsid w:val="11C75270"/>
    <w:rsid w:val="11EB1391"/>
    <w:rsid w:val="11F80181"/>
    <w:rsid w:val="12231CAA"/>
    <w:rsid w:val="12637CC3"/>
    <w:rsid w:val="12E657C5"/>
    <w:rsid w:val="13301EBC"/>
    <w:rsid w:val="14557309"/>
    <w:rsid w:val="167C7687"/>
    <w:rsid w:val="168B3546"/>
    <w:rsid w:val="1714725A"/>
    <w:rsid w:val="17857498"/>
    <w:rsid w:val="17EB1A43"/>
    <w:rsid w:val="18A167E6"/>
    <w:rsid w:val="19692502"/>
    <w:rsid w:val="1A2374E0"/>
    <w:rsid w:val="1AB02A55"/>
    <w:rsid w:val="1C317CE2"/>
    <w:rsid w:val="1C506F8C"/>
    <w:rsid w:val="1DD45808"/>
    <w:rsid w:val="1DED42AC"/>
    <w:rsid w:val="1E150D76"/>
    <w:rsid w:val="20005763"/>
    <w:rsid w:val="20FB313D"/>
    <w:rsid w:val="21D66088"/>
    <w:rsid w:val="22021E2D"/>
    <w:rsid w:val="220B4804"/>
    <w:rsid w:val="228C78CA"/>
    <w:rsid w:val="22BA66DF"/>
    <w:rsid w:val="23254564"/>
    <w:rsid w:val="246F6528"/>
    <w:rsid w:val="26320F45"/>
    <w:rsid w:val="282475E3"/>
    <w:rsid w:val="2C165AE7"/>
    <w:rsid w:val="2C6100C1"/>
    <w:rsid w:val="30C52BAE"/>
    <w:rsid w:val="3264220D"/>
    <w:rsid w:val="33A7218A"/>
    <w:rsid w:val="34A03845"/>
    <w:rsid w:val="362D69F4"/>
    <w:rsid w:val="367E5861"/>
    <w:rsid w:val="38D676A8"/>
    <w:rsid w:val="3963178C"/>
    <w:rsid w:val="396844A4"/>
    <w:rsid w:val="39973781"/>
    <w:rsid w:val="3A961861"/>
    <w:rsid w:val="3C4F067E"/>
    <w:rsid w:val="3D9D623D"/>
    <w:rsid w:val="3E5B62F6"/>
    <w:rsid w:val="415D7696"/>
    <w:rsid w:val="41CC2676"/>
    <w:rsid w:val="442C43A6"/>
    <w:rsid w:val="44980A5D"/>
    <w:rsid w:val="45D05390"/>
    <w:rsid w:val="46B21672"/>
    <w:rsid w:val="474453DB"/>
    <w:rsid w:val="485F593F"/>
    <w:rsid w:val="49090187"/>
    <w:rsid w:val="4CEC72EB"/>
    <w:rsid w:val="4F552460"/>
    <w:rsid w:val="4FCC6863"/>
    <w:rsid w:val="500A214A"/>
    <w:rsid w:val="50594DE2"/>
    <w:rsid w:val="5226271D"/>
    <w:rsid w:val="522D604D"/>
    <w:rsid w:val="5297585E"/>
    <w:rsid w:val="52AD7D6F"/>
    <w:rsid w:val="5549519D"/>
    <w:rsid w:val="555703A8"/>
    <w:rsid w:val="5557596B"/>
    <w:rsid w:val="55833E23"/>
    <w:rsid w:val="59015988"/>
    <w:rsid w:val="5B596DFC"/>
    <w:rsid w:val="5C887F70"/>
    <w:rsid w:val="5CC47FDB"/>
    <w:rsid w:val="5DF03945"/>
    <w:rsid w:val="5ED27BE1"/>
    <w:rsid w:val="60B11051"/>
    <w:rsid w:val="61192DDC"/>
    <w:rsid w:val="6135285A"/>
    <w:rsid w:val="623350D7"/>
    <w:rsid w:val="637C2815"/>
    <w:rsid w:val="650657F8"/>
    <w:rsid w:val="65292C7F"/>
    <w:rsid w:val="66A35844"/>
    <w:rsid w:val="6B700D0D"/>
    <w:rsid w:val="6BC609A7"/>
    <w:rsid w:val="6C7E3893"/>
    <w:rsid w:val="6D6E6E9F"/>
    <w:rsid w:val="6DE66229"/>
    <w:rsid w:val="6ED3075F"/>
    <w:rsid w:val="6FC80CBD"/>
    <w:rsid w:val="73106236"/>
    <w:rsid w:val="731D364E"/>
    <w:rsid w:val="75DF04E9"/>
    <w:rsid w:val="77D40EFA"/>
    <w:rsid w:val="780A60F7"/>
    <w:rsid w:val="797F1D19"/>
    <w:rsid w:val="799526A5"/>
    <w:rsid w:val="7A353D0B"/>
    <w:rsid w:val="7B531620"/>
    <w:rsid w:val="7C540886"/>
    <w:rsid w:val="7D3A5E2F"/>
    <w:rsid w:val="7E437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footnote text"/>
    <w:basedOn w:val="1"/>
    <w:qFormat/>
    <w:uiPriority w:val="0"/>
    <w:pPr>
      <w:snapToGrid w:val="0"/>
      <w:jc w:val="left"/>
    </w:pPr>
    <w:rPr>
      <w:sz w:val="18"/>
      <w:szCs w:val="18"/>
    </w:rPr>
  </w:style>
  <w:style w:type="paragraph" w:styleId="19">
    <w:name w:val="Body Text First Indent"/>
    <w:basedOn w:val="13"/>
    <w:qFormat/>
    <w:uiPriority w:val="0"/>
    <w:pPr>
      <w:spacing w:after="0"/>
      <w:ind w:firstLine="20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 w:type="paragraph" w:customStyle="1" w:styleId="52">
    <w:name w:val="Other|1"/>
    <w:basedOn w:val="1"/>
    <w:qFormat/>
    <w:uiPriority w:val="0"/>
    <w:pPr>
      <w:spacing w:line="437" w:lineRule="auto"/>
      <w:ind w:firstLine="400"/>
    </w:pPr>
    <w:rPr>
      <w:rFonts w:ascii="宋体" w:hAnsi="宋体" w:cs="宋体"/>
      <w:sz w:val="19"/>
      <w:szCs w:val="19"/>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0</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2025-09-08T03:21:29Z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728097718_cloud</vt:lpwstr>
  </property>
  <property fmtid="{D5CDD505-2E9C-101B-9397-08002B2CF9AE}" pid="4" name="ICV">
    <vt:lpwstr>438B835FA12642A78FC26B4791BF4DB7</vt:lpwstr>
  </property>
</Properties>
</file>