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8"/>
          <w:szCs w:val="48"/>
        </w:rPr>
      </w:pPr>
      <w:r>
        <w:rPr>
          <w:rFonts w:hint="eastAsia" w:ascii="方正小标宋简体" w:hAnsi="方正小标宋简体" w:eastAsia="方正小标宋简体" w:cs="方正小标宋简体"/>
          <w:kern w:val="0"/>
          <w:sz w:val="48"/>
          <w:szCs w:val="48"/>
          <w:lang w:eastAsia="zh-CN"/>
        </w:rPr>
        <w:t>边境地区转移支付</w:t>
      </w:r>
      <w:r>
        <w:rPr>
          <w:rFonts w:hint="eastAsia" w:ascii="方正小标宋简体" w:hAnsi="方正小标宋简体" w:eastAsia="方正小标宋简体" w:cs="方正小标宋简体"/>
          <w:kern w:val="0"/>
          <w:sz w:val="48"/>
          <w:szCs w:val="48"/>
        </w:rPr>
        <w:t>资金项目支出</w:t>
      </w:r>
    </w:p>
    <w:p>
      <w:pPr>
        <w:spacing w:line="540" w:lineRule="exact"/>
        <w:jc w:val="center"/>
        <w:rPr>
          <w:rFonts w:hint="eastAsia" w:ascii="方正小标宋简体" w:hAnsi="方正小标宋简体" w:eastAsia="方正小标宋简体" w:cs="方正小标宋简体"/>
          <w:kern w:val="0"/>
          <w:sz w:val="48"/>
          <w:szCs w:val="48"/>
        </w:rPr>
      </w:pPr>
      <w:r>
        <w:rPr>
          <w:rFonts w:hint="eastAsia" w:ascii="方正小标宋简体" w:hAnsi="方正小标宋简体" w:eastAsia="方正小标宋简体" w:cs="方正小标宋简体"/>
          <w:kern w:val="0"/>
          <w:sz w:val="48"/>
          <w:szCs w:val="48"/>
        </w:rPr>
        <w:t>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700" w:lineRule="exact"/>
        <w:ind w:firstLine="720" w:firstLineChars="2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val="en-US" w:eastAsia="zh-CN"/>
        </w:rPr>
        <w:t>巴克图口岸入境道路（货场）建设项目</w:t>
      </w:r>
    </w:p>
    <w:p>
      <w:pPr>
        <w:spacing w:line="700" w:lineRule="exact"/>
        <w:ind w:firstLine="720" w:firstLineChars="2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val="en-US" w:eastAsia="zh-CN"/>
        </w:rPr>
        <w:t>塔城地区口岸管理委员会</w:t>
      </w:r>
    </w:p>
    <w:p>
      <w:pPr>
        <w:spacing w:line="700" w:lineRule="exact"/>
        <w:ind w:firstLine="720" w:firstLineChars="2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val="en-US" w:eastAsia="zh-CN"/>
        </w:rPr>
        <w:t>塔城地区行署</w:t>
      </w:r>
    </w:p>
    <w:p>
      <w:pPr>
        <w:spacing w:line="700" w:lineRule="exact"/>
        <w:ind w:firstLine="720" w:firstLineChars="2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蒋玉刚</w:t>
      </w:r>
    </w:p>
    <w:p>
      <w:pPr>
        <w:spacing w:line="700" w:lineRule="exact"/>
        <w:ind w:firstLine="720" w:firstLineChars="2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3</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15</w:t>
      </w:r>
      <w:r>
        <w:rPr>
          <w:rFonts w:hint="eastAsia" w:ascii="仿宋_GB2312" w:hAnsi="仿宋_GB2312" w:eastAsia="仿宋_GB2312" w:cs="仿宋_GB2312"/>
          <w:kern w:val="0"/>
          <w:sz w:val="36"/>
          <w:szCs w:val="36"/>
        </w:rPr>
        <w:t>日</w:t>
      </w:r>
    </w:p>
    <w:p>
      <w:pPr>
        <w:spacing w:line="540" w:lineRule="exact"/>
        <w:jc w:val="center"/>
        <w:rPr>
          <w:rFonts w:hint="eastAsia" w:ascii="仿宋_GB2312" w:hAnsi="仿宋_GB2312" w:eastAsia="仿宋_GB2312" w:cs="仿宋_GB2312"/>
          <w:kern w:val="0"/>
          <w:sz w:val="36"/>
          <w:szCs w:val="36"/>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本项目位于巴克图口岸区联检区。地形平坦开阔，北高南低</w:t>
      </w:r>
      <w:r>
        <w:rPr>
          <w:rFonts w:hint="eastAsia" w:ascii="仿宋_GB2312" w:hAnsi="仿宋_GB2312" w:eastAsia="仿宋_GB2312" w:cs="仿宋_GB2312"/>
          <w:sz w:val="32"/>
          <w:szCs w:val="32"/>
          <w:lang w:eastAsia="zh-CN"/>
        </w:rPr>
        <w:t>，由北向南</w:t>
      </w:r>
      <w:r>
        <w:rPr>
          <w:rFonts w:hint="eastAsia" w:ascii="仿宋_GB2312" w:hAnsi="仿宋_GB2312" w:eastAsia="仿宋_GB2312" w:cs="仿宋_GB2312"/>
          <w:sz w:val="32"/>
          <w:szCs w:val="32"/>
        </w:rPr>
        <w:t>地势逐渐降低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项目对社会影响的分析、项目与社会的互适性分析、项目的社会风险分析三个方面的分析可知，本项目的建设，可以完善公路网布局规划；项目所在区域的社会经济及社会环境现状较好，社会发展要求有较好的交通设施条件，促进资源的开发和利用；同时，项目影响区域的文化发展状况及技术条件与本项目相适应；不同利益群体、当地组织机构积极支持项目的建设。通过采取适当有效的措施可以避免社会风险，保证项目的可持续发展。</w:t>
      </w:r>
    </w:p>
    <w:p>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项目实施的历史概况</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Style w:val="24"/>
          <w:rFonts w:ascii="黑体" w:hAnsi="黑体" w:eastAsia="黑体"/>
          <w:bCs w:val="0"/>
          <w:spacing w:val="-4"/>
          <w:sz w:val="32"/>
          <w:szCs w:val="32"/>
        </w:rPr>
      </w:pPr>
      <w:r>
        <w:rPr>
          <w:rFonts w:hint="eastAsia" w:ascii="仿宋_GB2312" w:hAnsi="仿宋_GB2312" w:eastAsia="仿宋_GB2312" w:cs="仿宋_GB2312"/>
          <w:sz w:val="32"/>
          <w:szCs w:val="32"/>
          <w:lang w:val="en-US" w:eastAsia="zh-CN"/>
        </w:rPr>
        <w:t>2012年5月28日至29日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第二次中央新疆工作座谈会在北京召开，会议着重强调部署“以通道建设为依托扩大对内外开发，加强铁路等基础设施建设，发展现代物流”。</w:t>
      </w:r>
      <w:r>
        <w:rPr>
          <w:rFonts w:hint="eastAsia" w:ascii="仿宋_GB2312" w:hAnsi="仿宋_GB2312" w:eastAsia="仿宋_GB2312" w:cs="仿宋_GB2312"/>
          <w:sz w:val="32"/>
          <w:szCs w:val="32"/>
          <w:lang w:val="en-US" w:eastAsia="zh-CN"/>
        </w:rPr>
        <w:t>2016年12月28日至29日新疆维吾尔自治区党委经济工作会议在乌鲁木齐召开。会议提出，2017年将重点实施“高速公路联网畅通、国省干线升级提质、农村公路暖心惠民、固边兴边联通保障、运输服务提升品质”五大工程。本</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的建设是扩大对外开放的基础，是现代物流的根本，也是资源输入与产能输出的重要保证，是贯彻落实“第二次中央新疆工作座谈会”“</w:t>
      </w:r>
      <w:r>
        <w:rPr>
          <w:rFonts w:hint="eastAsia" w:ascii="仿宋_GB2312" w:hAnsi="仿宋_GB2312" w:eastAsia="仿宋_GB2312" w:cs="仿宋_GB2312"/>
          <w:sz w:val="32"/>
          <w:szCs w:val="32"/>
          <w:lang w:val="en-US" w:eastAsia="zh-CN"/>
        </w:rPr>
        <w:t>自治区党委经济工作会议</w:t>
      </w:r>
      <w:r>
        <w:rPr>
          <w:rFonts w:hint="eastAsia" w:ascii="仿宋_GB2312" w:hAnsi="仿宋_GB2312" w:eastAsia="仿宋_GB2312" w:cs="仿宋_GB2312"/>
          <w:sz w:val="32"/>
          <w:szCs w:val="32"/>
          <w:lang w:eastAsia="zh-CN"/>
        </w:rPr>
        <w:t>精神”的具体行动。</w:t>
      </w:r>
    </w:p>
    <w:p>
      <w:pPr>
        <w:pageBreakBefore w:val="0"/>
        <w:numPr>
          <w:ilvl w:val="0"/>
          <w:numId w:val="0"/>
        </w:numPr>
        <w:kinsoku/>
        <w:wordWrap/>
        <w:overflowPunct/>
        <w:topLinePunct w:val="0"/>
        <w:autoSpaceDE/>
        <w:autoSpaceDN/>
        <w:bidi w:val="0"/>
        <w:adjustRightInd/>
        <w:snapToGrid/>
        <w:spacing w:line="560" w:lineRule="exact"/>
        <w:ind w:left="630" w:leftChars="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项目主要内容及实施情况</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项目主要内容：本项目全长0.509km，参照城市主干路技术标准设计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设计速度60km/h</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，路基宽度24m，行车道宽度6×3.75m，硬路肩宽度2×0.75m，路拱横坡：1.5%。桥涵荷载为公路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Ⅰ级，桥涵与路基同宽。</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本项目由塔城市发展改革委员会于2019年10月9日批准建设。（塔市发改投资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268号）</w:t>
      </w:r>
    </w:p>
    <w:p>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579" w:firstLineChars="181"/>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本项目总投资</w:t>
      </w:r>
      <w:r>
        <w:rPr>
          <w:rFonts w:hint="eastAsia" w:ascii="仿宋_GB2312" w:hAnsi="仿宋_GB2312" w:eastAsia="仿宋_GB2312" w:cs="仿宋_GB2312"/>
          <w:sz w:val="32"/>
          <w:szCs w:val="32"/>
          <w:highlight w:val="none"/>
          <w:lang w:val="en-US" w:eastAsia="zh-CN"/>
        </w:rPr>
        <w:t>503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财政本级资金</w:t>
      </w:r>
      <w:r>
        <w:rPr>
          <w:rFonts w:hint="eastAsia" w:ascii="仿宋_GB2312" w:hAnsi="仿宋_GB2312" w:eastAsia="仿宋_GB2312" w:cs="仿宋_GB2312"/>
          <w:sz w:val="32"/>
          <w:szCs w:val="32"/>
          <w:highlight w:val="none"/>
          <w:lang w:val="en-US" w:eastAsia="zh-CN"/>
        </w:rPr>
        <w:t>503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2020年安排资金440万元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截至</w:t>
      </w:r>
      <w:r>
        <w:rPr>
          <w:rFonts w:hint="eastAsia" w:ascii="仿宋_GB2312" w:hAnsi="仿宋_GB2312" w:eastAsia="仿宋_GB2312" w:cs="仿宋_GB2312"/>
          <w:sz w:val="32"/>
          <w:szCs w:val="32"/>
          <w:highlight w:val="none"/>
          <w:lang w:val="en-US" w:eastAsia="zh-CN"/>
        </w:rPr>
        <w:t>2020年底</w:t>
      </w:r>
      <w:r>
        <w:rPr>
          <w:rFonts w:hint="eastAsia" w:ascii="仿宋_GB2312" w:hAnsi="仿宋_GB2312" w:eastAsia="仿宋_GB2312" w:cs="仿宋_GB2312"/>
          <w:sz w:val="32"/>
          <w:szCs w:val="32"/>
          <w:highlight w:val="none"/>
        </w:rPr>
        <w:t>项目实际支出</w:t>
      </w:r>
      <w:r>
        <w:rPr>
          <w:rFonts w:hint="eastAsia" w:ascii="仿宋_GB2312" w:hAnsi="仿宋_GB2312" w:eastAsia="仿宋_GB2312" w:cs="仿宋_GB2312"/>
          <w:sz w:val="32"/>
          <w:szCs w:val="32"/>
          <w:highlight w:val="none"/>
          <w:lang w:val="en-US" w:eastAsia="zh-CN"/>
        </w:rPr>
        <w:t>342.76</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其中：2019年支出26.85万元、2020年支出315.91万元（未完工）</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3、资金投入和使用情况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en-US" w:eastAsia="zh-CN"/>
        </w:rPr>
        <w:t>2020年</w:t>
      </w:r>
      <w:r>
        <w:rPr>
          <w:rFonts w:hint="eastAsia" w:ascii="仿宋_GB2312" w:hAnsi="仿宋_GB2312" w:eastAsia="仿宋_GB2312" w:cs="仿宋_GB2312"/>
          <w:sz w:val="32"/>
          <w:szCs w:val="32"/>
          <w:highlight w:val="none"/>
        </w:rPr>
        <w:t>项目投资</w:t>
      </w:r>
      <w:r>
        <w:rPr>
          <w:rFonts w:hint="eastAsia" w:ascii="仿宋_GB2312" w:hAnsi="仿宋_GB2312" w:eastAsia="仿宋_GB2312" w:cs="仿宋_GB2312"/>
          <w:sz w:val="32"/>
          <w:szCs w:val="32"/>
          <w:highlight w:val="none"/>
          <w:lang w:val="en-US" w:eastAsia="zh-CN"/>
        </w:rPr>
        <w:t>315.91</w:t>
      </w:r>
      <w:r>
        <w:rPr>
          <w:rFonts w:hint="eastAsia" w:ascii="仿宋_GB2312" w:hAnsi="仿宋_GB2312" w:eastAsia="仿宋_GB2312" w:cs="仿宋_GB2312"/>
          <w:sz w:val="32"/>
          <w:szCs w:val="32"/>
          <w:highlight w:val="none"/>
        </w:rPr>
        <w:t>万元，按照《</w:t>
      </w:r>
      <w:r>
        <w:rPr>
          <w:rFonts w:hint="eastAsia" w:ascii="仿宋_GB2312" w:hAnsi="仿宋_GB2312" w:eastAsia="仿宋_GB2312" w:cs="仿宋_GB2312"/>
          <w:sz w:val="32"/>
          <w:szCs w:val="32"/>
          <w:highlight w:val="none"/>
          <w:lang w:val="en-US" w:eastAsia="zh-CN"/>
        </w:rPr>
        <w:t>新疆维吾尔自治区边境地区转移支付</w:t>
      </w:r>
      <w:r>
        <w:rPr>
          <w:rFonts w:hint="eastAsia" w:ascii="仿宋_GB2312" w:hAnsi="仿宋_GB2312" w:eastAsia="仿宋_GB2312" w:cs="仿宋_GB2312"/>
          <w:sz w:val="32"/>
          <w:szCs w:val="32"/>
          <w:highlight w:val="none"/>
        </w:rPr>
        <w:t>资金管理办法》及单位财务制度等相关规定，资金支出符合</w:t>
      </w:r>
      <w:r>
        <w:rPr>
          <w:rFonts w:hint="eastAsia" w:ascii="仿宋_GB2312" w:hAnsi="仿宋_GB2312" w:eastAsia="仿宋_GB2312" w:cs="仿宋_GB2312"/>
          <w:sz w:val="32"/>
          <w:szCs w:val="32"/>
          <w:highlight w:val="none"/>
          <w:lang w:val="en-US" w:eastAsia="zh-CN"/>
        </w:rPr>
        <w:t>边境地区转移支付</w:t>
      </w:r>
      <w:r>
        <w:rPr>
          <w:rFonts w:hint="eastAsia" w:ascii="仿宋_GB2312" w:hAnsi="仿宋_GB2312" w:eastAsia="仿宋_GB2312" w:cs="仿宋_GB2312"/>
          <w:sz w:val="32"/>
          <w:szCs w:val="32"/>
          <w:highlight w:val="none"/>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highlight w:val="none"/>
          <w:lang w:val="en-US" w:eastAsia="zh-CN"/>
        </w:rPr>
        <w:t>边境地区转移支付</w:t>
      </w:r>
      <w:r>
        <w:rPr>
          <w:rFonts w:hint="eastAsia" w:ascii="仿宋_GB2312" w:hAnsi="仿宋_GB2312" w:eastAsia="仿宋_GB2312" w:cs="仿宋_GB2312"/>
          <w:sz w:val="32"/>
          <w:szCs w:val="32"/>
          <w:highlight w:val="none"/>
        </w:rPr>
        <w:t>资</w:t>
      </w:r>
      <w:r>
        <w:rPr>
          <w:rFonts w:hint="eastAsia" w:ascii="仿宋_GB2312" w:hAnsi="仿宋_GB2312" w:eastAsia="仿宋_GB2312" w:cs="仿宋_GB2312"/>
          <w:sz w:val="32"/>
          <w:szCs w:val="32"/>
        </w:rPr>
        <w:t>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ageBreakBefore w:val="0"/>
        <w:kinsoku/>
        <w:wordWrap/>
        <w:overflowPunct/>
        <w:topLinePunct w:val="0"/>
        <w:autoSpaceDE/>
        <w:autoSpaceDN/>
        <w:bidi w:val="0"/>
        <w:adjustRightInd/>
        <w:snapToGrid/>
        <w:spacing w:line="560" w:lineRule="exac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w:t>
      </w:r>
      <w:r>
        <w:rPr>
          <w:rFonts w:hint="eastAsia" w:ascii="仿宋_GB2312" w:hAnsi="仿宋_GB2312" w:eastAsia="仿宋_GB2312" w:cs="仿宋_GB2312"/>
          <w:sz w:val="32"/>
          <w:szCs w:val="32"/>
          <w:lang w:val="en-US" w:eastAsia="zh-CN"/>
        </w:rPr>
        <w:t>塔地财预</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文件中批复的资金，项目资金到位</w:t>
      </w:r>
      <w:r>
        <w:rPr>
          <w:rFonts w:hint="eastAsia" w:ascii="仿宋_GB2312" w:hAnsi="仿宋_GB2312" w:eastAsia="仿宋_GB2312" w:cs="仿宋_GB2312"/>
          <w:sz w:val="32"/>
          <w:szCs w:val="32"/>
          <w:lang w:val="en-US" w:eastAsia="zh-CN"/>
        </w:rPr>
        <w:t>440</w:t>
      </w:r>
      <w:r>
        <w:rPr>
          <w:rFonts w:hint="eastAsia" w:ascii="仿宋_GB2312" w:hAnsi="仿宋_GB2312" w:eastAsia="仿宋_GB2312" w:cs="仿宋_GB2312"/>
          <w:sz w:val="32"/>
          <w:szCs w:val="32"/>
        </w:rPr>
        <w:t>万元，用于支付项目实施进程中的各项费用。</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1、总体目标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项目完工，验收决算、试运行。</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2、阶段性目标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项目4月30日完成项目前期手续；6月底完成招标；10月底竣工验收。</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highlight w:val="none"/>
          <w:lang w:val="en-US" w:eastAsia="zh-CN"/>
        </w:rPr>
        <w:t>地区口岸管理委员会全面实施预算绩效管理实施</w:t>
      </w:r>
      <w:r>
        <w:rPr>
          <w:rFonts w:hint="eastAsia" w:ascii="仿宋_GB2312" w:hAnsi="仿宋_GB2312" w:eastAsia="仿宋_GB2312" w:cs="仿宋_GB2312"/>
          <w:sz w:val="32"/>
          <w:szCs w:val="32"/>
          <w:highlight w:val="none"/>
        </w:rPr>
        <w:t>方案》，通过制定项目实施方案，经项目负责人审核通过后，有序开展后续工程。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（2）组织实施：资金一到位，立即根据项目要求实施项目。项目责任人按照《</w:t>
      </w:r>
      <w:r>
        <w:rPr>
          <w:rFonts w:hint="eastAsia" w:ascii="仿宋_GB2312" w:hAnsi="仿宋_GB2312" w:eastAsia="仿宋_GB2312" w:cs="仿宋_GB2312"/>
          <w:sz w:val="32"/>
          <w:szCs w:val="32"/>
          <w:highlight w:val="none"/>
          <w:lang w:val="en-US" w:eastAsia="zh-CN"/>
        </w:rPr>
        <w:t>地区口岸管理委员会2020年资金使用计划及项目实施</w:t>
      </w:r>
      <w:r>
        <w:rPr>
          <w:rFonts w:hint="eastAsia" w:ascii="仿宋_GB2312" w:hAnsi="仿宋_GB2312" w:eastAsia="仿宋_GB2312" w:cs="仿宋_GB2312"/>
          <w:sz w:val="32"/>
          <w:szCs w:val="32"/>
          <w:highlight w:val="none"/>
        </w:rPr>
        <w:t>方案》要求逐一进</w:t>
      </w:r>
      <w:r>
        <w:rPr>
          <w:rFonts w:hint="eastAsia" w:ascii="仿宋_GB2312" w:hAnsi="仿宋_GB2312" w:eastAsia="仿宋_GB2312" w:cs="仿宋_GB2312"/>
          <w:sz w:val="32"/>
          <w:szCs w:val="32"/>
        </w:rPr>
        <w:t>行项目部署安排，提高项目质量及效率性。</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黑体" w:hAnsi="黑体" w:eastAsia="黑体"/>
          <w:b/>
          <w:bCs/>
          <w:sz w:val="32"/>
          <w:szCs w:val="32"/>
        </w:rPr>
      </w:pPr>
      <w:r>
        <w:rPr>
          <w:rFonts w:hint="eastAsia" w:ascii="黑体" w:hAnsi="黑体" w:eastAsia="黑体"/>
          <w:b/>
          <w:bCs/>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2、绩效评价的对象</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巴克图口岸入境道路（货场）建设项目。</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3、绩效评价的范围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从巴克图口岸入境道路（货场）建设项目的决策、过程、产出、效益等方面进行评价。</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w:t>
      </w:r>
      <w:r>
        <w:rPr>
          <w:rFonts w:hint="eastAsia" w:ascii="仿宋_GB2312" w:hAnsi="仿宋_GB2312" w:eastAsia="仿宋_GB2312" w:cs="仿宋_GB2312"/>
          <w:color w:val="000000"/>
          <w:spacing w:val="17"/>
          <w:sz w:val="32"/>
          <w:szCs w:val="32"/>
          <w:lang w:val="en-US" w:eastAsia="zh-CN"/>
        </w:rPr>
        <w:t>目决策</w:t>
      </w:r>
      <w:r>
        <w:rPr>
          <w:rFonts w:hint="eastAsia" w:ascii="仿宋_GB2312" w:hAnsi="仿宋_GB2312" w:eastAsia="仿宋_GB2312" w:cs="仿宋_GB2312"/>
          <w:color w:val="000000"/>
          <w:spacing w:val="17"/>
          <w:sz w:val="32"/>
          <w:szCs w:val="32"/>
        </w:rPr>
        <w:t>权重</w:t>
      </w:r>
      <w:r>
        <w:rPr>
          <w:rFonts w:hint="eastAsia" w:ascii="仿宋_GB2312" w:hAnsi="仿宋_GB2312" w:eastAsia="仿宋_GB2312" w:cs="仿宋_GB2312"/>
          <w:color w:val="000000"/>
          <w:spacing w:val="17"/>
          <w:sz w:val="32"/>
          <w:szCs w:val="32"/>
          <w:lang w:val="en-US" w:eastAsia="zh-CN"/>
        </w:rPr>
        <w:t>占5分</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权重占</w:t>
      </w:r>
      <w:r>
        <w:rPr>
          <w:rFonts w:hint="eastAsia" w:ascii="仿宋_GB2312" w:hAnsi="仿宋_GB2312" w:eastAsia="仿宋_GB2312" w:cs="仿宋_GB2312"/>
          <w:color w:val="000000"/>
          <w:spacing w:val="17"/>
          <w:sz w:val="32"/>
          <w:szCs w:val="32"/>
          <w:lang w:val="en-US" w:eastAsia="zh-CN"/>
        </w:rPr>
        <w:t>5分，</w:t>
      </w:r>
      <w:r>
        <w:rPr>
          <w:rFonts w:hint="eastAsia" w:ascii="仿宋_GB2312" w:hAnsi="仿宋_GB2312" w:eastAsia="仿宋_GB2312" w:cs="仿宋_GB2312"/>
          <w:color w:val="000000"/>
          <w:spacing w:val="17"/>
          <w:sz w:val="32"/>
          <w:szCs w:val="32"/>
        </w:rPr>
        <w:t>项目产出权重值占</w:t>
      </w:r>
      <w:r>
        <w:rPr>
          <w:rFonts w:hint="eastAsia" w:ascii="仿宋_GB2312" w:hAnsi="仿宋_GB2312" w:eastAsia="仿宋_GB2312" w:cs="仿宋_GB2312"/>
          <w:color w:val="000000"/>
          <w:spacing w:val="17"/>
          <w:sz w:val="32"/>
          <w:szCs w:val="32"/>
          <w:lang w:val="en-US" w:eastAsia="zh-CN"/>
        </w:rPr>
        <w:t>50分</w:t>
      </w:r>
      <w:r>
        <w:rPr>
          <w:rFonts w:hint="eastAsia" w:ascii="仿宋_GB2312" w:hAnsi="仿宋_GB2312" w:eastAsia="仿宋_GB2312" w:cs="仿宋_GB2312"/>
          <w:color w:val="000000"/>
          <w:spacing w:val="17"/>
          <w:sz w:val="32"/>
          <w:szCs w:val="32"/>
        </w:rPr>
        <w:t>，项目效益权重值占</w:t>
      </w:r>
      <w:r>
        <w:rPr>
          <w:rFonts w:hint="eastAsia" w:ascii="仿宋_GB2312" w:hAnsi="仿宋_GB2312" w:eastAsia="仿宋_GB2312" w:cs="仿宋_GB2312"/>
          <w:color w:val="000000"/>
          <w:spacing w:val="17"/>
          <w:sz w:val="32"/>
          <w:szCs w:val="32"/>
          <w:highlight w:val="none"/>
          <w:lang w:val="en-US" w:eastAsia="zh-CN"/>
        </w:rPr>
        <w:t>40分</w:t>
      </w:r>
      <w:r>
        <w:rPr>
          <w:rFonts w:hint="eastAsia" w:ascii="仿宋_GB2312" w:hAnsi="仿宋_GB2312" w:eastAsia="仿宋_GB2312" w:cs="仿宋_GB2312"/>
          <w:color w:val="000000"/>
          <w:spacing w:val="17"/>
          <w:sz w:val="32"/>
          <w:szCs w:val="32"/>
        </w:rPr>
        <w:t>。</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w:t>
      </w:r>
      <w:r>
        <w:rPr>
          <w:rFonts w:hint="eastAsia" w:ascii="仿宋_GB2312" w:hAnsi="仿宋_GB2312" w:eastAsia="仿宋_GB2312" w:cs="仿宋_GB2312"/>
          <w:b w:val="0"/>
          <w:bCs w:val="0"/>
          <w:color w:val="000000"/>
          <w:spacing w:val="17"/>
          <w:kern w:val="2"/>
          <w:lang w:eastAsia="zh-CN"/>
        </w:rPr>
        <w:t>－</w:t>
      </w:r>
      <w:r>
        <w:rPr>
          <w:rFonts w:hint="eastAsia" w:ascii="仿宋_GB2312" w:hAnsi="仿宋_GB2312" w:eastAsia="仿宋_GB2312" w:cs="仿宋_GB2312"/>
          <w:b w:val="0"/>
          <w:bCs w:val="0"/>
          <w:color w:val="000000"/>
          <w:spacing w:val="17"/>
          <w:kern w:val="2"/>
        </w:rPr>
        <w:t>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keepNext w:val="0"/>
        <w:keepLines w:val="0"/>
        <w:pageBreakBefore w:val="0"/>
        <w:kinsoku/>
        <w:wordWrap/>
        <w:overflowPunct/>
        <w:topLinePunct w:val="0"/>
        <w:autoSpaceDE/>
        <w:autoSpaceDN/>
        <w:bidi w:val="0"/>
        <w:adjustRightInd/>
        <w:snapToGrid/>
        <w:spacing w:line="560" w:lineRule="exact"/>
        <w:ind w:left="0" w:firstLine="711" w:firstLineChars="200"/>
        <w:textAlignment w:val="auto"/>
        <w:rPr>
          <w:rFonts w:hint="eastAsia" w:ascii="楷体" w:hAnsi="楷体" w:eastAsia="楷体" w:cs="楷体"/>
          <w:b w:val="0"/>
          <w:bCs w:val="0"/>
          <w:color w:val="000000"/>
          <w:spacing w:val="17"/>
          <w:kern w:val="2"/>
          <w:sz w:val="32"/>
          <w:szCs w:val="32"/>
          <w:highlight w:val="none"/>
          <w:lang w:val="en-US" w:eastAsia="zh-CN" w:bidi="ar-SA"/>
        </w:rPr>
      </w:pPr>
      <w:r>
        <w:rPr>
          <w:rFonts w:hint="eastAsia" w:ascii="楷体" w:hAnsi="楷体" w:eastAsia="楷体" w:cs="楷体"/>
          <w:b/>
          <w:bCs/>
          <w:color w:val="000000"/>
          <w:spacing w:val="17"/>
          <w:kern w:val="2"/>
          <w:sz w:val="32"/>
          <w:szCs w:val="32"/>
          <w:highlight w:val="none"/>
          <w:lang w:val="en-US" w:eastAsia="zh-CN" w:bidi="ar-SA"/>
        </w:rPr>
        <w:t>（三）绩效评价工作过程</w:t>
      </w:r>
      <w:r>
        <w:rPr>
          <w:rFonts w:hint="eastAsia" w:ascii="楷体" w:hAnsi="楷体" w:eastAsia="楷体" w:cs="楷体"/>
          <w:b w:val="0"/>
          <w:bCs w:val="0"/>
          <w:color w:val="000000"/>
          <w:spacing w:val="17"/>
          <w:kern w:val="2"/>
          <w:sz w:val="32"/>
          <w:szCs w:val="32"/>
          <w:highlight w:val="none"/>
          <w:lang w:val="en-US" w:eastAsia="zh-CN" w:bidi="ar-SA"/>
        </w:rPr>
        <w:t>。</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2"/>
        </w:numPr>
        <w:kinsoku/>
        <w:wordWrap/>
        <w:overflowPunct/>
        <w:topLinePunct w:val="0"/>
        <w:autoSpaceDE/>
        <w:autoSpaceDN/>
        <w:bidi w:val="0"/>
        <w:adjustRightInd/>
        <w:snapToGrid/>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highlight w:val="yellow"/>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巴克图口岸入境道路（货场）建设</w:t>
      </w:r>
      <w:r>
        <w:rPr>
          <w:rFonts w:hint="eastAsia" w:ascii="仿宋_GB2312" w:hAnsi="仿宋_GB2312" w:eastAsia="仿宋_GB2312" w:cs="仿宋_GB2312"/>
          <w:b w:val="0"/>
          <w:bCs w:val="0"/>
          <w:highlight w:val="none"/>
        </w:rPr>
        <w:t xml:space="preserve">项目进行客观评价，最终评分结果：总得分为 </w:t>
      </w:r>
      <w:r>
        <w:rPr>
          <w:rFonts w:hint="eastAsia" w:ascii="仿宋_GB2312" w:hAnsi="仿宋_GB2312" w:eastAsia="仿宋_GB2312" w:cs="仿宋_GB2312"/>
          <w:b w:val="0"/>
          <w:bCs w:val="0"/>
          <w:highlight w:val="none"/>
          <w:lang w:val="en-US" w:eastAsia="zh-CN"/>
        </w:rPr>
        <w:t>96.07</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w:t>
      </w:r>
      <w:r>
        <w:rPr>
          <w:rFonts w:hint="eastAsia" w:ascii="仿宋_GB2312" w:hAnsi="仿宋_GB2312" w:eastAsia="仿宋_GB2312" w:cs="仿宋_GB2312"/>
          <w:b w:val="0"/>
          <w:bCs w:val="0"/>
          <w:highlight w:val="none"/>
          <w:lang w:val="en-US" w:eastAsia="zh-CN"/>
        </w:rPr>
        <w:t>4.77</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77</w:t>
      </w:r>
      <w:r>
        <w:rPr>
          <w:rFonts w:hint="eastAsia" w:ascii="仿宋_GB2312" w:hAnsi="仿宋_GB2312" w:eastAsia="仿宋_GB2312" w:cs="仿宋_GB2312"/>
          <w:b w:val="0"/>
          <w:bCs w:val="0"/>
          <w:highlight w:val="none"/>
        </w:rPr>
        <w:t>%。项目产出类指标权重为50分，得分为</w:t>
      </w:r>
      <w:r>
        <w:rPr>
          <w:rFonts w:hint="eastAsia" w:ascii="仿宋_GB2312" w:hAnsi="仿宋_GB2312" w:eastAsia="仿宋_GB2312" w:cs="仿宋_GB2312"/>
          <w:b w:val="0"/>
          <w:bCs w:val="0"/>
          <w:highlight w:val="none"/>
          <w:lang w:val="en-US" w:eastAsia="zh-CN"/>
        </w:rPr>
        <w:t>47.3</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96.6</w:t>
      </w:r>
      <w:r>
        <w:rPr>
          <w:rFonts w:hint="eastAsia" w:ascii="仿宋_GB2312" w:hAnsi="仿宋_GB2312" w:eastAsia="仿宋_GB2312" w:cs="仿宋_GB2312"/>
          <w:b w:val="0"/>
          <w:bCs w:val="0"/>
          <w:highlight w:val="none"/>
        </w:rPr>
        <w:t>%。项目效益类指标权重为</w:t>
      </w:r>
      <w:r>
        <w:rPr>
          <w:rFonts w:hint="eastAsia" w:ascii="仿宋_GB2312" w:hAnsi="仿宋_GB2312" w:eastAsia="仿宋_GB2312" w:cs="仿宋_GB2312"/>
          <w:b w:val="0"/>
          <w:bCs w:val="0"/>
          <w:highlight w:val="none"/>
          <w:lang w:val="en-US" w:eastAsia="zh-CN"/>
        </w:rPr>
        <w:t>40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39</w:t>
      </w:r>
      <w:r>
        <w:rPr>
          <w:rFonts w:hint="eastAsia" w:ascii="仿宋_GB2312" w:hAnsi="仿宋_GB2312" w:eastAsia="仿宋_GB2312" w:cs="仿宋_GB2312"/>
          <w:b w:val="0"/>
          <w:bCs w:val="0"/>
          <w:highlight w:val="none"/>
        </w:rPr>
        <w:t>分，得分率为 9</w:t>
      </w:r>
      <w:r>
        <w:rPr>
          <w:rFonts w:hint="eastAsia" w:ascii="仿宋_GB2312" w:hAnsi="仿宋_GB2312" w:eastAsia="仿宋_GB2312" w:cs="仿宋_GB2312"/>
          <w:b w:val="0"/>
          <w:bCs w:val="0"/>
          <w:highlight w:val="none"/>
          <w:lang w:val="en-US" w:eastAsia="zh-CN"/>
        </w:rPr>
        <w:t>7.5</w:t>
      </w:r>
      <w:r>
        <w:rPr>
          <w:rFonts w:hint="eastAsia" w:ascii="仿宋_GB2312" w:hAnsi="仿宋_GB2312" w:eastAsia="仿宋_GB2312" w:cs="仿宋_GB2312"/>
          <w:b w:val="0"/>
          <w:bCs w:val="0"/>
          <w:highlight w:val="none"/>
        </w:rPr>
        <w:t>%。</w:t>
      </w:r>
    </w:p>
    <w:p>
      <w:pPr>
        <w:pStyle w:val="2"/>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exact"/>
        <w:textAlignment w:val="auto"/>
      </w:pPr>
      <w:bookmarkStart w:id="2" w:name="_GoBack"/>
      <w:bookmarkEnd w:id="2"/>
    </w:p>
    <w:tbl>
      <w:tblPr>
        <w:tblStyle w:val="2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1016"/>
        <w:gridCol w:w="1123"/>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1016"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123"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符合职责</w:t>
            </w:r>
          </w:p>
        </w:tc>
        <w:tc>
          <w:tcPr>
            <w:tcW w:w="10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符合职责</w:t>
            </w:r>
          </w:p>
        </w:tc>
        <w:tc>
          <w:tcPr>
            <w:tcW w:w="112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立项文件</w:t>
            </w:r>
          </w:p>
        </w:tc>
        <w:tc>
          <w:tcPr>
            <w:tcW w:w="10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立项文件</w:t>
            </w:r>
          </w:p>
        </w:tc>
        <w:tc>
          <w:tcPr>
            <w:tcW w:w="112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合理</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合理</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明确</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明确</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0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12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合理</w:t>
            </w:r>
          </w:p>
        </w:tc>
        <w:tc>
          <w:tcPr>
            <w:tcW w:w="10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合理</w:t>
            </w:r>
          </w:p>
        </w:tc>
        <w:tc>
          <w:tcPr>
            <w:tcW w:w="112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0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77%</w:t>
            </w:r>
          </w:p>
        </w:tc>
        <w:tc>
          <w:tcPr>
            <w:tcW w:w="112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77%</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0.77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健全</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健全</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rPr>
            </w:pPr>
            <w:r>
              <w:rPr>
                <w:rFonts w:hint="eastAsia" w:ascii="宋体" w:hAnsi="宋体" w:eastAsia="宋体" w:cs="宋体"/>
                <w:i w:val="0"/>
                <w:color w:val="000000"/>
                <w:kern w:val="0"/>
                <w:sz w:val="18"/>
                <w:szCs w:val="18"/>
                <w:u w:val="none"/>
                <w:lang w:val="en-US" w:eastAsia="zh-CN" w:bidi="ar"/>
              </w:rPr>
              <w:t>≥12000平方米</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12000平方米</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2020年10月</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2020年12月</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82%</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12.3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3%</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保障口岸畅通</w:t>
            </w:r>
          </w:p>
        </w:tc>
        <w:tc>
          <w:tcPr>
            <w:tcW w:w="10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保障口岸畅通</w:t>
            </w:r>
          </w:p>
        </w:tc>
        <w:tc>
          <w:tcPr>
            <w:tcW w:w="112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rPr>
            </w:pPr>
            <w:r>
              <w:rPr>
                <w:rFonts w:hint="eastAsia" w:ascii="宋体" w:hAnsi="宋体" w:eastAsia="宋体" w:cs="宋体"/>
                <w:i w:val="0"/>
                <w:color w:val="000000"/>
                <w:kern w:val="0"/>
                <w:sz w:val="18"/>
                <w:szCs w:val="18"/>
                <w:u w:val="none"/>
                <w:lang w:val="en-US" w:eastAsia="zh-CN" w:bidi="ar"/>
              </w:rPr>
              <w:t>≥98%</w:t>
            </w:r>
          </w:p>
        </w:tc>
        <w:tc>
          <w:tcPr>
            <w:tcW w:w="10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99%</w:t>
            </w:r>
          </w:p>
        </w:tc>
        <w:tc>
          <w:tcPr>
            <w:tcW w:w="112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99%</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w:t>
            </w:r>
          </w:p>
        </w:tc>
      </w:tr>
    </w:tbl>
    <w:p>
      <w:pPr>
        <w:pageBreakBefore w:val="0"/>
        <w:kinsoku/>
        <w:wordWrap/>
        <w:overflowPunct/>
        <w:topLinePunct w:val="0"/>
        <w:autoSpaceDE/>
        <w:autoSpaceDN/>
        <w:bidi w:val="0"/>
        <w:adjustRightInd/>
        <w:snapToGrid/>
        <w:spacing w:line="560" w:lineRule="exact"/>
        <w:ind w:firstLine="643" w:firstLineChars="200"/>
        <w:textAlignment w:val="auto"/>
        <w:rPr>
          <w:rFonts w:ascii="黑体" w:hAnsi="黑体" w:eastAsia="黑体"/>
          <w:b/>
          <w:bCs/>
          <w:sz w:val="32"/>
          <w:szCs w:val="32"/>
        </w:rPr>
      </w:pPr>
      <w:r>
        <w:rPr>
          <w:rFonts w:hint="eastAsia" w:ascii="黑体" w:hAnsi="黑体" w:eastAsia="黑体"/>
          <w:b/>
          <w:bCs/>
          <w:sz w:val="32"/>
          <w:szCs w:val="32"/>
        </w:rPr>
        <w:t>四、绩效评价指标分析</w:t>
      </w:r>
    </w:p>
    <w:p>
      <w:pPr>
        <w:pStyle w:val="2"/>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lang w:val="en-US" w:eastAsia="zh-CN"/>
        </w:rPr>
        <w:t>项目决策指标从立项依据充分性、立项程序、绩效目标、绩效指标、预算编制、资金分配合理性6个方面对项目立项是否符合法律法规、相关政策、发展规划以及部门职责，用以反映和考核项目立项依据情况进行考察，立项依据充分性分值1分，实际得分1分，得分率100％；立项程序分值1分，实际得分1分。得分率100％；绩效目标分值1分，实际得分1分，得分率100％；绩效指标分值1分，实际得分1分，得分率100％；预算编制分值1分，实际得分1分，得分率100％；资金分配合理性分值1分，实际得分1分，得分率100％。项目决策指标得分情况如表所示。</w:t>
      </w:r>
    </w:p>
    <w:p>
      <w:pPr>
        <w:pStyle w:val="2"/>
        <w:pageBreakBefore w:val="0"/>
        <w:numPr>
          <w:ilvl w:val="0"/>
          <w:numId w:val="3"/>
        </w:numPr>
        <w:kinsoku/>
        <w:wordWrap/>
        <w:overflowPunct/>
        <w:topLinePunct w:val="0"/>
        <w:autoSpaceDE/>
        <w:autoSpaceDN/>
        <w:bidi w:val="0"/>
        <w:adjustRightInd/>
        <w:snapToGrid/>
        <w:spacing w:before="0" w:after="0" w:line="560" w:lineRule="exact"/>
        <w:ind w:firstLine="643" w:firstLineChars="200"/>
        <w:jc w:val="both"/>
        <w:textAlignment w:val="auto"/>
      </w:pP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项目过程指标从资金到位率、预算执行率、资金使用合规性管理制度健全性、制度执行5个方面对项目的管理情况进行考察：资金到位率分值1分，实际得分1分，得分率100％，预算执行率分值1分，实际得分0.77分，得分率100％，资金使用合规性分值1分，实际得分1分，得分率100％，管理制度健全性分值1分，实际得分1分，得分率100％，制度执行分值1分，实际得分1分，得分率100％.项目决策指标得分情况如表所示。</w:t>
      </w:r>
    </w:p>
    <w:p>
      <w:pPr>
        <w:pStyle w:val="21"/>
        <w:pageBreakBefore w:val="0"/>
        <w:numPr>
          <w:ilvl w:val="0"/>
          <w:numId w:val="3"/>
        </w:numPr>
        <w:kinsoku/>
        <w:wordWrap/>
        <w:overflowPunct/>
        <w:topLinePunct w:val="0"/>
        <w:autoSpaceDE/>
        <w:autoSpaceDN/>
        <w:bidi w:val="0"/>
        <w:adjustRightInd/>
        <w:snapToGrid/>
        <w:spacing w:after="0"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pPr>
        <w:pStyle w:val="53"/>
        <w:pageBreakBefore w:val="0"/>
        <w:kinsoku/>
        <w:wordWrap/>
        <w:overflowPunct/>
        <w:topLinePunct w:val="0"/>
        <w:autoSpaceDE/>
        <w:autoSpaceDN/>
        <w:bidi w:val="0"/>
        <w:adjustRightInd/>
        <w:snapToGrid/>
        <w:spacing w:line="560" w:lineRule="exact"/>
        <w:ind w:firstLine="640" w:firstLineChars="200"/>
        <w:textAlignment w:val="auto"/>
        <w:rPr>
          <w:rStyle w:val="52"/>
          <w:rFonts w:hint="eastAsia"/>
          <w:b w:val="0"/>
          <w:bCs w:val="0"/>
          <w:color w:val="auto"/>
          <w:lang w:val="en-US" w:eastAsia="zh-CN"/>
        </w:rPr>
      </w:pPr>
      <w:r>
        <w:rPr>
          <w:rStyle w:val="52"/>
          <w:rFonts w:hint="eastAsia"/>
          <w:b w:val="0"/>
          <w:bCs w:val="0"/>
          <w:color w:val="auto"/>
          <w:lang w:val="en-US" w:eastAsia="zh-CN"/>
        </w:rPr>
        <w:t>数量指标方面：完成道路建设面积（评价目标值：≥12000平方米，业绩值：12000平方米）;</w:t>
      </w:r>
    </w:p>
    <w:p>
      <w:pPr>
        <w:pStyle w:val="53"/>
        <w:pageBreakBefore w:val="0"/>
        <w:kinsoku/>
        <w:wordWrap/>
        <w:overflowPunct/>
        <w:topLinePunct w:val="0"/>
        <w:autoSpaceDE/>
        <w:autoSpaceDN/>
        <w:bidi w:val="0"/>
        <w:adjustRightInd/>
        <w:snapToGrid/>
        <w:spacing w:line="560" w:lineRule="exact"/>
        <w:ind w:firstLine="640" w:firstLineChars="200"/>
        <w:textAlignment w:val="auto"/>
        <w:rPr>
          <w:rStyle w:val="52"/>
          <w:rFonts w:hint="default"/>
          <w:b w:val="0"/>
          <w:bCs w:val="0"/>
          <w:color w:val="auto"/>
          <w:lang w:val="en-US" w:eastAsia="zh-CN"/>
        </w:rPr>
      </w:pPr>
      <w:r>
        <w:rPr>
          <w:rStyle w:val="52"/>
          <w:rFonts w:hint="eastAsia"/>
          <w:b w:val="0"/>
          <w:bCs w:val="0"/>
          <w:color w:val="auto"/>
          <w:lang w:val="en-US" w:eastAsia="zh-CN"/>
        </w:rPr>
        <w:t>质量指标方面：完成工程量（评价目标值：=100%，业绩值：100%);</w:t>
      </w:r>
    </w:p>
    <w:p>
      <w:pPr>
        <w:pStyle w:val="53"/>
        <w:pageBreakBefore w:val="0"/>
        <w:kinsoku/>
        <w:wordWrap/>
        <w:overflowPunct/>
        <w:topLinePunct w:val="0"/>
        <w:autoSpaceDE/>
        <w:autoSpaceDN/>
        <w:bidi w:val="0"/>
        <w:adjustRightInd/>
        <w:snapToGrid/>
        <w:spacing w:line="560" w:lineRule="exact"/>
        <w:ind w:firstLine="640" w:firstLineChars="200"/>
        <w:textAlignment w:val="auto"/>
        <w:rPr>
          <w:rStyle w:val="52"/>
          <w:rFonts w:hint="eastAsia"/>
          <w:b w:val="0"/>
          <w:bCs w:val="0"/>
          <w:color w:val="auto"/>
          <w:lang w:val="en-US" w:eastAsia="zh-CN"/>
        </w:rPr>
      </w:pPr>
      <w:r>
        <w:rPr>
          <w:rStyle w:val="52"/>
          <w:rFonts w:hint="eastAsia"/>
          <w:b w:val="0"/>
          <w:bCs w:val="0"/>
          <w:color w:val="auto"/>
          <w:lang w:val="en-US" w:eastAsia="zh-CN"/>
        </w:rPr>
        <w:t>成本指标方面：完成资金投入（评价目标值：≤440万元，业绩值：315.91);</w:t>
      </w:r>
    </w:p>
    <w:p>
      <w:pPr>
        <w:pStyle w:val="53"/>
        <w:pageBreakBefore w:val="0"/>
        <w:kinsoku/>
        <w:wordWrap/>
        <w:overflowPunct/>
        <w:topLinePunct w:val="0"/>
        <w:autoSpaceDE/>
        <w:autoSpaceDN/>
        <w:bidi w:val="0"/>
        <w:adjustRightInd/>
        <w:snapToGrid/>
        <w:spacing w:line="560" w:lineRule="exact"/>
        <w:ind w:firstLine="640" w:firstLineChars="200"/>
        <w:textAlignment w:val="auto"/>
        <w:rPr>
          <w:rStyle w:val="52"/>
          <w:rFonts w:hint="eastAsia"/>
          <w:color w:val="auto"/>
          <w:lang w:val="en-US" w:eastAsia="zh-CN"/>
        </w:rPr>
      </w:pPr>
      <w:r>
        <w:rPr>
          <w:rStyle w:val="52"/>
          <w:rFonts w:hint="eastAsia"/>
          <w:color w:val="auto"/>
          <w:lang w:val="en-US" w:eastAsia="zh-CN"/>
        </w:rPr>
        <w:t>时效指标方面：工期按期完工（评价目标值：2020.10，业绩值：2020.12);</w:t>
      </w:r>
    </w:p>
    <w:p>
      <w:pPr>
        <w:pStyle w:val="21"/>
        <w:pageBreakBefore w:val="0"/>
        <w:numPr>
          <w:ilvl w:val="0"/>
          <w:numId w:val="3"/>
        </w:numPr>
        <w:kinsoku/>
        <w:wordWrap/>
        <w:overflowPunct/>
        <w:topLinePunct w:val="0"/>
        <w:autoSpaceDE/>
        <w:autoSpaceDN/>
        <w:bidi w:val="0"/>
        <w:adjustRightInd/>
        <w:snapToGrid/>
        <w:spacing w:after="0"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pPr>
        <w:pStyle w:val="53"/>
        <w:pageBreakBefore w:val="0"/>
        <w:kinsoku/>
        <w:wordWrap/>
        <w:overflowPunct/>
        <w:topLinePunct w:val="0"/>
        <w:autoSpaceDE/>
        <w:autoSpaceDN/>
        <w:bidi w:val="0"/>
        <w:adjustRightInd/>
        <w:snapToGrid/>
        <w:spacing w:line="560" w:lineRule="exact"/>
        <w:ind w:firstLine="640" w:firstLineChars="200"/>
        <w:textAlignment w:val="auto"/>
        <w:rPr>
          <w:rStyle w:val="52"/>
          <w:rFonts w:hint="eastAsia"/>
          <w:color w:val="auto"/>
        </w:rPr>
      </w:pPr>
      <w:r>
        <w:rPr>
          <w:rStyle w:val="52"/>
          <w:rFonts w:hint="eastAsia"/>
          <w:color w:val="auto"/>
        </w:rPr>
        <w:t>经济效益指标方面：实现进出口货物、进出口农产品、出口果蔬数量</w:t>
      </w:r>
      <w:r>
        <w:rPr>
          <w:rStyle w:val="52"/>
          <w:rFonts w:hint="eastAsia" w:eastAsia="仿宋_GB2312"/>
          <w:color w:val="auto"/>
          <w:lang w:eastAsia="zh-CN"/>
        </w:rPr>
        <w:t>（</w:t>
      </w:r>
      <w:r>
        <w:rPr>
          <w:rStyle w:val="52"/>
          <w:rFonts w:hint="eastAsia"/>
          <w:color w:val="auto"/>
        </w:rPr>
        <w:t>评价目标值：≥20吨，业绩值：20吨</w:t>
      </w:r>
      <w:r>
        <w:rPr>
          <w:rStyle w:val="52"/>
          <w:rFonts w:hint="eastAsia" w:eastAsia="仿宋_GB2312"/>
          <w:color w:val="auto"/>
          <w:lang w:eastAsia="zh-CN"/>
        </w:rPr>
        <w:t>）</w:t>
      </w:r>
      <w:r>
        <w:rPr>
          <w:rStyle w:val="52"/>
          <w:rFonts w:hint="eastAsia"/>
          <w:color w:val="auto"/>
        </w:rPr>
        <w:t>;</w:t>
      </w:r>
    </w:p>
    <w:p>
      <w:pPr>
        <w:pStyle w:val="53"/>
        <w:pageBreakBefore w:val="0"/>
        <w:kinsoku/>
        <w:wordWrap/>
        <w:overflowPunct/>
        <w:topLinePunct w:val="0"/>
        <w:autoSpaceDE/>
        <w:autoSpaceDN/>
        <w:bidi w:val="0"/>
        <w:adjustRightInd/>
        <w:snapToGrid/>
        <w:spacing w:line="560" w:lineRule="exact"/>
        <w:ind w:firstLine="640" w:firstLineChars="200"/>
        <w:textAlignment w:val="auto"/>
        <w:rPr>
          <w:rStyle w:val="52"/>
          <w:rFonts w:hint="eastAsia"/>
          <w:color w:val="auto"/>
        </w:rPr>
      </w:pPr>
      <w:r>
        <w:rPr>
          <w:rStyle w:val="52"/>
          <w:rFonts w:hint="eastAsia"/>
          <w:color w:val="auto"/>
        </w:rPr>
        <w:t>社会效益指标方面：预计实现全年通关车辆次数</w:t>
      </w:r>
      <w:r>
        <w:rPr>
          <w:rStyle w:val="52"/>
          <w:rFonts w:hint="eastAsia" w:eastAsia="仿宋_GB2312"/>
          <w:color w:val="auto"/>
          <w:lang w:eastAsia="zh-CN"/>
        </w:rPr>
        <w:t>（</w:t>
      </w:r>
      <w:r>
        <w:rPr>
          <w:rStyle w:val="52"/>
          <w:rFonts w:hint="eastAsia"/>
          <w:color w:val="auto"/>
        </w:rPr>
        <w:t>评价目标值：≥2000次，业绩值：2000次</w:t>
      </w:r>
      <w:r>
        <w:rPr>
          <w:rStyle w:val="52"/>
          <w:rFonts w:hint="eastAsia" w:eastAsia="仿宋_GB2312"/>
          <w:color w:val="auto"/>
          <w:lang w:eastAsia="zh-CN"/>
        </w:rPr>
        <w:t>）</w:t>
      </w:r>
      <w:r>
        <w:rPr>
          <w:rStyle w:val="52"/>
          <w:rFonts w:hint="eastAsia"/>
          <w:color w:val="auto"/>
        </w:rPr>
        <w:t>;</w:t>
      </w:r>
    </w:p>
    <w:p>
      <w:pPr>
        <w:pStyle w:val="53"/>
        <w:pageBreakBefore w:val="0"/>
        <w:kinsoku/>
        <w:wordWrap/>
        <w:overflowPunct/>
        <w:topLinePunct w:val="0"/>
        <w:autoSpaceDE/>
        <w:autoSpaceDN/>
        <w:bidi w:val="0"/>
        <w:adjustRightInd/>
        <w:snapToGrid/>
        <w:spacing w:line="560" w:lineRule="exact"/>
        <w:ind w:firstLine="640" w:firstLineChars="200"/>
        <w:textAlignment w:val="auto"/>
        <w:rPr>
          <w:rStyle w:val="52"/>
          <w:rFonts w:hint="default"/>
          <w:color w:val="auto"/>
          <w:lang w:val="en-US" w:eastAsia="zh-CN"/>
        </w:rPr>
      </w:pPr>
      <w:r>
        <w:rPr>
          <w:rStyle w:val="52"/>
          <w:color w:val="auto"/>
        </w:rPr>
        <w:t>可持续影响指标</w:t>
      </w:r>
      <w:r>
        <w:rPr>
          <w:rStyle w:val="52"/>
          <w:rFonts w:hint="eastAsia"/>
          <w:color w:val="auto"/>
        </w:rPr>
        <w:t>方面：优化口岸通关条件，节约通关时间，促进口岸经济发展</w:t>
      </w:r>
      <w:r>
        <w:rPr>
          <w:rStyle w:val="52"/>
          <w:rFonts w:hint="eastAsia" w:eastAsia="仿宋_GB2312"/>
          <w:color w:val="auto"/>
          <w:lang w:eastAsia="zh-CN"/>
        </w:rPr>
        <w:t>（</w:t>
      </w:r>
      <w:r>
        <w:rPr>
          <w:rStyle w:val="52"/>
          <w:rFonts w:hint="eastAsia"/>
          <w:color w:val="auto"/>
        </w:rPr>
        <w:t>评价目标值：保障口岸畅通，业绩值：保障口岸畅通</w:t>
      </w:r>
      <w:r>
        <w:rPr>
          <w:rStyle w:val="52"/>
          <w:rFonts w:hint="eastAsia" w:eastAsia="仿宋_GB2312"/>
          <w:color w:val="auto"/>
          <w:lang w:eastAsia="zh-CN"/>
        </w:rPr>
        <w:t>）</w:t>
      </w:r>
      <w:r>
        <w:rPr>
          <w:rStyle w:val="52"/>
          <w:rFonts w:hint="eastAsia"/>
          <w:color w:val="auto"/>
        </w:rPr>
        <w:t>;</w:t>
      </w:r>
    </w:p>
    <w:p>
      <w:pPr>
        <w:pStyle w:val="53"/>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Style w:val="52"/>
          <w:color w:val="auto"/>
        </w:rPr>
        <w:t>满意度指标</w:t>
      </w:r>
      <w:r>
        <w:rPr>
          <w:rStyle w:val="52"/>
          <w:rFonts w:hint="eastAsia"/>
          <w:color w:val="auto"/>
        </w:rPr>
        <w:t>方面：驻口岸单位满意度</w:t>
      </w:r>
      <w:r>
        <w:rPr>
          <w:rStyle w:val="52"/>
          <w:rFonts w:hint="eastAsia" w:eastAsia="仿宋_GB2312"/>
          <w:color w:val="auto"/>
          <w:lang w:eastAsia="zh-CN"/>
        </w:rPr>
        <w:t>（</w:t>
      </w:r>
      <w:r>
        <w:rPr>
          <w:rStyle w:val="52"/>
          <w:rFonts w:hint="eastAsia"/>
          <w:color w:val="auto"/>
        </w:rPr>
        <w:t>评价目标值：≥98%，业绩值：99%</w:t>
      </w:r>
      <w:r>
        <w:rPr>
          <w:rStyle w:val="52"/>
          <w:rFonts w:hint="eastAsia" w:eastAsia="仿宋_GB2312"/>
          <w:color w:val="auto"/>
          <w:lang w:eastAsia="zh-CN"/>
        </w:rPr>
        <w:t>）</w:t>
      </w:r>
      <w:r>
        <w:rPr>
          <w:rStyle w:val="52"/>
          <w:rFonts w:hint="eastAsia"/>
          <w:color w:val="auto"/>
        </w:rPr>
        <w:t>;</w:t>
      </w:r>
    </w:p>
    <w:p>
      <w:pPr>
        <w:pageBreakBefore w:val="0"/>
        <w:kinsoku/>
        <w:wordWrap/>
        <w:overflowPunct/>
        <w:topLinePunct w:val="0"/>
        <w:autoSpaceDE/>
        <w:autoSpaceDN/>
        <w:bidi w:val="0"/>
        <w:adjustRightInd/>
        <w:snapToGrid/>
        <w:spacing w:line="560" w:lineRule="exact"/>
        <w:ind w:firstLine="643" w:firstLineChars="200"/>
        <w:textAlignment w:val="auto"/>
        <w:rPr>
          <w:rStyle w:val="52"/>
          <w:b/>
          <w:bCs/>
          <w:color w:val="auto"/>
        </w:rPr>
      </w:pPr>
      <w:r>
        <w:rPr>
          <w:rFonts w:hint="eastAsia" w:ascii="黑体" w:hAnsi="黑体" w:eastAsia="黑体"/>
          <w:b/>
          <w:bCs/>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keepNext/>
        <w:keepLines/>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管理方面：严格按照法律法规以及自治区边境地区转移支付资金管理办法，做好做实项目的前期及绩效目标，合理分工落实责任，对项目施工单位进行仔细考察，聘请专业的监督监理机构进行技术质量的监督，从而保障项目的实施。</w:t>
      </w:r>
    </w:p>
    <w:p>
      <w:pPr>
        <w:keepNext/>
        <w:keepLines/>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b/>
          <w:bCs/>
          <w:sz w:val="32"/>
          <w:szCs w:val="32"/>
          <w:highlight w:val="none"/>
        </w:rPr>
      </w:pPr>
      <w:r>
        <w:rPr>
          <w:rFonts w:hint="eastAsia" w:ascii="仿宋_GB2312" w:hAnsi="仿宋_GB2312" w:eastAsia="仿宋_GB2312" w:cs="仿宋_GB2312"/>
          <w:kern w:val="2"/>
          <w:sz w:val="32"/>
          <w:szCs w:val="32"/>
          <w:highlight w:val="none"/>
          <w:lang w:val="en-US" w:eastAsia="zh-CN" w:bidi="ar-SA"/>
        </w:rPr>
        <w:t>财务方面：强化财务部门与业务部门的协同配合，全面、细致考量项目的实施内容，根据核心职能活动对预算支出项目进行归集或细化。进一步健全完善财务管理制度。加强对日常运转性经费的管理、监督工作，规范项目论证、评审、使用、评估等各个环节的工作，提高财政资金使用绩效。</w:t>
      </w:r>
    </w:p>
    <w:p>
      <w:pPr>
        <w:keepNext/>
        <w:keepLines/>
        <w:pageBreakBefore w:val="0"/>
        <w:numPr>
          <w:ilvl w:val="0"/>
          <w:numId w:val="4"/>
        </w:numPr>
        <w:kinsoku/>
        <w:wordWrap/>
        <w:overflowPunct/>
        <w:topLinePunct w:val="0"/>
        <w:autoSpaceDE/>
        <w:autoSpaceDN/>
        <w:bidi w:val="0"/>
        <w:adjustRightInd/>
        <w:snapToGrid/>
        <w:spacing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53"/>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存在的问题</w:t>
      </w:r>
    </w:p>
    <w:p>
      <w:pPr>
        <w:pStyle w:val="53"/>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1）项目进度相对较慢，由于受口岸疫情管控及地理环境的限制，项目开工时间较晚，日施工时间相对较短。</w:t>
      </w:r>
    </w:p>
    <w:p>
      <w:pPr>
        <w:pStyle w:val="53"/>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2）项目管理经验不足，有待加强学习。</w:t>
      </w:r>
    </w:p>
    <w:p>
      <w:pPr>
        <w:pStyle w:val="53"/>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仿宋_GB2312" w:hAnsi="仿宋_GB2312" w:eastAsia="仿宋_GB2312" w:cs="仿宋_GB2312"/>
          <w:kern w:val="2"/>
          <w:sz w:val="32"/>
          <w:szCs w:val="32"/>
          <w:lang w:val="en-US" w:eastAsia="zh-CN" w:bidi="ar-SA"/>
        </w:rPr>
        <w:t>3）与驻口岸单位的沟通协作有待加强。</w:t>
      </w:r>
    </w:p>
    <w:p>
      <w:pPr>
        <w:pStyle w:val="53"/>
        <w:pageBreakBefore w:val="0"/>
        <w:numPr>
          <w:ilvl w:val="0"/>
          <w:numId w:val="5"/>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原因分析</w:t>
      </w:r>
    </w:p>
    <w:p>
      <w:pPr>
        <w:pStyle w:val="53"/>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由于疫情的影响，项目施工时间减少，因此新建道路与海关H986接口处未完成；同样由于疫情的影响，口岸闭关时间增加，通关期间各种检测手续、时间等也响应增加。</w:t>
      </w:r>
    </w:p>
    <w:p>
      <w:pPr>
        <w:pageBreakBefore w:val="0"/>
        <w:numPr>
          <w:ilvl w:val="0"/>
          <w:numId w:val="6"/>
        </w:numPr>
        <w:kinsoku/>
        <w:wordWrap/>
        <w:overflowPunct/>
        <w:topLinePunct w:val="0"/>
        <w:autoSpaceDE/>
        <w:autoSpaceDN/>
        <w:bidi w:val="0"/>
        <w:adjustRightInd/>
        <w:snapToGrid/>
        <w:spacing w:line="560" w:lineRule="exact"/>
        <w:ind w:firstLine="643" w:firstLineChars="200"/>
        <w:textAlignment w:val="auto"/>
        <w:rPr>
          <w:rFonts w:ascii="黑体" w:hAnsi="黑体" w:eastAsia="黑体"/>
          <w:b/>
          <w:bCs/>
          <w:sz w:val="32"/>
          <w:szCs w:val="32"/>
        </w:rPr>
      </w:pPr>
      <w:r>
        <w:rPr>
          <w:rFonts w:hint="eastAsia" w:ascii="黑体" w:hAnsi="黑体" w:eastAsia="黑体"/>
          <w:b/>
          <w:bCs/>
          <w:sz w:val="32"/>
          <w:szCs w:val="32"/>
        </w:rPr>
        <w:t>有关建议</w:t>
      </w:r>
    </w:p>
    <w:p>
      <w:pPr>
        <w:pageBreakBefore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w:t>
      </w:r>
      <w:r>
        <w:rPr>
          <w:rFonts w:hint="eastAsia" w:ascii="仿宋_GB2312" w:hAnsi="仿宋_GB2312" w:eastAsia="仿宋_GB2312" w:cs="仿宋_GB2312"/>
          <w:sz w:val="32"/>
          <w:szCs w:val="32"/>
          <w:lang w:eastAsia="zh-CN"/>
        </w:rPr>
        <w:t>报账</w:t>
      </w:r>
      <w:r>
        <w:rPr>
          <w:rFonts w:hint="eastAsia" w:ascii="仿宋_GB2312" w:hAnsi="仿宋_GB2312" w:eastAsia="仿宋_GB2312" w:cs="仿宋_GB2312"/>
          <w:sz w:val="32"/>
          <w:szCs w:val="32"/>
        </w:rPr>
        <w:t>，从而确保专项资金专款专用，有效地防止了截留、挤占和挪用。</w:t>
      </w:r>
    </w:p>
    <w:p>
      <w:pPr>
        <w:pageBreakBefore w:val="0"/>
        <w:numPr>
          <w:ilvl w:val="0"/>
          <w:numId w:val="6"/>
        </w:numPr>
        <w:kinsoku/>
        <w:wordWrap/>
        <w:overflowPunct/>
        <w:topLinePunct w:val="0"/>
        <w:autoSpaceDE/>
        <w:autoSpaceDN/>
        <w:bidi w:val="0"/>
        <w:adjustRightInd/>
        <w:snapToGrid/>
        <w:spacing w:line="560" w:lineRule="exact"/>
        <w:ind w:firstLine="643" w:firstLineChars="200"/>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无。</w:t>
      </w:r>
    </w:p>
    <w:p>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kern w:val="2"/>
          <w:sz w:val="32"/>
          <w:szCs w:val="32"/>
          <w:lang w:val="en-US" w:eastAsia="zh-CN" w:bidi="ar-SA"/>
        </w:rPr>
      </w:pPr>
    </w:p>
    <w:p>
      <w:pPr>
        <w:pageBreakBefore w:val="0"/>
        <w:kinsoku/>
        <w:wordWrap/>
        <w:overflowPunct/>
        <w:topLinePunct w:val="0"/>
        <w:autoSpaceDE/>
        <w:autoSpaceDN/>
        <w:bidi w:val="0"/>
        <w:adjustRightInd/>
        <w:snapToGrid/>
        <w:spacing w:line="560" w:lineRule="exact"/>
        <w:textAlignment w:val="auto"/>
      </w:pPr>
    </w:p>
    <w:p>
      <w:pPr>
        <w:pStyle w:val="2"/>
        <w:pageBreakBefore w:val="0"/>
        <w:kinsoku/>
        <w:wordWrap/>
        <w:overflowPunct/>
        <w:topLinePunct w:val="0"/>
        <w:autoSpaceDE/>
        <w:autoSpaceDN/>
        <w:bidi w:val="0"/>
        <w:adjustRightInd/>
        <w:snapToGrid/>
        <w:spacing w:before="0" w:after="0" w:line="560" w:lineRule="exact"/>
        <w:textAlignment w:val="auto"/>
        <w:rPr>
          <w:rFonts w:hint="eastAsia" w:ascii="黑体" w:hAnsi="黑体" w:eastAsia="黑体"/>
          <w:sz w:val="32"/>
          <w:szCs w:val="32"/>
        </w:rPr>
      </w:pPr>
    </w:p>
    <w:p>
      <w:pPr>
        <w:pageBreakBefore w:val="0"/>
        <w:kinsoku/>
        <w:wordWrap/>
        <w:overflowPunct/>
        <w:topLinePunct w:val="0"/>
        <w:autoSpaceDE/>
        <w:autoSpaceDN/>
        <w:bidi w:val="0"/>
        <w:adjustRightInd/>
        <w:snapToGrid/>
        <w:spacing w:line="560" w:lineRule="exact"/>
        <w:textAlignment w:val="auto"/>
        <w:rPr>
          <w:rFonts w:hint="eastAsia" w:ascii="黑体" w:hAnsi="黑体" w:eastAsia="黑体"/>
          <w:sz w:val="32"/>
          <w:szCs w:val="32"/>
        </w:rPr>
      </w:pPr>
    </w:p>
    <w:p>
      <w:pPr>
        <w:pStyle w:val="2"/>
        <w:pageBreakBefore w:val="0"/>
        <w:kinsoku/>
        <w:wordWrap/>
        <w:overflowPunct/>
        <w:topLinePunct w:val="0"/>
        <w:autoSpaceDE/>
        <w:autoSpaceDN/>
        <w:bidi w:val="0"/>
        <w:adjustRightInd/>
        <w:snapToGrid/>
        <w:spacing w:before="0" w:after="0" w:line="560" w:lineRule="exact"/>
        <w:jc w:val="both"/>
        <w:textAlignment w:val="auto"/>
        <w:sectPr>
          <w:footerReference r:id="rId3" w:type="default"/>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hint="eastAsia" w:ascii="仿宋_GB2312"/>
          <w:bCs/>
          <w:sz w:val="32"/>
          <w:szCs w:val="32"/>
          <w:lang w:val="en-US" w:eastAsia="zh-CN"/>
        </w:rPr>
      </w:pPr>
      <w:r>
        <w:rPr>
          <w:rFonts w:hint="eastAsia" w:ascii="仿宋_GB2312"/>
          <w:bCs/>
          <w:sz w:val="32"/>
          <w:szCs w:val="32"/>
          <w:lang w:val="en-US" w:eastAsia="zh-CN"/>
        </w:rPr>
        <w:t>附件1</w:t>
      </w:r>
    </w:p>
    <w:tbl>
      <w:tblPr>
        <w:tblStyle w:val="22"/>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权重</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w:t>
            </w:r>
            <w:r>
              <w:rPr>
                <w:rFonts w:hint="eastAsia" w:ascii="宋体" w:hAnsi="宋体" w:eastAsia="宋体" w:cs="宋体"/>
                <w:color w:val="000000"/>
                <w:kern w:val="0"/>
                <w:sz w:val="18"/>
                <w:szCs w:val="18"/>
                <w:lang w:eastAsia="zh-CN"/>
              </w:rPr>
              <w:t>相应</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0.77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12.3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w:t>
            </w:r>
          </w:p>
        </w:tc>
      </w:tr>
    </w:tbl>
    <w:p>
      <w:pPr>
        <w:pStyle w:val="2"/>
        <w:pageBreakBefore w:val="0"/>
        <w:kinsoku/>
        <w:wordWrap/>
        <w:overflowPunct/>
        <w:topLinePunct w:val="0"/>
        <w:autoSpaceDE/>
        <w:autoSpaceDN/>
        <w:bidi w:val="0"/>
        <w:adjustRightInd/>
        <w:snapToGrid/>
        <w:spacing w:before="0" w:after="0" w:line="560" w:lineRule="exact"/>
        <w:textAlignment w:val="auto"/>
        <w:rPr>
          <w:rFonts w:hint="eastAsia" w:ascii="宋体" w:hAnsi="宋体" w:eastAsia="宋体" w:cs="宋体"/>
          <w:sz w:val="18"/>
          <w:szCs w:val="18"/>
          <w:lang w:val="en-US" w:eastAsia="zh-CN"/>
        </w:rPr>
      </w:pPr>
    </w:p>
    <w:p>
      <w:pPr>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ind w:firstLine="640"/>
        <w:textAlignment w:val="auto"/>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rPr>
          <w:rStyle w:val="24"/>
          <w:rFonts w:ascii="仿宋" w:hAnsi="仿宋" w:eastAsia="仿宋"/>
          <w:b w:val="0"/>
          <w:spacing w:val="-4"/>
          <w:sz w:val="32"/>
          <w:szCs w:val="32"/>
        </w:rPr>
        <w:sectPr>
          <w:pgSz w:w="16838" w:h="11906" w:orient="landscape"/>
          <w:pgMar w:top="1800" w:right="1440" w:bottom="1558" w:left="1440" w:header="851" w:footer="992" w:gutter="0"/>
          <w:cols w:space="425" w:num="1"/>
          <w:docGrid w:type="lines" w:linePitch="312" w:charSpace="0"/>
        </w:sectPr>
      </w:pPr>
    </w:p>
    <w:tbl>
      <w:tblPr>
        <w:tblStyle w:val="22"/>
        <w:tblW w:w="7512" w:type="dxa"/>
        <w:tblInd w:w="96" w:type="dxa"/>
        <w:shd w:val="clear" w:color="auto" w:fill="auto"/>
        <w:tblLayout w:type="fixed"/>
        <w:tblCellMar>
          <w:top w:w="0" w:type="dxa"/>
          <w:left w:w="108" w:type="dxa"/>
          <w:bottom w:w="0" w:type="dxa"/>
          <w:right w:w="108" w:type="dxa"/>
        </w:tblCellMar>
      </w:tblPr>
      <w:tblGrid>
        <w:gridCol w:w="577"/>
        <w:gridCol w:w="578"/>
        <w:gridCol w:w="577"/>
        <w:gridCol w:w="577"/>
        <w:gridCol w:w="577"/>
        <w:gridCol w:w="577"/>
        <w:gridCol w:w="1666"/>
        <w:gridCol w:w="1020"/>
        <w:gridCol w:w="341"/>
        <w:gridCol w:w="1022"/>
      </w:tblGrid>
      <w:tr>
        <w:tblPrEx>
          <w:tblCellMar>
            <w:top w:w="0" w:type="dxa"/>
            <w:left w:w="108" w:type="dxa"/>
            <w:bottom w:w="0" w:type="dxa"/>
            <w:right w:w="108" w:type="dxa"/>
          </w:tblCellMar>
        </w:tblPrEx>
        <w:trPr>
          <w:trHeight w:val="409" w:hRule="atLeast"/>
        </w:trPr>
        <w:tc>
          <w:tcPr>
            <w:tcW w:w="7512"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409" w:hRule="atLeast"/>
        </w:trPr>
        <w:tc>
          <w:tcPr>
            <w:tcW w:w="7512"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270" w:hRule="atLeast"/>
        </w:trPr>
        <w:tc>
          <w:tcPr>
            <w:tcW w:w="7512" w:type="dxa"/>
            <w:gridSpan w:val="10"/>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270"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63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巴克图口岸入境道路建设</w:t>
            </w:r>
          </w:p>
        </w:tc>
      </w:tr>
      <w:tr>
        <w:tblPrEx>
          <w:shd w:val="clear" w:color="auto" w:fill="auto"/>
          <w:tblCellMar>
            <w:top w:w="0" w:type="dxa"/>
            <w:left w:w="108" w:type="dxa"/>
            <w:bottom w:w="0" w:type="dxa"/>
            <w:right w:w="108" w:type="dxa"/>
          </w:tblCellMar>
        </w:tblPrEx>
        <w:trPr>
          <w:trHeight w:val="270"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9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u w:val="none"/>
                <w:lang w:val="en-US" w:eastAsia="zh-CN" w:bidi="ar"/>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伊犁哈萨克自治州塔城地区口岸管理委员会</w:t>
            </w:r>
          </w:p>
        </w:tc>
      </w:tr>
      <w:tr>
        <w:tblPrEx>
          <w:shd w:val="clear" w:color="auto" w:fill="auto"/>
          <w:tblCellMar>
            <w:top w:w="0" w:type="dxa"/>
            <w:left w:w="108" w:type="dxa"/>
            <w:bottom w:w="0" w:type="dxa"/>
            <w:right w:w="108" w:type="dxa"/>
          </w:tblCellMar>
        </w:tblPrEx>
        <w:trPr>
          <w:trHeight w:val="392"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Arial" w:hAnsi="Arial" w:cs="Arial"/>
                <w:i w:val="0"/>
                <w:iCs w:val="0"/>
                <w:color w:val="000000"/>
                <w:sz w:val="20"/>
                <w:szCs w:val="20"/>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2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270"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440</w:t>
            </w:r>
          </w:p>
        </w:tc>
        <w:tc>
          <w:tcPr>
            <w:tcW w:w="2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440</w:t>
            </w: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315.91</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71.80%</w:t>
            </w:r>
          </w:p>
        </w:tc>
      </w:tr>
      <w:tr>
        <w:tblPrEx>
          <w:tblCellMar>
            <w:top w:w="0" w:type="dxa"/>
            <w:left w:w="108" w:type="dxa"/>
            <w:bottom w:w="0" w:type="dxa"/>
            <w:right w:w="108" w:type="dxa"/>
          </w:tblCellMar>
        </w:tblPrEx>
        <w:trPr>
          <w:trHeight w:val="433"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440.00</w:t>
            </w:r>
          </w:p>
        </w:tc>
        <w:tc>
          <w:tcPr>
            <w:tcW w:w="2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440.00</w:t>
            </w: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315.91</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2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0</w:t>
            </w: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270"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33" w:hRule="atLeast"/>
        </w:trPr>
        <w:tc>
          <w:tcPr>
            <w:tcW w:w="5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5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项目完工，验收决算、试运行。</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项目完工，验收决算、试运行。</w:t>
            </w:r>
          </w:p>
        </w:tc>
      </w:tr>
      <w:tr>
        <w:tblPrEx>
          <w:shd w:val="clear" w:color="auto" w:fill="auto"/>
          <w:tblCellMar>
            <w:top w:w="0" w:type="dxa"/>
            <w:left w:w="108" w:type="dxa"/>
            <w:bottom w:w="0" w:type="dxa"/>
            <w:right w:w="108" w:type="dxa"/>
          </w:tblCellMar>
        </w:tblPrEx>
        <w:trPr>
          <w:trHeight w:val="412" w:hRule="atLeast"/>
        </w:trPr>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三级指标</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108" w:type="dxa"/>
            <w:bottom w:w="0" w:type="dxa"/>
            <w:right w:w="108" w:type="dxa"/>
          </w:tblCellMar>
        </w:tblPrEx>
        <w:trPr>
          <w:trHeight w:val="270" w:hRule="atLeast"/>
        </w:trPr>
        <w:tc>
          <w:tcPr>
            <w:tcW w:w="5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5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完成道路建设面积</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≥12000平方米</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12000平方米</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完成工程量</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工期按期完工</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2020.10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2020.12</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疫情影响工程进度</w:t>
            </w:r>
          </w:p>
        </w:tc>
      </w:tr>
      <w:tr>
        <w:tblPrEx>
          <w:shd w:val="clear" w:color="auto" w:fill="auto"/>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完成i金投入</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≤440万元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315.91万元</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疫情影响工程进度</w:t>
            </w:r>
          </w:p>
        </w:tc>
      </w:tr>
      <w:tr>
        <w:tblPrEx>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实现进出口货物、进出口农产品、出口果蔬数量</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≥20吨</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20吨</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预计实现全年通关车辆次数</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≥2000次</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2000次</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优化口岸通关条件，节约通关时间，促进口岸经济发展</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保障口岸畅通</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保障口岸畅通</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驻口岸单位满意度</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99%</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bl>
    <w:p>
      <w:pPr>
        <w:pStyle w:val="2"/>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2</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282440D"/>
    <w:multiLevelType w:val="singleLevel"/>
    <w:tmpl w:val="F282440D"/>
    <w:lvl w:ilvl="0" w:tentative="0">
      <w:start w:val="1"/>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5"/>
  </w:num>
  <w:num w:numId="3">
    <w:abstractNumId w:val="6"/>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66D6EAA"/>
    <w:rsid w:val="08C662D4"/>
    <w:rsid w:val="09BD4D95"/>
    <w:rsid w:val="0DD80838"/>
    <w:rsid w:val="0F8D41CB"/>
    <w:rsid w:val="11C75270"/>
    <w:rsid w:val="12637CC3"/>
    <w:rsid w:val="12E657C5"/>
    <w:rsid w:val="167C7687"/>
    <w:rsid w:val="168B3546"/>
    <w:rsid w:val="1A2374E0"/>
    <w:rsid w:val="1C317CE2"/>
    <w:rsid w:val="1CE037CB"/>
    <w:rsid w:val="1DD45808"/>
    <w:rsid w:val="1DED42AC"/>
    <w:rsid w:val="20005763"/>
    <w:rsid w:val="20FB313D"/>
    <w:rsid w:val="220B4804"/>
    <w:rsid w:val="238C7ADC"/>
    <w:rsid w:val="282475E3"/>
    <w:rsid w:val="2C6100C1"/>
    <w:rsid w:val="3264220D"/>
    <w:rsid w:val="38DB448C"/>
    <w:rsid w:val="395A5AAA"/>
    <w:rsid w:val="3963178C"/>
    <w:rsid w:val="3D8017BB"/>
    <w:rsid w:val="3F824708"/>
    <w:rsid w:val="41CC2676"/>
    <w:rsid w:val="451A0A6D"/>
    <w:rsid w:val="46B21672"/>
    <w:rsid w:val="48F94DA3"/>
    <w:rsid w:val="4C1B465C"/>
    <w:rsid w:val="4F552460"/>
    <w:rsid w:val="4FCC6863"/>
    <w:rsid w:val="500A214A"/>
    <w:rsid w:val="5180430F"/>
    <w:rsid w:val="522D604D"/>
    <w:rsid w:val="5297585E"/>
    <w:rsid w:val="52AD7D6F"/>
    <w:rsid w:val="5549519D"/>
    <w:rsid w:val="5557596B"/>
    <w:rsid w:val="5B596DFC"/>
    <w:rsid w:val="5C824814"/>
    <w:rsid w:val="5C9235CB"/>
    <w:rsid w:val="5DF03945"/>
    <w:rsid w:val="637C2815"/>
    <w:rsid w:val="64444F20"/>
    <w:rsid w:val="6AA0722F"/>
    <w:rsid w:val="6C13338C"/>
    <w:rsid w:val="7A353D0B"/>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5"/>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6">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7">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8">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9">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0">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13">
    <w:name w:val="annotation text"/>
    <w:basedOn w:val="1"/>
    <w:semiHidden/>
    <w:unhideWhenUsed/>
    <w:qFormat/>
    <w:uiPriority w:val="99"/>
    <w:pPr>
      <w:jc w:val="left"/>
    </w:pPr>
  </w:style>
  <w:style w:type="paragraph" w:styleId="14">
    <w:name w:val="Body Text"/>
    <w:basedOn w:val="1"/>
    <w:qFormat/>
    <w:uiPriority w:val="0"/>
    <w:pPr>
      <w:spacing w:after="120"/>
    </w:pPr>
  </w:style>
  <w:style w:type="paragraph" w:styleId="15">
    <w:name w:val="Balloon Text"/>
    <w:basedOn w:val="1"/>
    <w:link w:val="50"/>
    <w:semiHidden/>
    <w:unhideWhenUsed/>
    <w:qFormat/>
    <w:uiPriority w:val="99"/>
    <w:rPr>
      <w:sz w:val="18"/>
      <w:szCs w:val="18"/>
    </w:rPr>
  </w:style>
  <w:style w:type="paragraph" w:styleId="16">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toc 1"/>
    <w:basedOn w:val="1"/>
    <w:next w:val="1"/>
    <w:unhideWhenUsed/>
    <w:qFormat/>
    <w:uiPriority w:val="39"/>
    <w:pPr>
      <w:spacing w:before="120" w:after="120"/>
      <w:jc w:val="left"/>
    </w:pPr>
    <w:rPr>
      <w:rFonts w:ascii="Calibri" w:hAnsi="Calibri" w:cs="Calibri"/>
      <w:b/>
      <w:bCs/>
      <w:caps/>
      <w:sz w:val="20"/>
      <w:szCs w:val="20"/>
    </w:rPr>
  </w:style>
  <w:style w:type="paragraph" w:styleId="19">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Body Text First Indent"/>
    <w:basedOn w:val="14"/>
    <w:qFormat/>
    <w:uiPriority w:val="0"/>
    <w:pPr>
      <w:spacing w:after="0"/>
      <w:ind w:firstLine="20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customStyle="1" w:styleId="26">
    <w:name w:val="标题 1 字符"/>
    <w:basedOn w:val="23"/>
    <w:link w:val="3"/>
    <w:qFormat/>
    <w:uiPriority w:val="9"/>
    <w:rPr>
      <w:rFonts w:asciiTheme="majorHAnsi" w:hAnsiTheme="majorHAnsi" w:eastAsiaTheme="majorEastAsia"/>
      <w:b/>
      <w:bCs/>
      <w:kern w:val="32"/>
      <w:sz w:val="32"/>
      <w:szCs w:val="32"/>
    </w:rPr>
  </w:style>
  <w:style w:type="character" w:customStyle="1" w:styleId="27">
    <w:name w:val="标题 2 字符"/>
    <w:basedOn w:val="23"/>
    <w:link w:val="4"/>
    <w:semiHidden/>
    <w:qFormat/>
    <w:uiPriority w:val="9"/>
    <w:rPr>
      <w:rFonts w:asciiTheme="majorHAnsi" w:hAnsiTheme="majorHAnsi" w:eastAsiaTheme="majorEastAsia"/>
      <w:b/>
      <w:bCs/>
      <w:i/>
      <w:iCs/>
      <w:sz w:val="28"/>
      <w:szCs w:val="28"/>
    </w:rPr>
  </w:style>
  <w:style w:type="character" w:customStyle="1" w:styleId="28">
    <w:name w:val="标题 3 字符"/>
    <w:basedOn w:val="23"/>
    <w:link w:val="6"/>
    <w:semiHidden/>
    <w:qFormat/>
    <w:uiPriority w:val="9"/>
    <w:rPr>
      <w:rFonts w:asciiTheme="majorHAnsi" w:hAnsiTheme="majorHAnsi" w:eastAsiaTheme="majorEastAsia"/>
      <w:b/>
      <w:bCs/>
      <w:sz w:val="26"/>
      <w:szCs w:val="26"/>
    </w:rPr>
  </w:style>
  <w:style w:type="character" w:customStyle="1" w:styleId="29">
    <w:name w:val="标题 4 字符"/>
    <w:basedOn w:val="23"/>
    <w:link w:val="7"/>
    <w:semiHidden/>
    <w:qFormat/>
    <w:uiPriority w:val="9"/>
    <w:rPr>
      <w:b/>
      <w:bCs/>
      <w:sz w:val="28"/>
      <w:szCs w:val="28"/>
    </w:rPr>
  </w:style>
  <w:style w:type="character" w:customStyle="1" w:styleId="30">
    <w:name w:val="标题 5 字符"/>
    <w:basedOn w:val="23"/>
    <w:link w:val="8"/>
    <w:semiHidden/>
    <w:qFormat/>
    <w:uiPriority w:val="9"/>
    <w:rPr>
      <w:b/>
      <w:bCs/>
      <w:i/>
      <w:iCs/>
      <w:sz w:val="26"/>
      <w:szCs w:val="26"/>
    </w:rPr>
  </w:style>
  <w:style w:type="character" w:customStyle="1" w:styleId="31">
    <w:name w:val="标题 6 字符"/>
    <w:basedOn w:val="23"/>
    <w:link w:val="9"/>
    <w:semiHidden/>
    <w:qFormat/>
    <w:uiPriority w:val="9"/>
    <w:rPr>
      <w:b/>
      <w:bCs/>
    </w:rPr>
  </w:style>
  <w:style w:type="character" w:customStyle="1" w:styleId="32">
    <w:name w:val="标题 7 字符"/>
    <w:basedOn w:val="23"/>
    <w:link w:val="10"/>
    <w:semiHidden/>
    <w:qFormat/>
    <w:uiPriority w:val="9"/>
    <w:rPr>
      <w:sz w:val="24"/>
      <w:szCs w:val="24"/>
    </w:rPr>
  </w:style>
  <w:style w:type="character" w:customStyle="1" w:styleId="33">
    <w:name w:val="标题 8 字符"/>
    <w:basedOn w:val="23"/>
    <w:link w:val="11"/>
    <w:semiHidden/>
    <w:qFormat/>
    <w:uiPriority w:val="9"/>
    <w:rPr>
      <w:i/>
      <w:iCs/>
      <w:sz w:val="24"/>
      <w:szCs w:val="24"/>
    </w:rPr>
  </w:style>
  <w:style w:type="character" w:customStyle="1" w:styleId="34">
    <w:name w:val="标题 9 字符"/>
    <w:basedOn w:val="23"/>
    <w:link w:val="12"/>
    <w:semiHidden/>
    <w:qFormat/>
    <w:uiPriority w:val="9"/>
    <w:rPr>
      <w:rFonts w:asciiTheme="majorHAnsi" w:hAnsiTheme="majorHAnsi" w:eastAsiaTheme="majorEastAsia"/>
    </w:rPr>
  </w:style>
  <w:style w:type="character" w:customStyle="1" w:styleId="35">
    <w:name w:val="标题 字符"/>
    <w:basedOn w:val="23"/>
    <w:link w:val="2"/>
    <w:qFormat/>
    <w:uiPriority w:val="10"/>
    <w:rPr>
      <w:rFonts w:asciiTheme="majorHAnsi" w:hAnsiTheme="majorHAnsi" w:eastAsiaTheme="majorEastAsia"/>
      <w:b/>
      <w:bCs/>
      <w:kern w:val="28"/>
      <w:sz w:val="32"/>
      <w:szCs w:val="32"/>
    </w:rPr>
  </w:style>
  <w:style w:type="character" w:customStyle="1" w:styleId="36">
    <w:name w:val="副标题 字符"/>
    <w:basedOn w:val="23"/>
    <w:link w:val="19"/>
    <w:qFormat/>
    <w:uiPriority w:val="11"/>
    <w:rPr>
      <w:rFonts w:asciiTheme="majorHAnsi" w:hAnsiTheme="majorHAnsi" w:eastAsiaTheme="majorEastAsia"/>
      <w:sz w:val="24"/>
      <w:szCs w:val="24"/>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3"/>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3"/>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3"/>
    <w:qFormat/>
    <w:uiPriority w:val="21"/>
    <w:rPr>
      <w:b/>
      <w:i/>
      <w:sz w:val="24"/>
      <w:szCs w:val="24"/>
      <w:u w:val="single"/>
    </w:rPr>
  </w:style>
  <w:style w:type="character" w:customStyle="1" w:styleId="44">
    <w:name w:val="不明显参考1"/>
    <w:basedOn w:val="23"/>
    <w:qFormat/>
    <w:uiPriority w:val="31"/>
    <w:rPr>
      <w:sz w:val="24"/>
      <w:szCs w:val="24"/>
      <w:u w:val="single"/>
    </w:rPr>
  </w:style>
  <w:style w:type="character" w:customStyle="1" w:styleId="45">
    <w:name w:val="明显参考1"/>
    <w:basedOn w:val="23"/>
    <w:qFormat/>
    <w:uiPriority w:val="32"/>
    <w:rPr>
      <w:b/>
      <w:sz w:val="24"/>
      <w:u w:val="single"/>
    </w:rPr>
  </w:style>
  <w:style w:type="character" w:customStyle="1" w:styleId="46">
    <w:name w:val="书籍标题1"/>
    <w:basedOn w:val="23"/>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3"/>
    <w:link w:val="17"/>
    <w:qFormat/>
    <w:uiPriority w:val="99"/>
    <w:rPr>
      <w:rFonts w:ascii="Calibri" w:hAnsi="Calibri" w:eastAsia="宋体"/>
      <w:kern w:val="2"/>
      <w:sz w:val="18"/>
      <w:szCs w:val="18"/>
    </w:rPr>
  </w:style>
  <w:style w:type="character" w:customStyle="1" w:styleId="49">
    <w:name w:val="页脚 字符"/>
    <w:basedOn w:val="23"/>
    <w:link w:val="16"/>
    <w:qFormat/>
    <w:uiPriority w:val="99"/>
    <w:rPr>
      <w:rFonts w:ascii="Calibri" w:hAnsi="Calibri" w:eastAsia="宋体"/>
      <w:kern w:val="2"/>
      <w:sz w:val="18"/>
      <w:szCs w:val="18"/>
    </w:rPr>
  </w:style>
  <w:style w:type="character" w:customStyle="1" w:styleId="50">
    <w:name w:val="批注框文本 字符"/>
    <w:basedOn w:val="23"/>
    <w:link w:val="15"/>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 w:type="paragraph" w:customStyle="1" w:styleId="53">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54">
    <w:name w:val="闻政-正文二级标题"/>
    <w:basedOn w:val="4"/>
    <w:next w:val="53"/>
    <w:qFormat/>
    <w:uiPriority w:val="3"/>
    <w:pPr>
      <w:spacing w:before="120" w:after="60" w:line="500" w:lineRule="exact"/>
      <w:ind w:left="200" w:leftChars="200" w:firstLine="0" w:firstLineChars="0"/>
    </w:pPr>
    <w:rPr>
      <w:rFonts w:ascii="Times New Roman" w:hAnsi="Times New Roman"/>
      <w:sz w:val="28"/>
    </w:rPr>
  </w:style>
  <w:style w:type="paragraph" w:customStyle="1" w:styleId="55">
    <w:name w:val="闻政-正文三级标题"/>
    <w:basedOn w:val="1"/>
    <w:next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1</TotalTime>
  <ScaleCrop>false</ScaleCrop>
  <LinksUpToDate>false</LinksUpToDate>
  <CharactersWithSpaces>8963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dell-dell</cp:lastModifiedBy>
  <cp:lastPrinted>2021-04-12T05:16:00Z</cp:lastPrinted>
  <dcterms:modified xsi:type="dcterms:W3CDTF">2021-05-30T04:45:26Z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87238E7681324FDD85D4A327B011A2B9</vt:lpwstr>
  </property>
  <property fmtid="{D5CDD505-2E9C-101B-9397-08002B2CF9AE}" pid="4" name="KSOSaveFontToCloudKey">
    <vt:lpwstr>229835342_cloud</vt:lpwstr>
  </property>
</Properties>
</file>