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rPr>
          <w:rFonts w:ascii="华文中宋" w:hAnsi="华文中宋" w:eastAsia="华文中宋" w:cs="宋体"/>
          <w:b/>
          <w:color w:val="auto"/>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color w:val="auto"/>
          <w:kern w:val="0"/>
          <w:sz w:val="52"/>
          <w:szCs w:val="52"/>
        </w:rPr>
      </w:pPr>
    </w:p>
    <w:p>
      <w:pPr>
        <w:pageBreakBefore w:val="0"/>
        <w:kinsoku/>
        <w:wordWrap/>
        <w:overflowPunct/>
        <w:topLinePunct w:val="0"/>
        <w:autoSpaceDE/>
        <w:autoSpaceDN/>
        <w:bidi w:val="0"/>
        <w:adjustRightInd/>
        <w:snapToGrid/>
        <w:spacing w:line="560" w:lineRule="exact"/>
        <w:jc w:val="center"/>
        <w:rPr>
          <w:rFonts w:ascii="方正小标宋_GBK" w:hAnsi="宋体" w:eastAsia="方正小标宋_GBK" w:cs="Arial"/>
          <w:b w:val="0"/>
          <w:bCs/>
          <w:color w:val="auto"/>
          <w:sz w:val="44"/>
          <w:szCs w:val="44"/>
        </w:rPr>
      </w:pPr>
      <w:r>
        <w:rPr>
          <w:rFonts w:hint="eastAsia" w:ascii="方正小标宋_GBK" w:hAnsi="华文中宋" w:eastAsia="方正小标宋_GBK" w:cs="宋体"/>
          <w:b w:val="0"/>
          <w:bCs/>
          <w:color w:val="auto"/>
          <w:kern w:val="0"/>
          <w:sz w:val="44"/>
          <w:szCs w:val="44"/>
        </w:rPr>
        <w:t>塔城地区卫健委老年活动中心项</w:t>
      </w:r>
      <w:r>
        <w:rPr>
          <w:rFonts w:hint="eastAsia" w:ascii="方正小标宋_GBK" w:hAnsi="宋体" w:eastAsia="方正小标宋_GBK" w:cs="Arial"/>
          <w:b w:val="0"/>
          <w:bCs/>
          <w:color w:val="auto"/>
          <w:sz w:val="44"/>
          <w:szCs w:val="44"/>
        </w:rPr>
        <w:t>目</w:t>
      </w:r>
    </w:p>
    <w:p>
      <w:pPr>
        <w:pageBreakBefore w:val="0"/>
        <w:kinsoku/>
        <w:wordWrap/>
        <w:overflowPunct/>
        <w:topLinePunct w:val="0"/>
        <w:autoSpaceDE/>
        <w:autoSpaceDN/>
        <w:bidi w:val="0"/>
        <w:adjustRightInd/>
        <w:snapToGrid/>
        <w:spacing w:line="560" w:lineRule="exact"/>
        <w:jc w:val="center"/>
        <w:rPr>
          <w:rFonts w:ascii="方正小标宋_GBK" w:hAnsi="宋体" w:eastAsia="方正小标宋_GBK" w:cs="Arial"/>
          <w:b w:val="0"/>
          <w:bCs/>
          <w:color w:val="auto"/>
          <w:sz w:val="44"/>
          <w:szCs w:val="44"/>
        </w:rPr>
      </w:pPr>
      <w:r>
        <w:rPr>
          <w:rFonts w:hint="eastAsia" w:ascii="方正小标宋_GBK" w:hAnsi="华文中宋" w:eastAsia="方正小标宋_GBK" w:cs="宋体"/>
          <w:b w:val="0"/>
          <w:bCs/>
          <w:color w:val="auto"/>
          <w:kern w:val="0"/>
          <w:sz w:val="44"/>
          <w:szCs w:val="44"/>
        </w:rPr>
        <w:t>支出绩效评价报告</w:t>
      </w: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color w:val="auto"/>
          <w:kern w:val="0"/>
          <w:sz w:val="52"/>
          <w:szCs w:val="52"/>
        </w:rPr>
      </w:pPr>
    </w:p>
    <w:p>
      <w:pPr>
        <w:pageBreakBefore w:val="0"/>
        <w:kinsoku/>
        <w:wordWrap/>
        <w:overflowPunct/>
        <w:topLinePunct w:val="0"/>
        <w:autoSpaceDE/>
        <w:autoSpaceDN/>
        <w:bidi w:val="0"/>
        <w:adjustRightInd/>
        <w:snapToGrid/>
        <w:spacing w:line="560" w:lineRule="exact"/>
        <w:jc w:val="center"/>
        <w:rPr>
          <w:rFonts w:hAnsi="宋体" w:eastAsia="仿宋_GB2312" w:cs="宋体"/>
          <w:color w:val="auto"/>
          <w:kern w:val="0"/>
          <w:sz w:val="36"/>
          <w:szCs w:val="36"/>
        </w:rPr>
      </w:pPr>
      <w:r>
        <w:rPr>
          <w:rFonts w:hint="eastAsia" w:hAnsi="宋体" w:eastAsia="仿宋_GB2312" w:cs="宋体"/>
          <w:color w:val="auto"/>
          <w:kern w:val="0"/>
          <w:sz w:val="36"/>
          <w:szCs w:val="36"/>
        </w:rPr>
        <w:t>（2020年度）</w:t>
      </w:r>
    </w:p>
    <w:p>
      <w:pPr>
        <w:pageBreakBefore w:val="0"/>
        <w:kinsoku/>
        <w:wordWrap/>
        <w:overflowPunct/>
        <w:topLinePunct w:val="0"/>
        <w:autoSpaceDE/>
        <w:autoSpaceDN/>
        <w:bidi w:val="0"/>
        <w:adjustRightInd/>
        <w:snapToGrid/>
        <w:spacing w:line="560" w:lineRule="exact"/>
        <w:jc w:val="left"/>
        <w:rPr>
          <w:rFonts w:hAnsi="宋体" w:eastAsia="仿宋_GB2312" w:cs="宋体"/>
          <w:color w:val="auto"/>
          <w:kern w:val="0"/>
          <w:sz w:val="36"/>
          <w:szCs w:val="36"/>
        </w:rPr>
      </w:pPr>
    </w:p>
    <w:p>
      <w:pPr>
        <w:pageBreakBefore w:val="0"/>
        <w:kinsoku/>
        <w:wordWrap/>
        <w:overflowPunct/>
        <w:topLinePunct w:val="0"/>
        <w:autoSpaceDE/>
        <w:autoSpaceDN/>
        <w:bidi w:val="0"/>
        <w:adjustRightInd/>
        <w:snapToGrid/>
        <w:spacing w:line="560" w:lineRule="exact"/>
        <w:rPr>
          <w:color w:val="auto"/>
        </w:rPr>
      </w:pPr>
    </w:p>
    <w:p>
      <w:pPr>
        <w:pageBreakBefore w:val="0"/>
        <w:kinsoku/>
        <w:wordWrap/>
        <w:overflowPunct/>
        <w:topLinePunct w:val="0"/>
        <w:autoSpaceDE/>
        <w:autoSpaceDN/>
        <w:bidi w:val="0"/>
        <w:adjustRightInd/>
        <w:snapToGrid/>
        <w:spacing w:line="560" w:lineRule="exact"/>
        <w:rPr>
          <w:color w:val="auto"/>
        </w:rPr>
      </w:pPr>
    </w:p>
    <w:p>
      <w:pPr>
        <w:pageBreakBefore w:val="0"/>
        <w:kinsoku/>
        <w:wordWrap/>
        <w:overflowPunct/>
        <w:topLinePunct w:val="0"/>
        <w:autoSpaceDE/>
        <w:autoSpaceDN/>
        <w:bidi w:val="0"/>
        <w:adjustRightInd/>
        <w:snapToGrid/>
        <w:spacing w:line="560" w:lineRule="exact"/>
        <w:jc w:val="left"/>
        <w:rPr>
          <w:rFonts w:hAnsi="宋体" w:eastAsia="仿宋_GB2312" w:cs="宋体"/>
          <w:color w:val="auto"/>
          <w:kern w:val="0"/>
          <w:sz w:val="32"/>
          <w:szCs w:val="32"/>
        </w:rPr>
      </w:pPr>
      <w:r>
        <w:rPr>
          <w:rFonts w:hint="eastAsia" w:hAnsi="宋体" w:eastAsia="仿宋_GB2312" w:cs="宋体"/>
          <w:color w:val="auto"/>
          <w:kern w:val="0"/>
          <w:sz w:val="32"/>
          <w:szCs w:val="32"/>
        </w:rPr>
        <w:t>项目名称：老年活动中心项目</w:t>
      </w:r>
    </w:p>
    <w:p>
      <w:pPr>
        <w:pageBreakBefore w:val="0"/>
        <w:kinsoku/>
        <w:wordWrap/>
        <w:overflowPunct/>
        <w:topLinePunct w:val="0"/>
        <w:autoSpaceDE/>
        <w:autoSpaceDN/>
        <w:bidi w:val="0"/>
        <w:adjustRightInd/>
        <w:snapToGrid/>
        <w:spacing w:line="560" w:lineRule="exact"/>
        <w:jc w:val="left"/>
        <w:rPr>
          <w:rFonts w:hAnsi="宋体" w:eastAsia="仿宋_GB2312" w:cs="宋体"/>
          <w:color w:val="auto"/>
          <w:kern w:val="0"/>
          <w:sz w:val="32"/>
          <w:szCs w:val="32"/>
        </w:rPr>
      </w:pPr>
      <w:r>
        <w:rPr>
          <w:rFonts w:hint="eastAsia" w:hAnsi="宋体" w:eastAsia="仿宋_GB2312" w:cs="宋体"/>
          <w:color w:val="auto"/>
          <w:kern w:val="0"/>
          <w:sz w:val="32"/>
          <w:szCs w:val="32"/>
        </w:rPr>
        <w:t>实施单位（公章）：塔城地区卫健委</w:t>
      </w:r>
    </w:p>
    <w:p>
      <w:pPr>
        <w:pageBreakBefore w:val="0"/>
        <w:kinsoku/>
        <w:wordWrap/>
        <w:overflowPunct/>
        <w:topLinePunct w:val="0"/>
        <w:autoSpaceDE/>
        <w:autoSpaceDN/>
        <w:bidi w:val="0"/>
        <w:adjustRightInd/>
        <w:snapToGrid/>
        <w:spacing w:line="560" w:lineRule="exact"/>
        <w:jc w:val="left"/>
        <w:rPr>
          <w:rFonts w:hAnsi="宋体" w:eastAsia="仿宋_GB2312" w:cs="宋体"/>
          <w:color w:val="auto"/>
          <w:kern w:val="0"/>
          <w:sz w:val="32"/>
          <w:szCs w:val="32"/>
        </w:rPr>
      </w:pPr>
      <w:r>
        <w:rPr>
          <w:rFonts w:hint="eastAsia" w:hAnsi="宋体" w:eastAsia="仿宋_GB2312" w:cs="宋体"/>
          <w:color w:val="auto"/>
          <w:kern w:val="0"/>
          <w:sz w:val="32"/>
          <w:szCs w:val="32"/>
        </w:rPr>
        <w:t>主管部门（公章）：塔城地区卫健委</w:t>
      </w:r>
    </w:p>
    <w:p>
      <w:pPr>
        <w:pageBreakBefore w:val="0"/>
        <w:kinsoku/>
        <w:wordWrap/>
        <w:overflowPunct/>
        <w:topLinePunct w:val="0"/>
        <w:autoSpaceDE/>
        <w:autoSpaceDN/>
        <w:bidi w:val="0"/>
        <w:adjustRightInd/>
        <w:snapToGrid/>
        <w:spacing w:line="560" w:lineRule="exact"/>
        <w:jc w:val="left"/>
        <w:rPr>
          <w:rFonts w:hAnsi="宋体" w:eastAsia="仿宋_GB2312" w:cs="宋体"/>
          <w:color w:val="auto"/>
          <w:kern w:val="0"/>
          <w:sz w:val="32"/>
          <w:szCs w:val="32"/>
        </w:rPr>
      </w:pPr>
      <w:r>
        <w:rPr>
          <w:rFonts w:hint="eastAsia" w:hAnsi="宋体" w:eastAsia="仿宋_GB2312" w:cs="宋体"/>
          <w:color w:val="auto"/>
          <w:kern w:val="0"/>
          <w:sz w:val="32"/>
          <w:szCs w:val="32"/>
        </w:rPr>
        <w:t>项目负责人（签章）：李玉英</w:t>
      </w:r>
    </w:p>
    <w:p>
      <w:pPr>
        <w:pageBreakBefore w:val="0"/>
        <w:kinsoku/>
        <w:wordWrap/>
        <w:overflowPunct/>
        <w:topLinePunct w:val="0"/>
        <w:autoSpaceDE/>
        <w:autoSpaceDN/>
        <w:bidi w:val="0"/>
        <w:adjustRightInd/>
        <w:snapToGrid/>
        <w:spacing w:line="560" w:lineRule="exact"/>
        <w:jc w:val="left"/>
        <w:rPr>
          <w:rFonts w:hAnsi="宋体" w:eastAsia="仿宋_GB2312" w:cs="宋体"/>
          <w:color w:val="auto"/>
          <w:kern w:val="0"/>
          <w:sz w:val="32"/>
          <w:szCs w:val="32"/>
        </w:rPr>
      </w:pPr>
      <w:r>
        <w:rPr>
          <w:rFonts w:hint="eastAsia" w:hAnsi="宋体" w:eastAsia="仿宋_GB2312" w:cs="宋体"/>
          <w:color w:val="auto"/>
          <w:kern w:val="0"/>
          <w:sz w:val="32"/>
          <w:szCs w:val="32"/>
        </w:rPr>
        <w:t>填报时间：2021年4月7日</w:t>
      </w:r>
    </w:p>
    <w:p>
      <w:pPr>
        <w:pageBreakBefore w:val="0"/>
        <w:kinsoku/>
        <w:wordWrap/>
        <w:overflowPunct/>
        <w:topLinePunct w:val="0"/>
        <w:autoSpaceDE/>
        <w:autoSpaceDN/>
        <w:bidi w:val="0"/>
        <w:adjustRightInd/>
        <w:snapToGrid/>
        <w:spacing w:line="560" w:lineRule="exact"/>
        <w:contextualSpacing/>
        <w:jc w:val="left"/>
        <w:rPr>
          <w:rFonts w:ascii="仿宋_GB2312"/>
          <w:color w:val="auto"/>
          <w:szCs w:val="30"/>
        </w:rPr>
      </w:pPr>
    </w:p>
    <w:p>
      <w:pPr>
        <w:pStyle w:val="2"/>
        <w:pageBreakBefore w:val="0"/>
        <w:kinsoku/>
        <w:wordWrap/>
        <w:overflowPunct/>
        <w:topLinePunct w:val="0"/>
        <w:autoSpaceDE/>
        <w:autoSpaceDN/>
        <w:bidi w:val="0"/>
        <w:adjustRightInd/>
        <w:snapToGrid/>
        <w:spacing w:before="0" w:after="0" w:line="560" w:lineRule="exact"/>
        <w:rPr>
          <w:color w:val="auto"/>
        </w:rPr>
      </w:pPr>
    </w:p>
    <w:p>
      <w:pPr>
        <w:pageBreakBefore w:val="0"/>
        <w:kinsoku/>
        <w:wordWrap/>
        <w:overflowPunct/>
        <w:topLinePunct w:val="0"/>
        <w:autoSpaceDE/>
        <w:autoSpaceDN/>
        <w:bidi w:val="0"/>
        <w:adjustRightInd/>
        <w:snapToGrid/>
        <w:spacing w:line="560" w:lineRule="exact"/>
        <w:jc w:val="center"/>
        <w:rPr>
          <w:rFonts w:ascii="黑体" w:hAnsi="黑体" w:eastAsia="黑体" w:cs="黑体"/>
          <w:bCs/>
          <w:color w:val="auto"/>
          <w:sz w:val="32"/>
          <w:szCs w:val="32"/>
        </w:rPr>
        <w:sectPr>
          <w:footerReference r:id="rId3" w:type="default"/>
          <w:footerReference r:id="rId4" w:type="even"/>
          <w:pgSz w:w="11906" w:h="16838"/>
          <w:pgMar w:top="2098" w:right="1531" w:bottom="1985" w:left="1531" w:header="851" w:footer="992" w:gutter="0"/>
          <w:pgNumType w:fmt="numberInDash" w:start="0"/>
          <w:cols w:space="720" w:num="1"/>
          <w:docGrid w:type="lines" w:linePitch="579" w:charSpace="-1675"/>
        </w:sectPr>
      </w:pPr>
    </w:p>
    <w:p>
      <w:pPr>
        <w:pageBreakBefore w:val="0"/>
        <w:kinsoku/>
        <w:wordWrap/>
        <w:overflowPunct/>
        <w:topLinePunct w:val="0"/>
        <w:autoSpaceDE/>
        <w:autoSpaceDN/>
        <w:bidi w:val="0"/>
        <w:adjustRightInd/>
        <w:snapToGrid/>
        <w:spacing w:line="560" w:lineRule="exact"/>
        <w:jc w:val="center"/>
        <w:rPr>
          <w:rFonts w:ascii="黑体" w:hAnsi="黑体" w:eastAsia="黑体" w:cs="黑体"/>
          <w:bCs/>
          <w:color w:val="auto"/>
          <w:sz w:val="32"/>
          <w:szCs w:val="32"/>
        </w:rPr>
      </w:pPr>
      <w:r>
        <w:rPr>
          <w:rFonts w:hint="eastAsia" w:ascii="黑体" w:hAnsi="黑体" w:eastAsia="黑体" w:cs="黑体"/>
          <w:bCs/>
          <w:color w:val="auto"/>
          <w:sz w:val="32"/>
          <w:szCs w:val="32"/>
        </w:rPr>
        <w:t>目  录</w:t>
      </w:r>
    </w:p>
    <w:p>
      <w:pPr>
        <w:pageBreakBefore w:val="0"/>
        <w:kinsoku/>
        <w:wordWrap/>
        <w:overflowPunct/>
        <w:topLinePunct w:val="0"/>
        <w:autoSpaceDE/>
        <w:autoSpaceDN/>
        <w:bidi w:val="0"/>
        <w:adjustRightInd/>
        <w:snapToGrid/>
        <w:spacing w:line="560" w:lineRule="exact"/>
        <w:rPr>
          <w:rFonts w:ascii="黑体" w:hAnsi="黑体" w:eastAsia="黑体" w:cs="黑体"/>
          <w:color w:val="auto"/>
          <w:sz w:val="32"/>
          <w:szCs w:val="32"/>
        </w:rPr>
      </w:pPr>
    </w:p>
    <w:sdt>
      <w:sdtPr>
        <w:rPr>
          <w:rFonts w:ascii="宋体" w:hAnsi="宋体"/>
          <w:color w:val="auto"/>
        </w:rPr>
        <w:id w:val="-1572726160"/>
        <w:docPartObj>
          <w:docPartGallery w:val="Table of Contents"/>
          <w:docPartUnique/>
        </w:docPartObj>
      </w:sdtPr>
      <w:sdtEndPr>
        <w:rPr>
          <w:rFonts w:ascii="Times New Roman" w:hAnsi="Times New Roman"/>
          <w:color w:val="auto"/>
          <w:sz w:val="20"/>
          <w:szCs w:val="20"/>
        </w:rPr>
      </w:sdtEndPr>
      <w:sdtContent>
        <w:p>
          <w:pPr>
            <w:pageBreakBefore w:val="0"/>
            <w:kinsoku/>
            <w:wordWrap/>
            <w:overflowPunct/>
            <w:topLinePunct w:val="0"/>
            <w:autoSpaceDE/>
            <w:autoSpaceDN/>
            <w:bidi w:val="0"/>
            <w:adjustRightInd/>
            <w:snapToGrid/>
            <w:spacing w:line="560" w:lineRule="exact"/>
            <w:jc w:val="center"/>
            <w:rPr>
              <w:color w:val="auto"/>
            </w:rPr>
          </w:pPr>
          <w:bookmarkStart w:id="0" w:name="_Toc8059_WPSOffice_Type1"/>
        </w:p>
        <w:p>
          <w:pPr>
            <w:pStyle w:val="23"/>
            <w:pageBreakBefore w:val="0"/>
            <w:tabs>
              <w:tab w:val="right" w:leader="dot" w:pos="8844"/>
            </w:tabs>
            <w:kinsoku/>
            <w:wordWrap/>
            <w:overflowPunct/>
            <w:topLinePunct w:val="0"/>
            <w:autoSpaceDE/>
            <w:autoSpaceDN/>
            <w:bidi w:val="0"/>
            <w:adjustRightInd/>
            <w:snapToGrid/>
            <w:spacing w:line="560" w:lineRule="exact"/>
            <w:rPr>
              <w:rFonts w:ascii="黑体" w:hAnsi="黑体" w:eastAsia="黑体" w:cs="黑体"/>
              <w:color w:val="auto"/>
              <w:sz w:val="28"/>
              <w:szCs w:val="28"/>
            </w:rPr>
          </w:pPr>
          <w:r>
            <w:rPr>
              <w:color w:val="auto"/>
            </w:rPr>
            <w:fldChar w:fldCharType="begin"/>
          </w:r>
          <w:r>
            <w:rPr>
              <w:color w:val="auto"/>
            </w:rPr>
            <w:instrText xml:space="preserve"> HYPERLINK \l "_Toc32068_WPSOffice_Level1" </w:instrText>
          </w:r>
          <w:r>
            <w:rPr>
              <w:color w:val="auto"/>
            </w:rPr>
            <w:fldChar w:fldCharType="separate"/>
          </w:r>
          <w:sdt>
            <w:sdtPr>
              <w:rPr>
                <w:rFonts w:hint="eastAsia" w:ascii="黑体" w:hAnsi="黑体" w:eastAsia="黑体" w:cs="黑体"/>
                <w:color w:val="auto"/>
                <w:kern w:val="2"/>
                <w:sz w:val="28"/>
                <w:szCs w:val="28"/>
              </w:rPr>
              <w:id w:val="147471288"/>
              <w:placeholder>
                <w:docPart w:val="{714ea160-77bf-4b21-8345-f3b84b5afe7b}"/>
              </w:placeholder>
            </w:sdtPr>
            <w:sdtEndPr>
              <w:rPr>
                <w:rFonts w:hint="eastAsia" w:ascii="黑体" w:hAnsi="黑体" w:eastAsia="黑体" w:cs="黑体"/>
                <w:color w:val="auto"/>
                <w:kern w:val="2"/>
                <w:sz w:val="28"/>
                <w:szCs w:val="28"/>
              </w:rPr>
            </w:sdtEndPr>
            <w:sdtContent>
              <w:r>
                <w:rPr>
                  <w:rFonts w:hint="eastAsia" w:ascii="黑体" w:hAnsi="黑体" w:eastAsia="黑体" w:cs="黑体"/>
                  <w:color w:val="auto"/>
                  <w:sz w:val="28"/>
                  <w:szCs w:val="28"/>
                </w:rPr>
                <w:t>一、基本情况</w:t>
              </w:r>
            </w:sdtContent>
          </w:sdt>
          <w:r>
            <w:rPr>
              <w:rFonts w:hint="eastAsia" w:ascii="黑体" w:hAnsi="黑体" w:eastAsia="黑体" w:cs="黑体"/>
              <w:color w:val="auto"/>
              <w:sz w:val="28"/>
              <w:szCs w:val="28"/>
            </w:rPr>
            <w:tab/>
          </w:r>
          <w:bookmarkStart w:id="1" w:name="_Toc32068_WPSOffice_Level1Page"/>
          <w:r>
            <w:rPr>
              <w:rFonts w:hint="eastAsia" w:ascii="黑体" w:hAnsi="黑体" w:eastAsia="黑体" w:cs="黑体"/>
              <w:color w:val="auto"/>
              <w:sz w:val="28"/>
              <w:szCs w:val="28"/>
            </w:rPr>
            <w:t>1</w:t>
          </w:r>
          <w:bookmarkEnd w:id="1"/>
          <w:r>
            <w:rPr>
              <w:rFonts w:hint="eastAsia" w:ascii="黑体" w:hAnsi="黑体" w:eastAsia="黑体" w:cs="黑体"/>
              <w:color w:val="auto"/>
              <w:sz w:val="28"/>
              <w:szCs w:val="28"/>
            </w:rPr>
            <w:fldChar w:fldCharType="end"/>
          </w:r>
        </w:p>
        <w:p>
          <w:pPr>
            <w:pStyle w:val="23"/>
            <w:pageBreakBefore w:val="0"/>
            <w:tabs>
              <w:tab w:val="right" w:leader="dot" w:pos="8844"/>
            </w:tabs>
            <w:kinsoku/>
            <w:wordWrap/>
            <w:overflowPunct/>
            <w:topLinePunct w:val="0"/>
            <w:autoSpaceDE/>
            <w:autoSpaceDN/>
            <w:bidi w:val="0"/>
            <w:adjustRightInd/>
            <w:snapToGrid/>
            <w:spacing w:line="560" w:lineRule="exact"/>
            <w:rPr>
              <w:rFonts w:ascii="黑体" w:hAnsi="黑体" w:eastAsia="黑体" w:cs="黑体"/>
              <w:color w:val="auto"/>
              <w:sz w:val="28"/>
              <w:szCs w:val="28"/>
            </w:rPr>
          </w:pPr>
          <w:r>
            <w:rPr>
              <w:color w:val="auto"/>
            </w:rPr>
            <w:fldChar w:fldCharType="begin"/>
          </w:r>
          <w:r>
            <w:rPr>
              <w:color w:val="auto"/>
            </w:rPr>
            <w:instrText xml:space="preserve"> HYPERLINK \l "_Toc8059_WPSOffice_Level1" </w:instrText>
          </w:r>
          <w:r>
            <w:rPr>
              <w:color w:val="auto"/>
            </w:rPr>
            <w:fldChar w:fldCharType="separate"/>
          </w:r>
          <w:sdt>
            <w:sdtPr>
              <w:rPr>
                <w:rFonts w:hint="eastAsia" w:ascii="黑体" w:hAnsi="黑体" w:eastAsia="黑体" w:cs="黑体"/>
                <w:color w:val="auto"/>
                <w:kern w:val="2"/>
                <w:sz w:val="28"/>
                <w:szCs w:val="28"/>
              </w:rPr>
              <w:id w:val="-796753589"/>
              <w:placeholder>
                <w:docPart w:val="{69aa6814-cd28-4cf4-908d-2a97aa389962}"/>
              </w:placeholder>
            </w:sdtPr>
            <w:sdtEndPr>
              <w:rPr>
                <w:rFonts w:hint="eastAsia" w:ascii="黑体" w:hAnsi="黑体" w:eastAsia="黑体" w:cs="黑体"/>
                <w:color w:val="auto"/>
                <w:kern w:val="2"/>
                <w:sz w:val="28"/>
                <w:szCs w:val="28"/>
              </w:rPr>
            </w:sdtEndPr>
            <w:sdtContent>
              <w:r>
                <w:rPr>
                  <w:rFonts w:hint="eastAsia" w:ascii="黑体" w:hAnsi="黑体" w:eastAsia="黑体" w:cs="黑体"/>
                  <w:color w:val="auto"/>
                  <w:sz w:val="28"/>
                  <w:szCs w:val="28"/>
                </w:rPr>
                <w:t>二、绩效评价工作开展情况</w:t>
              </w:r>
            </w:sdtContent>
          </w:sdt>
          <w:r>
            <w:rPr>
              <w:rFonts w:hint="eastAsia" w:ascii="黑体" w:hAnsi="黑体" w:eastAsia="黑体" w:cs="黑体"/>
              <w:color w:val="auto"/>
              <w:sz w:val="28"/>
              <w:szCs w:val="28"/>
            </w:rPr>
            <w:tab/>
          </w:r>
          <w:bookmarkStart w:id="2" w:name="_Toc8059_WPSOffice_Level1Page"/>
          <w:r>
            <w:rPr>
              <w:rFonts w:hint="eastAsia" w:ascii="黑体" w:hAnsi="黑体" w:eastAsia="黑体" w:cs="黑体"/>
              <w:color w:val="auto"/>
              <w:sz w:val="28"/>
              <w:szCs w:val="28"/>
            </w:rPr>
            <w:t>3</w:t>
          </w:r>
          <w:bookmarkEnd w:id="2"/>
          <w:r>
            <w:rPr>
              <w:rFonts w:hint="eastAsia" w:ascii="黑体" w:hAnsi="黑体" w:eastAsia="黑体" w:cs="黑体"/>
              <w:color w:val="auto"/>
              <w:sz w:val="28"/>
              <w:szCs w:val="28"/>
            </w:rPr>
            <w:fldChar w:fldCharType="end"/>
          </w:r>
        </w:p>
        <w:p>
          <w:pPr>
            <w:pStyle w:val="23"/>
            <w:pageBreakBefore w:val="0"/>
            <w:tabs>
              <w:tab w:val="right" w:leader="dot" w:pos="8844"/>
            </w:tabs>
            <w:kinsoku/>
            <w:wordWrap/>
            <w:overflowPunct/>
            <w:topLinePunct w:val="0"/>
            <w:autoSpaceDE/>
            <w:autoSpaceDN/>
            <w:bidi w:val="0"/>
            <w:adjustRightInd/>
            <w:snapToGrid/>
            <w:spacing w:line="560" w:lineRule="exact"/>
            <w:rPr>
              <w:rFonts w:ascii="黑体" w:hAnsi="黑体" w:eastAsia="黑体" w:cs="黑体"/>
              <w:color w:val="auto"/>
              <w:sz w:val="28"/>
              <w:szCs w:val="28"/>
            </w:rPr>
          </w:pPr>
          <w:r>
            <w:rPr>
              <w:color w:val="auto"/>
            </w:rPr>
            <w:fldChar w:fldCharType="begin"/>
          </w:r>
          <w:r>
            <w:rPr>
              <w:color w:val="auto"/>
            </w:rPr>
            <w:instrText xml:space="preserve"> HYPERLINK \l "_Toc18439_WPSOffice_Level1" </w:instrText>
          </w:r>
          <w:r>
            <w:rPr>
              <w:color w:val="auto"/>
            </w:rPr>
            <w:fldChar w:fldCharType="separate"/>
          </w:r>
          <w:sdt>
            <w:sdtPr>
              <w:rPr>
                <w:rFonts w:hint="eastAsia" w:ascii="黑体" w:hAnsi="黑体" w:eastAsia="黑体" w:cs="黑体"/>
                <w:color w:val="auto"/>
                <w:kern w:val="2"/>
                <w:sz w:val="28"/>
                <w:szCs w:val="28"/>
              </w:rPr>
              <w:id w:val="2066215441"/>
              <w:placeholder>
                <w:docPart w:val="{17f62115-e352-49b0-911a-0940bc9c9c49}"/>
              </w:placeholder>
            </w:sdtPr>
            <w:sdtEndPr>
              <w:rPr>
                <w:rFonts w:hint="eastAsia" w:ascii="黑体" w:hAnsi="黑体" w:eastAsia="黑体" w:cs="黑体"/>
                <w:color w:val="auto"/>
                <w:kern w:val="2"/>
                <w:sz w:val="28"/>
                <w:szCs w:val="28"/>
              </w:rPr>
            </w:sdtEndPr>
            <w:sdtContent>
              <w:r>
                <w:rPr>
                  <w:rFonts w:hint="eastAsia" w:ascii="黑体" w:hAnsi="黑体" w:eastAsia="黑体" w:cs="黑体"/>
                  <w:color w:val="auto"/>
                  <w:sz w:val="28"/>
                  <w:szCs w:val="28"/>
                </w:rPr>
                <w:t>三、综合评价情况及评价结论（附相关评分表）</w:t>
              </w:r>
            </w:sdtContent>
          </w:sdt>
          <w:r>
            <w:rPr>
              <w:rFonts w:hint="eastAsia" w:ascii="黑体" w:hAnsi="黑体" w:eastAsia="黑体" w:cs="黑体"/>
              <w:color w:val="auto"/>
              <w:sz w:val="28"/>
              <w:szCs w:val="28"/>
            </w:rPr>
            <w:tab/>
          </w:r>
          <w:bookmarkStart w:id="3" w:name="_Toc18439_WPSOffice_Level1Page"/>
          <w:r>
            <w:rPr>
              <w:rFonts w:hint="eastAsia" w:ascii="黑体" w:hAnsi="黑体" w:eastAsia="黑体" w:cs="黑体"/>
              <w:color w:val="auto"/>
              <w:sz w:val="28"/>
              <w:szCs w:val="28"/>
            </w:rPr>
            <w:t>7</w:t>
          </w:r>
          <w:bookmarkEnd w:id="3"/>
          <w:r>
            <w:rPr>
              <w:rFonts w:hint="eastAsia" w:ascii="黑体" w:hAnsi="黑体" w:eastAsia="黑体" w:cs="黑体"/>
              <w:color w:val="auto"/>
              <w:sz w:val="28"/>
              <w:szCs w:val="28"/>
            </w:rPr>
            <w:fldChar w:fldCharType="end"/>
          </w:r>
        </w:p>
        <w:p>
          <w:pPr>
            <w:pStyle w:val="23"/>
            <w:pageBreakBefore w:val="0"/>
            <w:tabs>
              <w:tab w:val="right" w:leader="dot" w:pos="8844"/>
            </w:tabs>
            <w:kinsoku/>
            <w:wordWrap/>
            <w:overflowPunct/>
            <w:topLinePunct w:val="0"/>
            <w:autoSpaceDE/>
            <w:autoSpaceDN/>
            <w:bidi w:val="0"/>
            <w:adjustRightInd/>
            <w:snapToGrid/>
            <w:spacing w:line="560" w:lineRule="exact"/>
            <w:rPr>
              <w:rFonts w:ascii="黑体" w:hAnsi="黑体" w:eastAsia="黑体" w:cs="黑体"/>
              <w:color w:val="auto"/>
              <w:sz w:val="28"/>
              <w:szCs w:val="28"/>
            </w:rPr>
          </w:pPr>
          <w:r>
            <w:rPr>
              <w:color w:val="auto"/>
            </w:rPr>
            <w:fldChar w:fldCharType="begin"/>
          </w:r>
          <w:r>
            <w:rPr>
              <w:color w:val="auto"/>
            </w:rPr>
            <w:instrText xml:space="preserve"> HYPERLINK \l "_Toc29844_WPSOffice_Level1" </w:instrText>
          </w:r>
          <w:r>
            <w:rPr>
              <w:color w:val="auto"/>
            </w:rPr>
            <w:fldChar w:fldCharType="separate"/>
          </w:r>
          <w:sdt>
            <w:sdtPr>
              <w:rPr>
                <w:rFonts w:hint="eastAsia" w:ascii="黑体" w:hAnsi="黑体" w:eastAsia="黑体" w:cs="黑体"/>
                <w:color w:val="auto"/>
                <w:kern w:val="2"/>
                <w:sz w:val="28"/>
                <w:szCs w:val="28"/>
              </w:rPr>
              <w:id w:val="-185994994"/>
              <w:placeholder>
                <w:docPart w:val="{4f258cf5-3548-4528-875c-1e4b67763d06}"/>
              </w:placeholder>
            </w:sdtPr>
            <w:sdtEndPr>
              <w:rPr>
                <w:rFonts w:hint="eastAsia" w:ascii="黑体" w:hAnsi="黑体" w:eastAsia="黑体" w:cs="黑体"/>
                <w:color w:val="auto"/>
                <w:kern w:val="2"/>
                <w:sz w:val="28"/>
                <w:szCs w:val="28"/>
              </w:rPr>
            </w:sdtEndPr>
            <w:sdtContent>
              <w:r>
                <w:rPr>
                  <w:rFonts w:hint="eastAsia" w:ascii="黑体" w:hAnsi="黑体" w:eastAsia="黑体" w:cs="黑体"/>
                  <w:color w:val="auto"/>
                  <w:sz w:val="28"/>
                  <w:szCs w:val="28"/>
                </w:rPr>
                <w:t>四、绩效评价指标分析</w:t>
              </w:r>
            </w:sdtContent>
          </w:sdt>
          <w:r>
            <w:rPr>
              <w:rFonts w:hint="eastAsia" w:ascii="黑体" w:hAnsi="黑体" w:eastAsia="黑体" w:cs="黑体"/>
              <w:color w:val="auto"/>
              <w:sz w:val="28"/>
              <w:szCs w:val="28"/>
            </w:rPr>
            <w:tab/>
          </w:r>
          <w:bookmarkStart w:id="4" w:name="_Toc29844_WPSOffice_Level1Page"/>
          <w:r>
            <w:rPr>
              <w:rFonts w:hint="eastAsia" w:ascii="黑体" w:hAnsi="黑体" w:eastAsia="黑体" w:cs="黑体"/>
              <w:color w:val="auto"/>
              <w:sz w:val="28"/>
              <w:szCs w:val="28"/>
            </w:rPr>
            <w:t>9</w:t>
          </w:r>
          <w:bookmarkEnd w:id="4"/>
          <w:r>
            <w:rPr>
              <w:rFonts w:hint="eastAsia" w:ascii="黑体" w:hAnsi="黑体" w:eastAsia="黑体" w:cs="黑体"/>
              <w:color w:val="auto"/>
              <w:sz w:val="28"/>
              <w:szCs w:val="28"/>
            </w:rPr>
            <w:fldChar w:fldCharType="end"/>
          </w:r>
        </w:p>
        <w:p>
          <w:pPr>
            <w:pStyle w:val="23"/>
            <w:pageBreakBefore w:val="0"/>
            <w:tabs>
              <w:tab w:val="right" w:leader="dot" w:pos="8844"/>
            </w:tabs>
            <w:kinsoku/>
            <w:wordWrap/>
            <w:overflowPunct/>
            <w:topLinePunct w:val="0"/>
            <w:autoSpaceDE/>
            <w:autoSpaceDN/>
            <w:bidi w:val="0"/>
            <w:adjustRightInd/>
            <w:snapToGrid/>
            <w:spacing w:line="560" w:lineRule="exact"/>
            <w:rPr>
              <w:rFonts w:ascii="黑体" w:hAnsi="黑体" w:eastAsia="黑体" w:cs="黑体"/>
              <w:color w:val="auto"/>
              <w:sz w:val="28"/>
              <w:szCs w:val="28"/>
            </w:rPr>
          </w:pPr>
          <w:r>
            <w:rPr>
              <w:color w:val="auto"/>
            </w:rPr>
            <w:fldChar w:fldCharType="begin"/>
          </w:r>
          <w:r>
            <w:rPr>
              <w:color w:val="auto"/>
            </w:rPr>
            <w:instrText xml:space="preserve"> HYPERLINK \l "_Toc8780_WPSOffice_Level1" </w:instrText>
          </w:r>
          <w:r>
            <w:rPr>
              <w:color w:val="auto"/>
            </w:rPr>
            <w:fldChar w:fldCharType="separate"/>
          </w:r>
          <w:sdt>
            <w:sdtPr>
              <w:rPr>
                <w:rFonts w:hint="eastAsia" w:ascii="黑体" w:hAnsi="黑体" w:eastAsia="黑体" w:cs="黑体"/>
                <w:color w:val="auto"/>
                <w:kern w:val="2"/>
                <w:sz w:val="28"/>
                <w:szCs w:val="28"/>
              </w:rPr>
              <w:id w:val="91594528"/>
              <w:placeholder>
                <w:docPart w:val="{211679c4-dbdf-47e1-b5ab-1d9b5864b60b}"/>
              </w:placeholder>
            </w:sdtPr>
            <w:sdtEndPr>
              <w:rPr>
                <w:rFonts w:hint="eastAsia" w:ascii="黑体" w:hAnsi="黑体" w:eastAsia="黑体" w:cs="黑体"/>
                <w:color w:val="auto"/>
                <w:kern w:val="2"/>
                <w:sz w:val="28"/>
                <w:szCs w:val="28"/>
              </w:rPr>
            </w:sdtEndPr>
            <w:sdtContent>
              <w:r>
                <w:rPr>
                  <w:rFonts w:hint="eastAsia" w:ascii="黑体" w:hAnsi="黑体" w:eastAsia="黑体" w:cs="黑体"/>
                  <w:color w:val="auto"/>
                  <w:sz w:val="28"/>
                  <w:szCs w:val="28"/>
                </w:rPr>
                <w:t>五、主要经验及做法、存在的问题及原因分析</w:t>
              </w:r>
            </w:sdtContent>
          </w:sdt>
          <w:r>
            <w:rPr>
              <w:rFonts w:hint="eastAsia" w:ascii="黑体" w:hAnsi="黑体" w:eastAsia="黑体" w:cs="黑体"/>
              <w:color w:val="auto"/>
              <w:sz w:val="28"/>
              <w:szCs w:val="28"/>
            </w:rPr>
            <w:tab/>
          </w:r>
          <w:bookmarkStart w:id="5" w:name="_Toc8780_WPSOffice_Level1Page"/>
          <w:r>
            <w:rPr>
              <w:rFonts w:hint="eastAsia" w:ascii="黑体" w:hAnsi="黑体" w:eastAsia="黑体" w:cs="黑体"/>
              <w:color w:val="auto"/>
              <w:sz w:val="28"/>
              <w:szCs w:val="28"/>
            </w:rPr>
            <w:t>1</w:t>
          </w:r>
          <w:bookmarkEnd w:id="5"/>
          <w:r>
            <w:rPr>
              <w:rFonts w:hint="eastAsia" w:ascii="黑体" w:hAnsi="黑体" w:eastAsia="黑体" w:cs="黑体"/>
              <w:color w:val="auto"/>
              <w:sz w:val="28"/>
              <w:szCs w:val="28"/>
            </w:rPr>
            <w:t>3</w:t>
          </w:r>
          <w:r>
            <w:rPr>
              <w:rFonts w:hint="eastAsia" w:ascii="黑体" w:hAnsi="黑体" w:eastAsia="黑体" w:cs="黑体"/>
              <w:color w:val="auto"/>
              <w:sz w:val="28"/>
              <w:szCs w:val="28"/>
            </w:rPr>
            <w:fldChar w:fldCharType="end"/>
          </w:r>
        </w:p>
        <w:p>
          <w:pPr>
            <w:pStyle w:val="23"/>
            <w:pageBreakBefore w:val="0"/>
            <w:tabs>
              <w:tab w:val="right" w:leader="dot" w:pos="8844"/>
            </w:tabs>
            <w:kinsoku/>
            <w:wordWrap/>
            <w:overflowPunct/>
            <w:topLinePunct w:val="0"/>
            <w:autoSpaceDE/>
            <w:autoSpaceDN/>
            <w:bidi w:val="0"/>
            <w:adjustRightInd/>
            <w:snapToGrid/>
            <w:spacing w:line="560" w:lineRule="exact"/>
            <w:rPr>
              <w:rFonts w:ascii="黑体" w:hAnsi="黑体" w:eastAsia="黑体" w:cs="黑体"/>
              <w:color w:val="auto"/>
              <w:sz w:val="28"/>
              <w:szCs w:val="28"/>
            </w:rPr>
          </w:pPr>
          <w:r>
            <w:rPr>
              <w:color w:val="auto"/>
            </w:rPr>
            <w:fldChar w:fldCharType="begin"/>
          </w:r>
          <w:r>
            <w:rPr>
              <w:color w:val="auto"/>
            </w:rPr>
            <w:instrText xml:space="preserve"> HYPERLINK \l "_Toc19772_WPSOffice_Level1" </w:instrText>
          </w:r>
          <w:r>
            <w:rPr>
              <w:color w:val="auto"/>
            </w:rPr>
            <w:fldChar w:fldCharType="separate"/>
          </w:r>
          <w:sdt>
            <w:sdtPr>
              <w:rPr>
                <w:rFonts w:hint="eastAsia" w:ascii="黑体" w:hAnsi="黑体" w:eastAsia="黑体" w:cs="黑体"/>
                <w:color w:val="auto"/>
                <w:kern w:val="2"/>
                <w:sz w:val="28"/>
                <w:szCs w:val="28"/>
              </w:rPr>
              <w:id w:val="-101570890"/>
              <w:placeholder>
                <w:docPart w:val="{bc2dcf30-d5c6-4ea4-aa33-da4744a5446d}"/>
              </w:placeholder>
            </w:sdtPr>
            <w:sdtEndPr>
              <w:rPr>
                <w:rFonts w:hint="eastAsia" w:ascii="黑体" w:hAnsi="黑体" w:eastAsia="黑体" w:cs="黑体"/>
                <w:color w:val="auto"/>
                <w:kern w:val="2"/>
                <w:sz w:val="28"/>
                <w:szCs w:val="28"/>
              </w:rPr>
            </w:sdtEndPr>
            <w:sdtContent>
              <w:r>
                <w:rPr>
                  <w:rFonts w:hint="eastAsia" w:ascii="黑体" w:hAnsi="黑体" w:eastAsia="黑体" w:cs="黑体"/>
                  <w:color w:val="auto"/>
                  <w:sz w:val="28"/>
                  <w:szCs w:val="28"/>
                </w:rPr>
                <w:t>六、有关建议</w:t>
              </w:r>
            </w:sdtContent>
          </w:sdt>
          <w:r>
            <w:rPr>
              <w:rFonts w:hint="eastAsia" w:ascii="黑体" w:hAnsi="黑体" w:eastAsia="黑体" w:cs="黑体"/>
              <w:color w:val="auto"/>
              <w:sz w:val="28"/>
              <w:szCs w:val="28"/>
            </w:rPr>
            <w:tab/>
          </w:r>
          <w:bookmarkStart w:id="6" w:name="_Toc19772_WPSOffice_Level1Page"/>
          <w:r>
            <w:rPr>
              <w:rFonts w:hint="eastAsia" w:ascii="黑体" w:hAnsi="黑体" w:eastAsia="黑体" w:cs="黑体"/>
              <w:color w:val="auto"/>
              <w:sz w:val="28"/>
              <w:szCs w:val="28"/>
            </w:rPr>
            <w:t>1</w:t>
          </w:r>
          <w:bookmarkEnd w:id="6"/>
          <w:r>
            <w:rPr>
              <w:rFonts w:hint="eastAsia" w:ascii="黑体" w:hAnsi="黑体" w:eastAsia="黑体" w:cs="黑体"/>
              <w:color w:val="auto"/>
              <w:sz w:val="28"/>
              <w:szCs w:val="28"/>
            </w:rPr>
            <w:t>4</w:t>
          </w:r>
          <w:r>
            <w:rPr>
              <w:rFonts w:hint="eastAsia" w:ascii="黑体" w:hAnsi="黑体" w:eastAsia="黑体" w:cs="黑体"/>
              <w:color w:val="auto"/>
              <w:sz w:val="28"/>
              <w:szCs w:val="28"/>
            </w:rPr>
            <w:fldChar w:fldCharType="end"/>
          </w:r>
        </w:p>
        <w:p>
          <w:pPr>
            <w:pStyle w:val="23"/>
            <w:pageBreakBefore w:val="0"/>
            <w:tabs>
              <w:tab w:val="right" w:leader="dot" w:pos="8844"/>
            </w:tabs>
            <w:kinsoku/>
            <w:wordWrap/>
            <w:overflowPunct/>
            <w:topLinePunct w:val="0"/>
            <w:autoSpaceDE/>
            <w:autoSpaceDN/>
            <w:bidi w:val="0"/>
            <w:adjustRightInd/>
            <w:snapToGrid/>
            <w:spacing w:line="560" w:lineRule="exact"/>
            <w:rPr>
              <w:color w:val="auto"/>
            </w:rPr>
          </w:pPr>
          <w:r>
            <w:rPr>
              <w:color w:val="auto"/>
            </w:rPr>
            <w:fldChar w:fldCharType="begin"/>
          </w:r>
          <w:r>
            <w:rPr>
              <w:color w:val="auto"/>
            </w:rPr>
            <w:instrText xml:space="preserve"> HYPERLINK \l "_Toc1432_WPSOffice_Level1" </w:instrText>
          </w:r>
          <w:r>
            <w:rPr>
              <w:color w:val="auto"/>
            </w:rPr>
            <w:fldChar w:fldCharType="separate"/>
          </w:r>
          <w:sdt>
            <w:sdtPr>
              <w:rPr>
                <w:rFonts w:hint="eastAsia" w:ascii="黑体" w:hAnsi="黑体" w:eastAsia="黑体" w:cs="黑体"/>
                <w:color w:val="auto"/>
                <w:kern w:val="2"/>
                <w:sz w:val="28"/>
                <w:szCs w:val="28"/>
              </w:rPr>
              <w:id w:val="1367174692"/>
              <w:placeholder>
                <w:docPart w:val="{4a21a7cd-2d93-41c0-be48-8b866c5d9248}"/>
              </w:placeholder>
            </w:sdtPr>
            <w:sdtEndPr>
              <w:rPr>
                <w:rFonts w:hint="eastAsia" w:ascii="黑体" w:hAnsi="黑体" w:eastAsia="黑体" w:cs="黑体"/>
                <w:color w:val="auto"/>
                <w:kern w:val="2"/>
                <w:sz w:val="28"/>
                <w:szCs w:val="28"/>
              </w:rPr>
            </w:sdtEndPr>
            <w:sdtContent>
              <w:r>
                <w:rPr>
                  <w:rFonts w:hint="eastAsia" w:ascii="黑体" w:hAnsi="黑体" w:eastAsia="黑体" w:cs="黑体"/>
                  <w:color w:val="auto"/>
                  <w:sz w:val="28"/>
                  <w:szCs w:val="28"/>
                </w:rPr>
                <w:t>七、其他需要说明的问题</w:t>
              </w:r>
            </w:sdtContent>
          </w:sdt>
          <w:r>
            <w:rPr>
              <w:rFonts w:hint="eastAsia" w:ascii="黑体" w:hAnsi="黑体" w:eastAsia="黑体" w:cs="黑体"/>
              <w:color w:val="auto"/>
              <w:sz w:val="28"/>
              <w:szCs w:val="28"/>
            </w:rPr>
            <w:tab/>
          </w:r>
          <w:bookmarkStart w:id="7" w:name="_Toc1432_WPSOffice_Level1Page"/>
          <w:r>
            <w:rPr>
              <w:rFonts w:hint="eastAsia" w:ascii="黑体" w:hAnsi="黑体" w:eastAsia="黑体" w:cs="黑体"/>
              <w:color w:val="auto"/>
              <w:sz w:val="28"/>
              <w:szCs w:val="28"/>
            </w:rPr>
            <w:t>15</w:t>
          </w:r>
          <w:bookmarkEnd w:id="7"/>
          <w:r>
            <w:rPr>
              <w:rFonts w:hint="eastAsia" w:ascii="黑体" w:hAnsi="黑体" w:eastAsia="黑体" w:cs="黑体"/>
              <w:color w:val="auto"/>
              <w:sz w:val="28"/>
              <w:szCs w:val="28"/>
            </w:rPr>
            <w:fldChar w:fldCharType="end"/>
          </w:r>
        </w:p>
      </w:sdtContent>
    </w:sdt>
    <w:bookmarkEnd w:id="0"/>
    <w:p>
      <w:pPr>
        <w:pageBreakBefore w:val="0"/>
        <w:kinsoku/>
        <w:wordWrap/>
        <w:overflowPunct/>
        <w:topLinePunct w:val="0"/>
        <w:autoSpaceDE/>
        <w:autoSpaceDN/>
        <w:bidi w:val="0"/>
        <w:adjustRightInd/>
        <w:snapToGrid/>
        <w:spacing w:line="560" w:lineRule="exact"/>
        <w:rPr>
          <w:rFonts w:ascii="黑体" w:hAnsi="黑体" w:eastAsia="黑体" w:cs="黑体"/>
          <w:color w:val="auto"/>
          <w:sz w:val="32"/>
          <w:szCs w:val="32"/>
        </w:rPr>
      </w:pPr>
    </w:p>
    <w:p>
      <w:pPr>
        <w:pageBreakBefore w:val="0"/>
        <w:kinsoku/>
        <w:wordWrap/>
        <w:overflowPunct/>
        <w:topLinePunct w:val="0"/>
        <w:autoSpaceDE/>
        <w:autoSpaceDN/>
        <w:bidi w:val="0"/>
        <w:adjustRightInd/>
        <w:snapToGrid/>
        <w:spacing w:line="560" w:lineRule="exact"/>
        <w:rPr>
          <w:rFonts w:ascii="黑体" w:hAnsi="黑体" w:eastAsia="黑体" w:cs="黑体"/>
          <w:color w:val="auto"/>
          <w:sz w:val="32"/>
          <w:szCs w:val="32"/>
        </w:rPr>
      </w:pPr>
    </w:p>
    <w:p>
      <w:pPr>
        <w:pageBreakBefore w:val="0"/>
        <w:kinsoku/>
        <w:wordWrap/>
        <w:overflowPunct/>
        <w:topLinePunct w:val="0"/>
        <w:autoSpaceDE/>
        <w:autoSpaceDN/>
        <w:bidi w:val="0"/>
        <w:adjustRightInd/>
        <w:snapToGrid/>
        <w:spacing w:line="560" w:lineRule="exact"/>
        <w:rPr>
          <w:rFonts w:ascii="黑体" w:hAnsi="黑体" w:eastAsia="黑体" w:cs="黑体"/>
          <w:color w:val="auto"/>
          <w:sz w:val="32"/>
          <w:szCs w:val="32"/>
        </w:rPr>
      </w:pPr>
    </w:p>
    <w:p>
      <w:pPr>
        <w:pageBreakBefore w:val="0"/>
        <w:kinsoku/>
        <w:wordWrap/>
        <w:overflowPunct/>
        <w:topLinePunct w:val="0"/>
        <w:autoSpaceDE/>
        <w:autoSpaceDN/>
        <w:bidi w:val="0"/>
        <w:adjustRightInd/>
        <w:snapToGrid/>
        <w:spacing w:line="560" w:lineRule="exact"/>
        <w:rPr>
          <w:rFonts w:ascii="黑体" w:hAnsi="黑体" w:eastAsia="黑体" w:cs="黑体"/>
          <w:color w:val="auto"/>
          <w:sz w:val="32"/>
          <w:szCs w:val="32"/>
        </w:rPr>
      </w:pPr>
    </w:p>
    <w:p>
      <w:pPr>
        <w:pageBreakBefore w:val="0"/>
        <w:kinsoku/>
        <w:wordWrap/>
        <w:overflowPunct/>
        <w:topLinePunct w:val="0"/>
        <w:autoSpaceDE/>
        <w:autoSpaceDN/>
        <w:bidi w:val="0"/>
        <w:adjustRightInd/>
        <w:snapToGrid/>
        <w:spacing w:line="560" w:lineRule="exact"/>
        <w:rPr>
          <w:rFonts w:ascii="黑体" w:hAnsi="黑体" w:eastAsia="黑体" w:cs="黑体"/>
          <w:color w:val="auto"/>
          <w:sz w:val="32"/>
          <w:szCs w:val="32"/>
        </w:rPr>
      </w:pPr>
    </w:p>
    <w:p>
      <w:pPr>
        <w:pageBreakBefore w:val="0"/>
        <w:kinsoku/>
        <w:wordWrap/>
        <w:overflowPunct/>
        <w:topLinePunct w:val="0"/>
        <w:autoSpaceDE/>
        <w:autoSpaceDN/>
        <w:bidi w:val="0"/>
        <w:adjustRightInd/>
        <w:snapToGrid/>
        <w:spacing w:line="560" w:lineRule="exact"/>
        <w:rPr>
          <w:rFonts w:ascii="黑体" w:hAnsi="黑体" w:eastAsia="黑体" w:cs="黑体"/>
          <w:color w:val="auto"/>
          <w:sz w:val="32"/>
          <w:szCs w:val="32"/>
        </w:rPr>
      </w:pPr>
    </w:p>
    <w:p>
      <w:pPr>
        <w:pageBreakBefore w:val="0"/>
        <w:kinsoku/>
        <w:wordWrap/>
        <w:overflowPunct/>
        <w:topLinePunct w:val="0"/>
        <w:autoSpaceDE/>
        <w:autoSpaceDN/>
        <w:bidi w:val="0"/>
        <w:adjustRightInd/>
        <w:snapToGrid/>
        <w:spacing w:line="560" w:lineRule="exact"/>
        <w:rPr>
          <w:rFonts w:ascii="黑体" w:hAnsi="黑体" w:eastAsia="黑体" w:cs="黑体"/>
          <w:color w:val="auto"/>
          <w:sz w:val="32"/>
          <w:szCs w:val="32"/>
        </w:rPr>
      </w:pPr>
    </w:p>
    <w:p>
      <w:pPr>
        <w:pageBreakBefore w:val="0"/>
        <w:kinsoku/>
        <w:wordWrap/>
        <w:overflowPunct/>
        <w:topLinePunct w:val="0"/>
        <w:autoSpaceDE/>
        <w:autoSpaceDN/>
        <w:bidi w:val="0"/>
        <w:adjustRightInd/>
        <w:snapToGrid/>
        <w:spacing w:line="560" w:lineRule="exact"/>
        <w:rPr>
          <w:rFonts w:ascii="黑体" w:hAnsi="黑体" w:eastAsia="黑体" w:cs="黑体"/>
          <w:color w:val="auto"/>
          <w:sz w:val="32"/>
          <w:szCs w:val="32"/>
        </w:rPr>
      </w:pPr>
    </w:p>
    <w:p>
      <w:pPr>
        <w:pageBreakBefore w:val="0"/>
        <w:kinsoku/>
        <w:wordWrap/>
        <w:overflowPunct/>
        <w:topLinePunct w:val="0"/>
        <w:autoSpaceDE/>
        <w:autoSpaceDN/>
        <w:bidi w:val="0"/>
        <w:adjustRightInd/>
        <w:snapToGrid/>
        <w:spacing w:line="560" w:lineRule="exact"/>
        <w:rPr>
          <w:rFonts w:ascii="黑体" w:hAnsi="黑体" w:eastAsia="黑体" w:cs="黑体"/>
          <w:color w:val="auto"/>
          <w:sz w:val="32"/>
          <w:szCs w:val="32"/>
        </w:rPr>
      </w:pPr>
    </w:p>
    <w:p>
      <w:pPr>
        <w:pageBreakBefore w:val="0"/>
        <w:kinsoku/>
        <w:wordWrap/>
        <w:overflowPunct/>
        <w:topLinePunct w:val="0"/>
        <w:autoSpaceDE/>
        <w:autoSpaceDN/>
        <w:bidi w:val="0"/>
        <w:adjustRightInd/>
        <w:snapToGrid/>
        <w:spacing w:line="560" w:lineRule="exact"/>
        <w:rPr>
          <w:rFonts w:ascii="黑体" w:hAnsi="黑体" w:eastAsia="黑体" w:cs="黑体"/>
          <w:color w:val="auto"/>
          <w:sz w:val="32"/>
          <w:szCs w:val="32"/>
        </w:rPr>
      </w:pPr>
    </w:p>
    <w:p>
      <w:pPr>
        <w:pageBreakBefore w:val="0"/>
        <w:kinsoku/>
        <w:wordWrap/>
        <w:overflowPunct/>
        <w:topLinePunct w:val="0"/>
        <w:autoSpaceDE/>
        <w:autoSpaceDN/>
        <w:bidi w:val="0"/>
        <w:adjustRightInd/>
        <w:snapToGrid/>
        <w:spacing w:line="560" w:lineRule="exact"/>
        <w:rPr>
          <w:rFonts w:ascii="黑体" w:hAnsi="黑体" w:eastAsia="黑体" w:cs="黑体"/>
          <w:color w:val="auto"/>
          <w:sz w:val="32"/>
          <w:szCs w:val="32"/>
        </w:rPr>
      </w:pPr>
    </w:p>
    <w:p>
      <w:pPr>
        <w:pageBreakBefore w:val="0"/>
        <w:kinsoku/>
        <w:wordWrap/>
        <w:overflowPunct/>
        <w:topLinePunct w:val="0"/>
        <w:autoSpaceDE/>
        <w:autoSpaceDN/>
        <w:bidi w:val="0"/>
        <w:adjustRightInd/>
        <w:snapToGrid/>
        <w:spacing w:line="560" w:lineRule="exact"/>
        <w:rPr>
          <w:rFonts w:ascii="黑体" w:hAnsi="黑体" w:eastAsia="黑体" w:cs="黑体"/>
          <w:color w:val="auto"/>
          <w:sz w:val="32"/>
          <w:szCs w:val="32"/>
        </w:rPr>
      </w:pPr>
    </w:p>
    <w:p>
      <w:pPr>
        <w:pageBreakBefore w:val="0"/>
        <w:kinsoku/>
        <w:wordWrap/>
        <w:overflowPunct/>
        <w:topLinePunct w:val="0"/>
        <w:autoSpaceDE/>
        <w:autoSpaceDN/>
        <w:bidi w:val="0"/>
        <w:adjustRightInd/>
        <w:snapToGrid/>
        <w:spacing w:line="560" w:lineRule="exact"/>
        <w:ind w:firstLine="640" w:firstLineChars="200"/>
        <w:rPr>
          <w:rFonts w:ascii="黑体" w:hAnsi="黑体" w:eastAsia="黑体" w:cs="黑体"/>
          <w:color w:val="auto"/>
          <w:sz w:val="32"/>
          <w:szCs w:val="32"/>
        </w:rPr>
      </w:pPr>
      <w:bookmarkStart w:id="8" w:name="_Toc32068_WPSOffice_Level1"/>
      <w:r>
        <w:rPr>
          <w:rFonts w:hint="eastAsia" w:ascii="黑体" w:hAnsi="黑体" w:eastAsia="黑体" w:cs="黑体"/>
          <w:color w:val="auto"/>
          <w:sz w:val="32"/>
          <w:szCs w:val="32"/>
        </w:rPr>
        <w:t>一、基本情况</w:t>
      </w:r>
      <w:bookmarkEnd w:id="8"/>
    </w:p>
    <w:p>
      <w:pPr>
        <w:pageBreakBefore w:val="0"/>
        <w:kinsoku/>
        <w:wordWrap/>
        <w:overflowPunct/>
        <w:topLinePunct w:val="0"/>
        <w:autoSpaceDE/>
        <w:autoSpaceDN/>
        <w:bidi w:val="0"/>
        <w:adjustRightInd/>
        <w:snapToGrid/>
        <w:spacing w:line="560" w:lineRule="exact"/>
        <w:ind w:firstLine="643" w:firstLineChars="200"/>
        <w:rPr>
          <w:rFonts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（一）项目概况</w:t>
      </w:r>
    </w:p>
    <w:p>
      <w:pPr>
        <w:pageBreakBefore w:val="0"/>
        <w:kinsoku/>
        <w:wordWrap/>
        <w:overflowPunct/>
        <w:topLinePunct w:val="0"/>
        <w:autoSpaceDE/>
        <w:autoSpaceDN/>
        <w:bidi w:val="0"/>
        <w:adjustRightInd/>
        <w:snapToGrid/>
        <w:spacing w:line="560" w:lineRule="exact"/>
        <w:ind w:firstLine="643" w:firstLineChars="20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1、项目背景</w:t>
      </w:r>
    </w:p>
    <w:p>
      <w:pPr>
        <w:pStyle w:val="4"/>
        <w:pageBreakBefore w:val="0"/>
        <w:kinsoku/>
        <w:wordWrap/>
        <w:overflowPunct/>
        <w:topLinePunct w:val="0"/>
        <w:autoSpaceDE/>
        <w:autoSpaceDN/>
        <w:bidi w:val="0"/>
        <w:adjustRightInd/>
        <w:snapToGrid/>
        <w:spacing w:before="0" w:after="0" w:line="560" w:lineRule="exact"/>
        <w:ind w:firstLine="640" w:firstLineChars="200"/>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塔城地区老年活动中心属辽宁对口支援新疆“交钥匙”工程，位于塔城市巴克图路南侧、天元路东侧、地区中心血站西侧，规划用地8.8亩，建设规模7889.92平方米，地下一层、地上六层。该项目2017年5月动工建设，目前已经完成主楼建设。</w:t>
      </w:r>
    </w:p>
    <w:p>
      <w:pPr>
        <w:pageBreakBefore w:val="0"/>
        <w:numPr>
          <w:ilvl w:val="0"/>
          <w:numId w:val="1"/>
        </w:numPr>
        <w:kinsoku/>
        <w:wordWrap/>
        <w:overflowPunct/>
        <w:topLinePunct w:val="0"/>
        <w:autoSpaceDE/>
        <w:autoSpaceDN/>
        <w:bidi w:val="0"/>
        <w:adjustRightInd/>
        <w:snapToGrid/>
        <w:spacing w:line="560" w:lineRule="exact"/>
        <w:ind w:firstLine="643" w:firstLineChars="200"/>
        <w:rPr>
          <w:rFonts w:ascii="仿宋_GB2312" w:hAnsi="仿宋_GB2312" w:eastAsia="仿宋_GB2312" w:cs="仿宋_GB2312"/>
          <w:b/>
          <w:bCs/>
          <w:color w:val="auto"/>
          <w:sz w:val="32"/>
          <w:szCs w:val="32"/>
        </w:rPr>
      </w:pPr>
      <w:r>
        <w:rPr>
          <w:rFonts w:ascii="仿宋_GB2312" w:hAnsi="仿宋_GB2312" w:eastAsia="仿宋_GB2312" w:cs="仿宋_GB2312"/>
          <w:b/>
          <w:bCs/>
          <w:color w:val="auto"/>
          <w:sz w:val="32"/>
          <w:szCs w:val="32"/>
        </w:rPr>
        <w:t>项目主要内容及实施情况</w:t>
      </w:r>
    </w:p>
    <w:p>
      <w:pPr>
        <w:pageBreakBefore w:val="0"/>
        <w:kinsoku/>
        <w:wordWrap/>
        <w:overflowPunct/>
        <w:topLinePunct w:val="0"/>
        <w:autoSpaceDE/>
        <w:autoSpaceDN/>
        <w:bidi w:val="0"/>
        <w:adjustRightInd/>
        <w:snapToGrid/>
        <w:spacing w:line="560" w:lineRule="exact"/>
        <w:ind w:firstLine="64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项目主要内容：</w:t>
      </w:r>
      <w:r>
        <w:rPr>
          <w:rFonts w:hint="eastAsia" w:ascii="仿宋_GB2312" w:hAnsi="仿宋_GB2312" w:eastAsia="仿宋_GB2312" w:cs="仿宋_GB2312"/>
          <w:color w:val="auto"/>
          <w:sz w:val="32"/>
          <w:szCs w:val="32"/>
        </w:rPr>
        <w:t>项目经费来源地区本级拨付资金,使用权隶属单位，老年活动中心附属设施支出范围内申请使用。</w:t>
      </w:r>
    </w:p>
    <w:p>
      <w:pPr>
        <w:pageBreakBefore w:val="0"/>
        <w:kinsoku/>
        <w:wordWrap/>
        <w:overflowPunct/>
        <w:topLinePunct w:val="0"/>
        <w:autoSpaceDE/>
        <w:autoSpaceDN/>
        <w:bidi w:val="0"/>
        <w:adjustRightInd/>
        <w:snapToGrid/>
        <w:spacing w:line="560" w:lineRule="exact"/>
        <w:ind w:firstLine="64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项目实施情况：项目目前已经完成实际设立的目标，项目在实施过程中严格按照目标设立的各阶段任务进行开展工作，在前期立项过程中严格把质量关，建立安全防护机制，保证项目实施各段安全顺利进行。</w:t>
      </w:r>
    </w:p>
    <w:p>
      <w:pPr>
        <w:pageBreakBefore w:val="0"/>
        <w:kinsoku/>
        <w:wordWrap/>
        <w:overflowPunct/>
        <w:topLinePunct w:val="0"/>
        <w:autoSpaceDE/>
        <w:autoSpaceDN/>
        <w:bidi w:val="0"/>
        <w:adjustRightInd/>
        <w:snapToGrid/>
        <w:spacing w:line="560" w:lineRule="exact"/>
        <w:ind w:firstLine="640"/>
        <w:rPr>
          <w:color w:val="auto"/>
        </w:rPr>
      </w:pPr>
      <w:r>
        <w:rPr>
          <w:rFonts w:ascii="仿宋_GB2312" w:hAnsi="仿宋_GB2312" w:eastAsia="仿宋_GB2312" w:cs="仿宋_GB2312"/>
          <w:color w:val="auto"/>
          <w:sz w:val="32"/>
          <w:szCs w:val="32"/>
        </w:rPr>
        <w:t>本项目总投资</w:t>
      </w:r>
      <w:r>
        <w:rPr>
          <w:rFonts w:hint="eastAsia" w:ascii="仿宋_GB2312" w:hAnsi="仿宋_GB2312" w:eastAsia="仿宋_GB2312" w:cs="仿宋_GB2312"/>
          <w:color w:val="auto"/>
          <w:sz w:val="32"/>
          <w:szCs w:val="32"/>
        </w:rPr>
        <w:t>443.39</w:t>
      </w:r>
      <w:r>
        <w:rPr>
          <w:rFonts w:ascii="仿宋_GB2312" w:hAnsi="仿宋_GB2312" w:eastAsia="仿宋_GB2312" w:cs="仿宋_GB2312"/>
          <w:color w:val="auto"/>
          <w:sz w:val="32"/>
          <w:szCs w:val="32"/>
        </w:rPr>
        <w:t>万元，其中：财政本级资金</w:t>
      </w:r>
      <w:r>
        <w:rPr>
          <w:rFonts w:hint="eastAsia" w:ascii="仿宋_GB2312" w:hAnsi="仿宋_GB2312" w:eastAsia="仿宋_GB2312" w:cs="仿宋_GB2312"/>
          <w:color w:val="auto"/>
          <w:sz w:val="32"/>
          <w:szCs w:val="32"/>
        </w:rPr>
        <w:t>443.39</w:t>
      </w:r>
      <w:r>
        <w:rPr>
          <w:rFonts w:ascii="仿宋_GB2312" w:hAnsi="仿宋_GB2312" w:eastAsia="仿宋_GB2312" w:cs="仿宋_GB2312"/>
          <w:color w:val="auto"/>
          <w:sz w:val="32"/>
          <w:szCs w:val="32"/>
        </w:rPr>
        <w:t>万元。项目实际支出</w:t>
      </w:r>
      <w:r>
        <w:rPr>
          <w:rFonts w:hint="eastAsia" w:ascii="仿宋_GB2312" w:hAnsi="仿宋_GB2312" w:eastAsia="仿宋_GB2312" w:cs="仿宋_GB2312"/>
          <w:color w:val="auto"/>
          <w:sz w:val="32"/>
          <w:szCs w:val="32"/>
        </w:rPr>
        <w:t>70.53</w:t>
      </w:r>
      <w:r>
        <w:rPr>
          <w:rFonts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支出率为</w:t>
      </w:r>
      <w:r>
        <w:rPr>
          <w:rFonts w:hint="eastAsia" w:ascii="仿宋_GB2312" w:hAnsi="仿宋_GB2312" w:eastAsia="仿宋_GB2312" w:cs="仿宋_GB2312"/>
          <w:color w:val="auto"/>
          <w:sz w:val="32"/>
          <w:szCs w:val="32"/>
        </w:rPr>
        <w:t>16</w:t>
      </w:r>
      <w:r>
        <w:rPr>
          <w:rFonts w:ascii="仿宋_GB2312" w:hAnsi="仿宋_GB2312" w:eastAsia="仿宋_GB2312" w:cs="仿宋_GB2312"/>
          <w:color w:val="auto"/>
          <w:sz w:val="32"/>
          <w:szCs w:val="32"/>
        </w:rPr>
        <w:t>%。</w:t>
      </w:r>
    </w:p>
    <w:p>
      <w:pPr>
        <w:pageBreakBefore w:val="0"/>
        <w:numPr>
          <w:ilvl w:val="0"/>
          <w:numId w:val="1"/>
        </w:numPr>
        <w:kinsoku/>
        <w:wordWrap/>
        <w:overflowPunct/>
        <w:topLinePunct w:val="0"/>
        <w:autoSpaceDE/>
        <w:autoSpaceDN/>
        <w:bidi w:val="0"/>
        <w:adjustRightInd/>
        <w:snapToGrid/>
        <w:spacing w:line="560" w:lineRule="exact"/>
        <w:ind w:firstLine="643" w:firstLineChars="200"/>
        <w:rPr>
          <w:rFonts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rPr>
        <w:t>资金投入和使用情况</w:t>
      </w:r>
    </w:p>
    <w:p>
      <w:pPr>
        <w:pageBreakBefore w:val="0"/>
        <w:numPr>
          <w:ilvl w:val="0"/>
          <w:numId w:val="2"/>
        </w:numPr>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资金安排</w:t>
      </w:r>
    </w:p>
    <w:p>
      <w:pPr>
        <w:pageBreakBefore w:val="0"/>
        <w:kinsoku/>
        <w:wordWrap/>
        <w:overflowPunct/>
        <w:topLinePunct w:val="0"/>
        <w:autoSpaceDE/>
        <w:autoSpaceDN/>
        <w:bidi w:val="0"/>
        <w:adjustRightInd/>
        <w:snapToGrid/>
        <w:spacing w:line="560" w:lineRule="exact"/>
        <w:ind w:firstLine="579" w:firstLineChars="181"/>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总投资443.39万元，按照《地区卫健委项目资金管理办法》及单位财务制度等相关规定，资金支出符合地区卫健委老年活动中心专项资金费用范围，做到了专款专用。在项目资金拨付和使用过程中，为确保项目资金的安全性，提高项目资金使用效率，严格遵循地区卫健委老年活动中心专项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（2）预算资金来源及使用情况</w:t>
      </w:r>
      <w:bookmarkStart w:id="9" w:name="page10"/>
      <w:bookmarkEnd w:id="9"/>
    </w:p>
    <w:p>
      <w:pPr>
        <w:pStyle w:val="2"/>
        <w:pageBreakBefore w:val="0"/>
        <w:kinsoku/>
        <w:wordWrap/>
        <w:overflowPunct/>
        <w:topLinePunct w:val="0"/>
        <w:autoSpaceDE/>
        <w:autoSpaceDN/>
        <w:bidi w:val="0"/>
        <w:adjustRightInd/>
        <w:snapToGrid/>
        <w:spacing w:before="0" w:after="0" w:line="560" w:lineRule="exact"/>
        <w:ind w:firstLine="640" w:firstLineChars="200"/>
        <w:jc w:val="both"/>
        <w:rPr>
          <w:rFonts w:ascii="仿宋_GB2312" w:hAnsi="仿宋_GB2312" w:eastAsia="仿宋_GB2312" w:cs="仿宋_GB2312"/>
          <w:b w:val="0"/>
          <w:bCs w:val="0"/>
          <w:color w:val="auto"/>
          <w:kern w:val="2"/>
        </w:rPr>
      </w:pPr>
      <w:r>
        <w:rPr>
          <w:rFonts w:hint="eastAsia" w:ascii="仿宋_GB2312" w:hAnsi="仿宋_GB2312" w:eastAsia="仿宋_GB2312" w:cs="仿宋_GB2312"/>
          <w:b w:val="0"/>
          <w:bCs w:val="0"/>
          <w:color w:val="auto"/>
          <w:kern w:val="2"/>
        </w:rPr>
        <w:t>项目预算资金来源于</w:t>
      </w:r>
      <w:r>
        <w:rPr>
          <w:rFonts w:hint="eastAsia" w:ascii="仿宋_GB2312" w:hAnsi="仿宋_GB2312" w:eastAsia="仿宋_GB2312" w:cs="仿宋_GB2312"/>
          <w:b w:val="0"/>
          <w:bCs w:val="0"/>
          <w:color w:val="auto"/>
          <w:kern w:val="2"/>
          <w:lang w:eastAsia="zh-CN"/>
        </w:rPr>
        <w:t>相关</w:t>
      </w:r>
      <w:r>
        <w:rPr>
          <w:rFonts w:hint="eastAsia" w:ascii="仿宋_GB2312" w:hAnsi="仿宋_GB2312" w:eastAsia="仿宋_GB2312" w:cs="仿宋_GB2312"/>
          <w:b w:val="0"/>
          <w:bCs w:val="0"/>
          <w:color w:val="auto"/>
          <w:kern w:val="2"/>
        </w:rPr>
        <w:t>文件中批复的资金，项目资金到位443.39万元，用于支付项目实施进程中的各项费用。</w:t>
      </w:r>
    </w:p>
    <w:p>
      <w:pPr>
        <w:pageBreakBefore w:val="0"/>
        <w:kinsoku/>
        <w:wordWrap/>
        <w:overflowPunct/>
        <w:topLinePunct w:val="0"/>
        <w:autoSpaceDE/>
        <w:autoSpaceDN/>
        <w:bidi w:val="0"/>
        <w:adjustRightInd/>
        <w:snapToGrid/>
        <w:spacing w:line="560" w:lineRule="exact"/>
        <w:ind w:firstLine="643" w:firstLineChars="200"/>
        <w:rPr>
          <w:rFonts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（二）项目绩效目标</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1、总体目标</w:t>
      </w:r>
    </w:p>
    <w:p>
      <w:pPr>
        <w:pageBreakBefore w:val="0"/>
        <w:kinsoku/>
        <w:wordWrap/>
        <w:overflowPunct/>
        <w:topLinePunct w:val="0"/>
        <w:autoSpaceDE/>
        <w:autoSpaceDN/>
        <w:bidi w:val="0"/>
        <w:adjustRightInd/>
        <w:snapToGrid/>
        <w:spacing w:line="560" w:lineRule="exact"/>
        <w:ind w:firstLine="640" w:firstLineChars="200"/>
        <w:contextualSpacing/>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项目资金按我单位开展工作有序地进行支付需求，项目支出保障了老年活动中心2020年正常开展业务工作运转。</w:t>
      </w:r>
    </w:p>
    <w:p>
      <w:pPr>
        <w:pageBreakBefore w:val="0"/>
        <w:kinsoku/>
        <w:wordWrap/>
        <w:overflowPunct/>
        <w:topLinePunct w:val="0"/>
        <w:autoSpaceDE/>
        <w:autoSpaceDN/>
        <w:bidi w:val="0"/>
        <w:adjustRightInd/>
        <w:snapToGrid/>
        <w:spacing w:line="560" w:lineRule="exact"/>
        <w:ind w:firstLine="643" w:firstLineChars="200"/>
        <w:contextualSpacing/>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2、阶段性目标</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z w:val="32"/>
          <w:szCs w:val="32"/>
        </w:rPr>
      </w:pPr>
      <w:bookmarkStart w:id="10" w:name="_Toc8059_WPSOffice_Level1"/>
      <w:r>
        <w:rPr>
          <w:rFonts w:hint="eastAsia" w:ascii="仿宋_GB2312" w:hAnsi="仿宋_GB2312" w:eastAsia="仿宋_GB2312" w:cs="仿宋_GB2312"/>
          <w:color w:val="auto"/>
          <w:sz w:val="32"/>
          <w:szCs w:val="32"/>
        </w:rPr>
        <w:t>（1）前期准备：根据《地区卫健委项目资金绩效管理方案》，通过制定项目实施方案，经项目负责人审核通过后，有序开展后续工程。</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（2）组织实施：资金一到位，立即根据项目要求实施项目。项目责任人按照《地区卫健委项目资金绩效管理方案》要求逐一进行项目部署安排，提高项目质量及效率性。</w:t>
      </w:r>
    </w:p>
    <w:p>
      <w:pPr>
        <w:pageBreakBefore w:val="0"/>
        <w:kinsoku/>
        <w:wordWrap/>
        <w:overflowPunct/>
        <w:topLinePunct w:val="0"/>
        <w:autoSpaceDE/>
        <w:autoSpaceDN/>
        <w:bidi w:val="0"/>
        <w:adjustRightInd/>
        <w:snapToGrid/>
        <w:spacing w:line="56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二、绩效评价工作开展情况</w:t>
      </w:r>
      <w:bookmarkEnd w:id="10"/>
    </w:p>
    <w:p>
      <w:pPr>
        <w:pageBreakBefore w:val="0"/>
        <w:kinsoku/>
        <w:wordWrap/>
        <w:overflowPunct/>
        <w:topLinePunct w:val="0"/>
        <w:autoSpaceDE/>
        <w:autoSpaceDN/>
        <w:bidi w:val="0"/>
        <w:adjustRightInd/>
        <w:snapToGrid/>
        <w:spacing w:line="560" w:lineRule="exact"/>
        <w:ind w:firstLine="643" w:firstLineChars="200"/>
        <w:rPr>
          <w:rFonts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（一）绩效评价目的、对象和范围</w:t>
      </w:r>
    </w:p>
    <w:p>
      <w:pPr>
        <w:pageBreakBefore w:val="0"/>
        <w:kinsoku/>
        <w:wordWrap/>
        <w:overflowPunct/>
        <w:topLinePunct w:val="0"/>
        <w:autoSpaceDE/>
        <w:autoSpaceDN/>
        <w:bidi w:val="0"/>
        <w:adjustRightInd/>
        <w:snapToGrid/>
        <w:spacing w:line="560" w:lineRule="exact"/>
        <w:ind w:firstLine="643" w:firstLineChars="200"/>
        <w:contextualSpacing/>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1、绩效评价的目的</w:t>
      </w:r>
    </w:p>
    <w:p>
      <w:pPr>
        <w:pageBreakBefore w:val="0"/>
        <w:kinsoku/>
        <w:wordWrap/>
        <w:overflowPunct/>
        <w:topLinePunct w:val="0"/>
        <w:autoSpaceDE/>
        <w:autoSpaceDN/>
        <w:bidi w:val="0"/>
        <w:adjustRightInd/>
        <w:snapToGrid/>
        <w:spacing w:line="560" w:lineRule="exact"/>
        <w:ind w:firstLine="640" w:firstLineChars="200"/>
        <w:contextualSpacing/>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绩效评价旨在通过评价改善预算部门的财政支出管理，优化资源配置及提高公共服务水平。运用科学、规范的绩效评价方法，按照财政部《关于印发&lt;项目支出绩效评价管理办法&gt;的通知》，《关于印发&lt;塔城地区全面实施财政支出绩效管理的工作方案&gt;的通知》等文件精神，对我委2020年度“老年活动中心”项目进行绩效评价，参照《自治区预算绩效管理文件制度汇编》等相关政策文件与规定，从财政专项资金补贴的角度探寻我委2020年度“老年活动中心”项目的效率和效益，提出有针对性的建议，提高对“老年活动中心”项目的有效利用度，进一步提升“老年活动中心”工作的水平。</w:t>
      </w:r>
    </w:p>
    <w:p>
      <w:pPr>
        <w:pageBreakBefore w:val="0"/>
        <w:kinsoku/>
        <w:wordWrap/>
        <w:overflowPunct/>
        <w:topLinePunct w:val="0"/>
        <w:autoSpaceDE/>
        <w:autoSpaceDN/>
        <w:bidi w:val="0"/>
        <w:adjustRightInd/>
        <w:snapToGrid/>
        <w:spacing w:line="560" w:lineRule="exact"/>
        <w:ind w:firstLine="640" w:firstLineChars="200"/>
        <w:contextualSpacing/>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次评价从项目决策（包括绩效目标、决策过程）、项目管理（包括项目资金、项目实施）、项目产出（包括项目产出数量、产出质量、产出时效和产出成本）项目效益四个维度进行评价，评价对象为“老年活动中心”项目，评价核心为专项资金的支出完成情况和效果。</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2、绩效评价的对象</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塔城地区卫健委老年活动中心项目</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3、绩效评价的范围</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从塔城地区卫健委老年活动中心项目的决策、过程、产出、效益等方面进行评价。</w:t>
      </w:r>
    </w:p>
    <w:p>
      <w:pPr>
        <w:pageBreakBefore w:val="0"/>
        <w:kinsoku/>
        <w:wordWrap/>
        <w:overflowPunct/>
        <w:topLinePunct w:val="0"/>
        <w:autoSpaceDE/>
        <w:autoSpaceDN/>
        <w:bidi w:val="0"/>
        <w:adjustRightInd/>
        <w:snapToGrid/>
        <w:spacing w:line="560" w:lineRule="exact"/>
        <w:ind w:firstLine="643" w:firstLineChars="200"/>
        <w:rPr>
          <w:rFonts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（二）绩效评价原则、评价指标体系（详情见表1）、评价方法、评价标准。</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1、绩效评价原则</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本次项目绩效评价遵循以下基本原则：</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（1）科学公正。绩效评价应当运用科学合理的方法，按照规范的程序，对项目绩效进行客观、公正的反映。</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（2）统筹兼顾。单位自评、部门评价和财政评价应职责明确，各有侧重，相互衔接。单位自评应由项目单位自主实施，即“谁支出、谁自评”。部门评价和财政评价应在单位自评的基础上开展。</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2、评价指标体系</w:t>
      </w:r>
    </w:p>
    <w:p>
      <w:pPr>
        <w:pageBreakBefore w:val="0"/>
        <w:kinsoku/>
        <w:wordWrap/>
        <w:overflowPunct/>
        <w:topLinePunct w:val="0"/>
        <w:autoSpaceDE/>
        <w:autoSpaceDN/>
        <w:bidi w:val="0"/>
        <w:adjustRightInd/>
        <w:snapToGrid/>
        <w:spacing w:line="560" w:lineRule="exact"/>
        <w:ind w:firstLine="641"/>
        <w:rPr>
          <w:rFonts w:ascii="宋体" w:hAnsi="宋体" w:cs="宋体"/>
          <w:color w:val="auto"/>
          <w:spacing w:val="17"/>
          <w:sz w:val="32"/>
          <w:szCs w:val="32"/>
        </w:rPr>
      </w:pPr>
      <w:r>
        <w:rPr>
          <w:rFonts w:hint="eastAsia" w:ascii="仿宋_GB2312" w:hAnsi="仿宋_GB2312" w:eastAsia="仿宋_GB2312" w:cs="仿宋_GB2312"/>
          <w:color w:val="auto"/>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（1）确定评价指标</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（2）确定权重</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确定各个指标相对于项目总体绩效的权重分值。在绩效评价指标体系中，项目决策权重为5，项目过程权重占35，项目产出权重值占40，项目效益权重值占20。</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（3）确定指标标准值</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指标标准值是绩效评价指标的尺度，既要反映同类项目的先进水平，又要符合项目的实际绩效水平。具体采用计划标准等确定此次绩效评价指标标准值。</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具体评价指标体系详情见附件1</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color w:val="auto"/>
          <w:spacing w:val="17"/>
          <w:sz w:val="32"/>
          <w:szCs w:val="32"/>
        </w:rPr>
      </w:pPr>
      <w:r>
        <w:rPr>
          <w:rFonts w:hint="eastAsia" w:ascii="仿宋_GB2312" w:hAnsi="仿宋_GB2312" w:eastAsia="仿宋_GB2312" w:cs="仿宋_GB2312"/>
          <w:b/>
          <w:bCs/>
          <w:color w:val="auto"/>
          <w:spacing w:val="17"/>
          <w:sz w:val="32"/>
          <w:szCs w:val="32"/>
        </w:rPr>
        <w:t>3、绩效评价方法</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（1）比较法</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通过对绩效目标与实施效果、历史与当期情况，综合分析绩效目标实现程度。对</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（2）因素分析法</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通过综合分析影响绩效目标实现、实施效果的内外因素，评价绩效目标实现程度。通过对</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pacing w:val="17"/>
          <w:sz w:val="32"/>
          <w:szCs w:val="32"/>
        </w:rPr>
        <w:t>的开展情况、项目产出数量、成本控制、资金拨付文件及自评报告等相关资料的收集和审核，综合分析各因素对绩效目标实现的影响。</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4、绩效评价标准</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绩效评价标准通常包括计划标准、行业标准、历史标准等，用于对绩效指标完成情况进行比较。本次评价主要采用了计划标准。</w:t>
      </w:r>
    </w:p>
    <w:p>
      <w:pPr>
        <w:pageBreakBefore w:val="0"/>
        <w:kinsoku/>
        <w:wordWrap/>
        <w:overflowPunct/>
        <w:topLinePunct w:val="0"/>
        <w:autoSpaceDE/>
        <w:autoSpaceDN/>
        <w:bidi w:val="0"/>
        <w:adjustRightInd/>
        <w:snapToGrid/>
        <w:spacing w:line="560" w:lineRule="exact"/>
        <w:ind w:firstLine="643" w:firstLineChars="200"/>
        <w:rPr>
          <w:rFonts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（三）绩效评价工作过程</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pacing w:val="17"/>
          <w:sz w:val="32"/>
          <w:szCs w:val="32"/>
        </w:rPr>
      </w:pPr>
      <w:r>
        <w:rPr>
          <w:rFonts w:ascii="仿宋_GB2312" w:hAnsi="仿宋_GB2312" w:eastAsia="仿宋_GB2312" w:cs="仿宋_GB2312"/>
          <w:color w:val="auto"/>
          <w:spacing w:val="17"/>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pacing w:val="17"/>
          <w:sz w:val="32"/>
          <w:szCs w:val="32"/>
        </w:rPr>
      </w:pPr>
      <w:r>
        <w:rPr>
          <w:rFonts w:ascii="仿宋_GB2312" w:hAnsi="仿宋_GB2312" w:eastAsia="仿宋_GB2312" w:cs="仿宋_GB2312"/>
          <w:color w:val="auto"/>
          <w:spacing w:val="17"/>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pacing w:val="17"/>
          <w:sz w:val="32"/>
          <w:szCs w:val="32"/>
        </w:rPr>
      </w:pPr>
      <w:r>
        <w:rPr>
          <w:rFonts w:ascii="仿宋_GB2312" w:hAnsi="仿宋_GB2312" w:eastAsia="仿宋_GB2312" w:cs="仿宋_GB2312"/>
          <w:color w:val="auto"/>
          <w:spacing w:val="17"/>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bookmarkStart w:id="11" w:name="_Toc18439_WPSOffice_Level1"/>
      <w:r>
        <w:rPr>
          <w:rFonts w:hint="eastAsia" w:ascii="黑体" w:hAnsi="黑体" w:eastAsia="黑体" w:cs="黑体"/>
          <w:color w:val="auto"/>
          <w:sz w:val="32"/>
          <w:szCs w:val="32"/>
        </w:rPr>
        <w:t>三、综合评价情况及评价结论（附相关评分表）</w:t>
      </w:r>
      <w:bookmarkEnd w:id="11"/>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auto"/>
          <w:spacing w:val="17"/>
          <w:sz w:val="32"/>
          <w:szCs w:val="32"/>
        </w:rPr>
      </w:pPr>
      <w:bookmarkStart w:id="12" w:name="_Toc29844_WPSOffice_Level1"/>
      <w:r>
        <w:rPr>
          <w:rFonts w:hint="eastAsia" w:ascii="仿宋_GB2312" w:hAnsi="仿宋_GB2312" w:eastAsia="仿宋_GB2312" w:cs="仿宋_GB2312"/>
          <w:color w:val="auto"/>
          <w:spacing w:val="17"/>
          <w:sz w:val="32"/>
          <w:szCs w:val="32"/>
        </w:rPr>
        <w:t>对塔城地区卫健委项目进行客观评价，最终评分结果：总得分为 9</w:t>
      </w:r>
      <w:r>
        <w:rPr>
          <w:rFonts w:hint="eastAsia" w:ascii="仿宋_GB2312" w:hAnsi="仿宋_GB2312" w:eastAsia="仿宋_GB2312" w:cs="仿宋_GB2312"/>
          <w:color w:val="auto"/>
          <w:spacing w:val="17"/>
          <w:sz w:val="32"/>
          <w:szCs w:val="32"/>
          <w:lang w:val="en-US" w:eastAsia="zh-CN"/>
        </w:rPr>
        <w:t>4.12</w:t>
      </w:r>
      <w:r>
        <w:rPr>
          <w:rFonts w:hint="eastAsia" w:ascii="仿宋_GB2312" w:hAnsi="仿宋_GB2312" w:eastAsia="仿宋_GB2312" w:cs="仿宋_GB2312"/>
          <w:color w:val="auto"/>
          <w:spacing w:val="17"/>
          <w:sz w:val="32"/>
          <w:szCs w:val="32"/>
        </w:rPr>
        <w:t>分，属于“优”。其中，项目决策类指标权重为5分，得分</w:t>
      </w:r>
      <w:r>
        <w:rPr>
          <w:rFonts w:hint="eastAsia" w:ascii="仿宋_GB2312" w:hAnsi="仿宋_GB2312" w:eastAsia="仿宋_GB2312" w:cs="仿宋_GB2312"/>
          <w:color w:val="auto"/>
          <w:spacing w:val="17"/>
          <w:sz w:val="32"/>
          <w:szCs w:val="32"/>
          <w:lang w:val="en-US" w:eastAsia="zh-CN"/>
        </w:rPr>
        <w:t>5</w:t>
      </w:r>
      <w:r>
        <w:rPr>
          <w:rFonts w:hint="eastAsia" w:ascii="仿宋_GB2312" w:hAnsi="仿宋_GB2312" w:eastAsia="仿宋_GB2312" w:cs="仿宋_GB2312"/>
          <w:color w:val="auto"/>
          <w:spacing w:val="17"/>
          <w:sz w:val="32"/>
          <w:szCs w:val="32"/>
        </w:rPr>
        <w:t>分，得分率为</w:t>
      </w:r>
      <w:r>
        <w:rPr>
          <w:rFonts w:hint="eastAsia" w:ascii="仿宋_GB2312" w:hAnsi="仿宋_GB2312" w:eastAsia="仿宋_GB2312" w:cs="仿宋_GB2312"/>
          <w:color w:val="auto"/>
          <w:spacing w:val="17"/>
          <w:sz w:val="32"/>
          <w:szCs w:val="32"/>
          <w:lang w:val="en-US" w:eastAsia="zh-CN"/>
        </w:rPr>
        <w:t>100</w:t>
      </w:r>
      <w:r>
        <w:rPr>
          <w:rFonts w:hint="eastAsia" w:ascii="仿宋_GB2312" w:hAnsi="仿宋_GB2312" w:eastAsia="仿宋_GB2312" w:cs="仿宋_GB2312"/>
          <w:color w:val="auto"/>
          <w:spacing w:val="17"/>
          <w:sz w:val="32"/>
          <w:szCs w:val="32"/>
        </w:rPr>
        <w:t>%。项目过程类指标权重为35分，得分29.12 分，得分</w:t>
      </w:r>
      <w:r>
        <w:rPr>
          <w:rFonts w:hint="eastAsia" w:ascii="仿宋_GB2312" w:hAnsi="仿宋_GB2312" w:eastAsia="仿宋_GB2312" w:cs="仿宋_GB2312"/>
          <w:color w:val="auto"/>
          <w:spacing w:val="17"/>
          <w:sz w:val="32"/>
          <w:szCs w:val="32"/>
          <w:lang w:val="en-US" w:eastAsia="zh-CN"/>
        </w:rPr>
        <w:t>率</w:t>
      </w:r>
      <w:r>
        <w:rPr>
          <w:rFonts w:hint="eastAsia" w:ascii="仿宋_GB2312" w:hAnsi="仿宋_GB2312" w:eastAsia="仿宋_GB2312" w:cs="仿宋_GB2312"/>
          <w:color w:val="auto"/>
          <w:spacing w:val="17"/>
          <w:sz w:val="32"/>
          <w:szCs w:val="32"/>
        </w:rPr>
        <w:t>83.2%。项目产出类指标权重为40分，得分40分，得分率100%。项目效益类指标权重为20分，得分为</w:t>
      </w:r>
      <w:r>
        <w:rPr>
          <w:rFonts w:hint="eastAsia" w:ascii="仿宋_GB2312" w:hAnsi="仿宋_GB2312" w:eastAsia="仿宋_GB2312" w:cs="仿宋_GB2312"/>
          <w:color w:val="auto"/>
          <w:spacing w:val="17"/>
          <w:sz w:val="32"/>
          <w:szCs w:val="32"/>
          <w:lang w:val="en-US" w:eastAsia="zh-CN"/>
        </w:rPr>
        <w:t>20</w:t>
      </w:r>
      <w:r>
        <w:rPr>
          <w:rFonts w:hint="eastAsia" w:ascii="仿宋_GB2312" w:hAnsi="仿宋_GB2312" w:eastAsia="仿宋_GB2312" w:cs="仿宋_GB2312"/>
          <w:color w:val="auto"/>
          <w:spacing w:val="17"/>
          <w:sz w:val="32"/>
          <w:szCs w:val="32"/>
        </w:rPr>
        <w:t>分，得分率为</w:t>
      </w:r>
      <w:r>
        <w:rPr>
          <w:rFonts w:hint="eastAsia" w:ascii="仿宋_GB2312" w:hAnsi="仿宋_GB2312" w:eastAsia="仿宋_GB2312" w:cs="仿宋_GB2312"/>
          <w:color w:val="auto"/>
          <w:spacing w:val="17"/>
          <w:sz w:val="32"/>
          <w:szCs w:val="32"/>
          <w:lang w:val="en-US" w:eastAsia="zh-CN"/>
        </w:rPr>
        <w:t>100</w:t>
      </w:r>
      <w:r>
        <w:rPr>
          <w:rFonts w:hint="eastAsia" w:ascii="仿宋_GB2312" w:hAnsi="仿宋_GB2312" w:eastAsia="仿宋_GB2312" w:cs="仿宋_GB2312"/>
          <w:color w:val="auto"/>
          <w:spacing w:val="17"/>
          <w:sz w:val="32"/>
          <w:szCs w:val="32"/>
        </w:rPr>
        <w:t>%。</w:t>
      </w:r>
    </w:p>
    <w:p>
      <w:pPr>
        <w:pStyle w:val="2"/>
        <w:pageBreakBefore w:val="0"/>
        <w:kinsoku/>
        <w:wordWrap/>
        <w:overflowPunct/>
        <w:topLinePunct w:val="0"/>
        <w:autoSpaceDE/>
        <w:autoSpaceDN/>
        <w:bidi w:val="0"/>
        <w:adjustRightInd/>
        <w:snapToGrid/>
        <w:spacing w:before="0" w:after="0" w:line="560" w:lineRule="exact"/>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表1综合评分表</w:t>
      </w:r>
    </w:p>
    <w:p>
      <w:pPr>
        <w:pStyle w:val="2"/>
        <w:rPr>
          <w:color w:val="auto"/>
        </w:rPr>
      </w:pPr>
    </w:p>
    <w:tbl>
      <w:tblPr>
        <w:tblStyle w:val="11"/>
        <w:tblpPr w:leftFromText="180" w:rightFromText="180" w:vertAnchor="text" w:horzAnchor="page" w:tblpX="1016" w:tblpY="-67"/>
        <w:tblOverlap w:val="never"/>
        <w:tblW w:w="94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47"/>
        <w:gridCol w:w="939"/>
        <w:gridCol w:w="1217"/>
        <w:gridCol w:w="1618"/>
        <w:gridCol w:w="690"/>
        <w:gridCol w:w="990"/>
        <w:gridCol w:w="876"/>
        <w:gridCol w:w="1153"/>
        <w:gridCol w:w="91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5" w:hRule="atLeast"/>
          <w:tblHeader/>
        </w:trPr>
        <w:tc>
          <w:tcPr>
            <w:tcW w:w="1047" w:type="dxa"/>
            <w:shd w:val="clear" w:color="auto" w:fill="BFBFBF"/>
            <w:vAlign w:val="center"/>
          </w:tcPr>
          <w:p>
            <w:pPr>
              <w:pageBreakBefore w:val="0"/>
              <w:widowControl/>
              <w:kinsoku/>
              <w:wordWrap/>
              <w:overflowPunct/>
              <w:topLinePunct w:val="0"/>
              <w:autoSpaceDE/>
              <w:autoSpaceDN/>
              <w:bidi w:val="0"/>
              <w:adjustRightInd/>
              <w:snapToGrid/>
              <w:spacing w:line="560" w:lineRule="exact"/>
              <w:rPr>
                <w:rFonts w:ascii="宋体" w:hAnsi="宋体" w:cs="宋体"/>
                <w:b/>
                <w:bCs/>
                <w:color w:val="auto"/>
                <w:kern w:val="0"/>
                <w:sz w:val="22"/>
                <w:szCs w:val="22"/>
              </w:rPr>
            </w:pPr>
            <w:r>
              <w:rPr>
                <w:rFonts w:hint="eastAsia" w:ascii="宋体" w:hAnsi="宋体" w:cs="宋体"/>
                <w:b/>
                <w:bCs/>
                <w:color w:val="auto"/>
                <w:kern w:val="0"/>
                <w:sz w:val="22"/>
                <w:szCs w:val="22"/>
              </w:rPr>
              <w:t>一级指标</w:t>
            </w:r>
          </w:p>
        </w:tc>
        <w:tc>
          <w:tcPr>
            <w:tcW w:w="939"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auto"/>
                <w:kern w:val="0"/>
                <w:sz w:val="22"/>
                <w:szCs w:val="22"/>
              </w:rPr>
            </w:pPr>
            <w:r>
              <w:rPr>
                <w:rFonts w:hint="eastAsia" w:ascii="宋体" w:hAnsi="宋体" w:cs="宋体"/>
                <w:b/>
                <w:bCs/>
                <w:color w:val="auto"/>
                <w:kern w:val="0"/>
                <w:sz w:val="22"/>
                <w:szCs w:val="22"/>
              </w:rPr>
              <w:t>分值</w:t>
            </w:r>
          </w:p>
        </w:tc>
        <w:tc>
          <w:tcPr>
            <w:tcW w:w="121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auto"/>
                <w:kern w:val="0"/>
                <w:sz w:val="22"/>
                <w:szCs w:val="22"/>
              </w:rPr>
            </w:pPr>
            <w:r>
              <w:rPr>
                <w:rFonts w:hint="eastAsia" w:ascii="宋体" w:hAnsi="宋体" w:cs="宋体"/>
                <w:b/>
                <w:bCs/>
                <w:color w:val="auto"/>
                <w:kern w:val="0"/>
                <w:sz w:val="22"/>
                <w:szCs w:val="22"/>
              </w:rPr>
              <w:t>二级指标</w:t>
            </w:r>
          </w:p>
        </w:tc>
        <w:tc>
          <w:tcPr>
            <w:tcW w:w="1618"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auto"/>
                <w:kern w:val="0"/>
                <w:sz w:val="22"/>
                <w:szCs w:val="22"/>
              </w:rPr>
            </w:pPr>
            <w:r>
              <w:rPr>
                <w:rFonts w:hint="eastAsia" w:ascii="宋体" w:hAnsi="宋体" w:cs="宋体"/>
                <w:b/>
                <w:bCs/>
                <w:color w:val="auto"/>
                <w:kern w:val="0"/>
                <w:sz w:val="22"/>
                <w:szCs w:val="22"/>
              </w:rPr>
              <w:t>三级指标</w:t>
            </w:r>
          </w:p>
        </w:tc>
        <w:tc>
          <w:tcPr>
            <w:tcW w:w="69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auto"/>
                <w:kern w:val="0"/>
                <w:sz w:val="22"/>
                <w:szCs w:val="22"/>
              </w:rPr>
            </w:pPr>
            <w:r>
              <w:rPr>
                <w:rFonts w:hint="eastAsia" w:ascii="宋体" w:hAnsi="宋体" w:cs="宋体"/>
                <w:b/>
                <w:bCs/>
                <w:color w:val="auto"/>
                <w:kern w:val="0"/>
                <w:sz w:val="22"/>
                <w:szCs w:val="22"/>
              </w:rPr>
              <w:t>权重</w:t>
            </w:r>
          </w:p>
        </w:tc>
        <w:tc>
          <w:tcPr>
            <w:tcW w:w="99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auto"/>
                <w:kern w:val="0"/>
                <w:sz w:val="22"/>
                <w:szCs w:val="22"/>
              </w:rPr>
            </w:pPr>
            <w:r>
              <w:rPr>
                <w:rFonts w:hint="eastAsia" w:ascii="宋体" w:hAnsi="宋体" w:cs="宋体"/>
                <w:b/>
                <w:bCs/>
                <w:color w:val="auto"/>
                <w:kern w:val="0"/>
                <w:sz w:val="22"/>
                <w:szCs w:val="22"/>
              </w:rPr>
              <w:t>目标值</w:t>
            </w:r>
          </w:p>
        </w:tc>
        <w:tc>
          <w:tcPr>
            <w:tcW w:w="876"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auto"/>
                <w:kern w:val="0"/>
                <w:sz w:val="22"/>
                <w:szCs w:val="22"/>
              </w:rPr>
            </w:pPr>
            <w:r>
              <w:rPr>
                <w:rFonts w:hint="eastAsia" w:ascii="宋体" w:hAnsi="宋体" w:cs="宋体"/>
                <w:b/>
                <w:bCs/>
                <w:color w:val="auto"/>
                <w:kern w:val="0"/>
                <w:sz w:val="22"/>
                <w:szCs w:val="22"/>
              </w:rPr>
              <w:t>业绩值</w:t>
            </w:r>
          </w:p>
        </w:tc>
        <w:tc>
          <w:tcPr>
            <w:tcW w:w="1153"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auto"/>
                <w:kern w:val="0"/>
                <w:sz w:val="22"/>
                <w:szCs w:val="22"/>
              </w:rPr>
            </w:pPr>
            <w:r>
              <w:rPr>
                <w:rFonts w:hint="eastAsia" w:ascii="宋体" w:hAnsi="宋体" w:cs="宋体"/>
                <w:b/>
                <w:bCs/>
                <w:color w:val="auto"/>
                <w:kern w:val="0"/>
                <w:sz w:val="22"/>
                <w:szCs w:val="22"/>
              </w:rPr>
              <w:t>得分率</w:t>
            </w:r>
          </w:p>
        </w:tc>
        <w:tc>
          <w:tcPr>
            <w:tcW w:w="91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auto"/>
                <w:kern w:val="0"/>
                <w:sz w:val="22"/>
                <w:szCs w:val="22"/>
              </w:rPr>
            </w:pPr>
            <w:r>
              <w:rPr>
                <w:rFonts w:hint="eastAsia" w:ascii="宋体" w:hAnsi="宋体" w:cs="宋体"/>
                <w:b/>
                <w:bCs/>
                <w:color w:val="auto"/>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决策　</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　</w:t>
            </w:r>
          </w:p>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　</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highlight w:val="yellow"/>
              </w:rPr>
            </w:pPr>
            <w:r>
              <w:rPr>
                <w:rFonts w:hint="eastAsia" w:ascii="宋体" w:hAnsi="宋体" w:cs="宋体"/>
                <w:color w:val="auto"/>
                <w:kern w:val="0"/>
                <w:sz w:val="18"/>
                <w:szCs w:val="18"/>
              </w:rPr>
              <w:t>　</w:t>
            </w:r>
          </w:p>
        </w:tc>
        <w:tc>
          <w:tcPr>
            <w:tcW w:w="9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5分</w:t>
            </w:r>
          </w:p>
        </w:tc>
        <w:tc>
          <w:tcPr>
            <w:tcW w:w="121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项目立项　</w:t>
            </w:r>
          </w:p>
        </w:tc>
        <w:tc>
          <w:tcPr>
            <w:tcW w:w="161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立项依据</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充分性</w:t>
            </w:r>
          </w:p>
        </w:tc>
        <w:tc>
          <w:tcPr>
            <w:tcW w:w="69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0.5</w:t>
            </w:r>
          </w:p>
        </w:tc>
        <w:tc>
          <w:tcPr>
            <w:tcW w:w="99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0.5</w:t>
            </w:r>
          </w:p>
        </w:tc>
        <w:tc>
          <w:tcPr>
            <w:tcW w:w="87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0.5</w:t>
            </w:r>
          </w:p>
        </w:tc>
        <w:tc>
          <w:tcPr>
            <w:tcW w:w="115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91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8"/>
                <w:szCs w:val="18"/>
                <w:highlight w:val="yellow"/>
              </w:rPr>
            </w:pPr>
          </w:p>
        </w:tc>
        <w:tc>
          <w:tcPr>
            <w:tcW w:w="9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121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161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立项程序</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规范性</w:t>
            </w:r>
          </w:p>
        </w:tc>
        <w:tc>
          <w:tcPr>
            <w:tcW w:w="69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0.5</w:t>
            </w:r>
          </w:p>
        </w:tc>
        <w:tc>
          <w:tcPr>
            <w:tcW w:w="99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0.5</w:t>
            </w:r>
          </w:p>
        </w:tc>
        <w:tc>
          <w:tcPr>
            <w:tcW w:w="87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0.5</w:t>
            </w:r>
          </w:p>
        </w:tc>
        <w:tc>
          <w:tcPr>
            <w:tcW w:w="115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91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8"/>
                <w:szCs w:val="18"/>
                <w:highlight w:val="yellow"/>
              </w:rPr>
            </w:pPr>
          </w:p>
        </w:tc>
        <w:tc>
          <w:tcPr>
            <w:tcW w:w="9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121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绩效目标　</w:t>
            </w:r>
          </w:p>
        </w:tc>
        <w:tc>
          <w:tcPr>
            <w:tcW w:w="161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绩效目标</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合理性</w:t>
            </w:r>
          </w:p>
        </w:tc>
        <w:tc>
          <w:tcPr>
            <w:tcW w:w="6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9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87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1</w:t>
            </w:r>
          </w:p>
        </w:tc>
        <w:tc>
          <w:tcPr>
            <w:tcW w:w="115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100</w:t>
            </w:r>
            <w:r>
              <w:rPr>
                <w:rFonts w:hint="eastAsia" w:ascii="宋体" w:hAnsi="宋体" w:cs="宋体"/>
                <w:color w:val="auto"/>
                <w:kern w:val="0"/>
                <w:sz w:val="18"/>
                <w:szCs w:val="18"/>
              </w:rPr>
              <w:t>%</w:t>
            </w:r>
          </w:p>
        </w:tc>
        <w:tc>
          <w:tcPr>
            <w:tcW w:w="91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highlight w:val="yellow"/>
              </w:rPr>
            </w:pPr>
          </w:p>
        </w:tc>
        <w:tc>
          <w:tcPr>
            <w:tcW w:w="9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121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161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绩效指标</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明确性</w:t>
            </w:r>
          </w:p>
        </w:tc>
        <w:tc>
          <w:tcPr>
            <w:tcW w:w="6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9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87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1</w:t>
            </w:r>
          </w:p>
        </w:tc>
        <w:tc>
          <w:tcPr>
            <w:tcW w:w="115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100</w:t>
            </w:r>
            <w:r>
              <w:rPr>
                <w:rFonts w:hint="eastAsia" w:ascii="宋体" w:hAnsi="宋体" w:cs="宋体"/>
                <w:color w:val="auto"/>
                <w:kern w:val="0"/>
                <w:sz w:val="18"/>
                <w:szCs w:val="18"/>
              </w:rPr>
              <w:t>%</w:t>
            </w:r>
          </w:p>
        </w:tc>
        <w:tc>
          <w:tcPr>
            <w:tcW w:w="91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8"/>
                <w:szCs w:val="18"/>
                <w:highlight w:val="yellow"/>
              </w:rPr>
            </w:pPr>
          </w:p>
        </w:tc>
        <w:tc>
          <w:tcPr>
            <w:tcW w:w="9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121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资金投入</w:t>
            </w:r>
          </w:p>
        </w:tc>
        <w:tc>
          <w:tcPr>
            <w:tcW w:w="161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预算编制</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科学性</w:t>
            </w:r>
          </w:p>
        </w:tc>
        <w:tc>
          <w:tcPr>
            <w:tcW w:w="69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99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87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115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91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highlight w:val="yellow"/>
              </w:rPr>
            </w:pPr>
          </w:p>
        </w:tc>
        <w:tc>
          <w:tcPr>
            <w:tcW w:w="9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121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161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资金分配</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合理性</w:t>
            </w:r>
          </w:p>
        </w:tc>
        <w:tc>
          <w:tcPr>
            <w:tcW w:w="69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99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87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0.5</w:t>
            </w:r>
          </w:p>
        </w:tc>
        <w:tc>
          <w:tcPr>
            <w:tcW w:w="115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50%</w:t>
            </w:r>
          </w:p>
        </w:tc>
        <w:tc>
          <w:tcPr>
            <w:tcW w:w="91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1" w:hRule="atLeast"/>
        </w:trPr>
        <w:tc>
          <w:tcPr>
            <w:tcW w:w="1047"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过程</w:t>
            </w:r>
          </w:p>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8"/>
                <w:szCs w:val="18"/>
                <w:highlight w:val="yellow"/>
              </w:rPr>
            </w:pPr>
            <w:r>
              <w:rPr>
                <w:rFonts w:hint="eastAsia" w:ascii="宋体" w:hAnsi="宋体" w:cs="宋体"/>
                <w:color w:val="auto"/>
                <w:kern w:val="0"/>
                <w:sz w:val="18"/>
                <w:szCs w:val="18"/>
              </w:rPr>
              <w:t>　</w:t>
            </w:r>
          </w:p>
        </w:tc>
        <w:tc>
          <w:tcPr>
            <w:tcW w:w="9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35分</w:t>
            </w:r>
          </w:p>
        </w:tc>
        <w:tc>
          <w:tcPr>
            <w:tcW w:w="121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资金管理</w:t>
            </w:r>
          </w:p>
        </w:tc>
        <w:tc>
          <w:tcPr>
            <w:tcW w:w="161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资金到位率</w:t>
            </w:r>
          </w:p>
        </w:tc>
        <w:tc>
          <w:tcPr>
            <w:tcW w:w="6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9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87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15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91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1" w:hRule="atLeast"/>
        </w:trPr>
        <w:tc>
          <w:tcPr>
            <w:tcW w:w="1047"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8"/>
                <w:szCs w:val="18"/>
                <w:highlight w:val="yellow"/>
              </w:rPr>
            </w:pPr>
          </w:p>
        </w:tc>
        <w:tc>
          <w:tcPr>
            <w:tcW w:w="9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1217"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161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预算执行率</w:t>
            </w:r>
          </w:p>
        </w:tc>
        <w:tc>
          <w:tcPr>
            <w:tcW w:w="69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99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87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1.12</w:t>
            </w:r>
          </w:p>
        </w:tc>
        <w:tc>
          <w:tcPr>
            <w:tcW w:w="115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16%</w:t>
            </w:r>
          </w:p>
        </w:tc>
        <w:tc>
          <w:tcPr>
            <w:tcW w:w="91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8"/>
                <w:szCs w:val="18"/>
                <w:highlight w:val="yellow"/>
              </w:rPr>
            </w:pPr>
          </w:p>
        </w:tc>
        <w:tc>
          <w:tcPr>
            <w:tcW w:w="9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121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资金管理</w:t>
            </w:r>
          </w:p>
        </w:tc>
        <w:tc>
          <w:tcPr>
            <w:tcW w:w="161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资金使用</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合规性</w:t>
            </w:r>
          </w:p>
        </w:tc>
        <w:tc>
          <w:tcPr>
            <w:tcW w:w="6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9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87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15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91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8"/>
                <w:szCs w:val="18"/>
                <w:highlight w:val="yellow"/>
              </w:rPr>
            </w:pPr>
          </w:p>
        </w:tc>
        <w:tc>
          <w:tcPr>
            <w:tcW w:w="9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121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组织实施</w:t>
            </w:r>
          </w:p>
        </w:tc>
        <w:tc>
          <w:tcPr>
            <w:tcW w:w="161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管理制度</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健全性</w:t>
            </w:r>
          </w:p>
        </w:tc>
        <w:tc>
          <w:tcPr>
            <w:tcW w:w="6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9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87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15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91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highlight w:val="yellow"/>
              </w:rPr>
            </w:pPr>
          </w:p>
        </w:tc>
        <w:tc>
          <w:tcPr>
            <w:tcW w:w="9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121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161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制度执行</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有效性</w:t>
            </w:r>
          </w:p>
        </w:tc>
        <w:tc>
          <w:tcPr>
            <w:tcW w:w="6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9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87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15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91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1" w:hRule="atLeast"/>
        </w:trPr>
        <w:tc>
          <w:tcPr>
            <w:tcW w:w="104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产出</w:t>
            </w:r>
          </w:p>
        </w:tc>
        <w:tc>
          <w:tcPr>
            <w:tcW w:w="9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40分</w:t>
            </w:r>
          </w:p>
        </w:tc>
        <w:tc>
          <w:tcPr>
            <w:tcW w:w="121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产出数量</w:t>
            </w:r>
          </w:p>
        </w:tc>
        <w:tc>
          <w:tcPr>
            <w:tcW w:w="161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both"/>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实际完成率</w:t>
            </w:r>
          </w:p>
        </w:tc>
        <w:tc>
          <w:tcPr>
            <w:tcW w:w="6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9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87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5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91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9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121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产出质量</w:t>
            </w:r>
          </w:p>
        </w:tc>
        <w:tc>
          <w:tcPr>
            <w:tcW w:w="161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lang w:eastAsia="zh-CN"/>
              </w:rPr>
              <w:t>质量达标率</w:t>
            </w:r>
          </w:p>
        </w:tc>
        <w:tc>
          <w:tcPr>
            <w:tcW w:w="6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9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87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5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91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0" w:hRule="atLeast"/>
        </w:trPr>
        <w:tc>
          <w:tcPr>
            <w:tcW w:w="1047"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9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1217" w:type="dxa"/>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产出时效</w:t>
            </w:r>
          </w:p>
        </w:tc>
        <w:tc>
          <w:tcPr>
            <w:tcW w:w="161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完成及时性</w:t>
            </w:r>
          </w:p>
        </w:tc>
        <w:tc>
          <w:tcPr>
            <w:tcW w:w="6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9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87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5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91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1" w:hRule="atLeast"/>
        </w:trPr>
        <w:tc>
          <w:tcPr>
            <w:tcW w:w="104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9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p>
        </w:tc>
        <w:tc>
          <w:tcPr>
            <w:tcW w:w="121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产出成本</w:t>
            </w:r>
          </w:p>
        </w:tc>
        <w:tc>
          <w:tcPr>
            <w:tcW w:w="161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成本节约率</w:t>
            </w:r>
          </w:p>
        </w:tc>
        <w:tc>
          <w:tcPr>
            <w:tcW w:w="6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99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87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5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91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效益　</w:t>
            </w:r>
          </w:p>
        </w:tc>
        <w:tc>
          <w:tcPr>
            <w:tcW w:w="9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20分</w:t>
            </w:r>
          </w:p>
        </w:tc>
        <w:tc>
          <w:tcPr>
            <w:tcW w:w="121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项目效益</w:t>
            </w:r>
          </w:p>
        </w:tc>
        <w:tc>
          <w:tcPr>
            <w:tcW w:w="161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实施效益（社会效益、生态效益、可持续效益）</w:t>
            </w:r>
          </w:p>
        </w:tc>
        <w:tc>
          <w:tcPr>
            <w:tcW w:w="69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w:t>
            </w:r>
          </w:p>
        </w:tc>
        <w:tc>
          <w:tcPr>
            <w:tcW w:w="99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w:t>
            </w:r>
          </w:p>
        </w:tc>
        <w:tc>
          <w:tcPr>
            <w:tcW w:w="87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w:t>
            </w:r>
          </w:p>
        </w:tc>
        <w:tc>
          <w:tcPr>
            <w:tcW w:w="115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100</w:t>
            </w:r>
            <w:r>
              <w:rPr>
                <w:rFonts w:hint="eastAsia" w:ascii="宋体" w:hAnsi="宋体" w:cs="宋体"/>
                <w:color w:val="auto"/>
                <w:kern w:val="0"/>
                <w:sz w:val="18"/>
                <w:szCs w:val="18"/>
              </w:rPr>
              <w:t>%</w:t>
            </w:r>
          </w:p>
        </w:tc>
        <w:tc>
          <w:tcPr>
            <w:tcW w:w="91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color w:val="auto"/>
                <w:sz w:val="16"/>
                <w:szCs w:val="20"/>
              </w:rPr>
            </w:pPr>
          </w:p>
        </w:tc>
        <w:tc>
          <w:tcPr>
            <w:tcW w:w="9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color w:val="auto"/>
                <w:sz w:val="16"/>
                <w:szCs w:val="20"/>
              </w:rPr>
            </w:pPr>
          </w:p>
        </w:tc>
        <w:tc>
          <w:tcPr>
            <w:tcW w:w="121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color w:val="auto"/>
                <w:sz w:val="16"/>
                <w:szCs w:val="20"/>
                <w:highlight w:val="yellow"/>
              </w:rPr>
            </w:pPr>
          </w:p>
        </w:tc>
        <w:tc>
          <w:tcPr>
            <w:tcW w:w="161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auto"/>
                <w:kern w:val="0"/>
                <w:sz w:val="18"/>
                <w:szCs w:val="18"/>
                <w:highlight w:val="yellow"/>
                <w:lang w:eastAsia="zh-CN"/>
              </w:rPr>
            </w:pPr>
            <w:r>
              <w:rPr>
                <w:rFonts w:hint="eastAsia" w:ascii="宋体" w:hAnsi="宋体" w:cs="宋体"/>
                <w:color w:val="auto"/>
                <w:kern w:val="0"/>
                <w:sz w:val="18"/>
                <w:szCs w:val="18"/>
                <w:lang w:eastAsia="zh-CN"/>
              </w:rPr>
              <w:t>满意度</w:t>
            </w:r>
          </w:p>
        </w:tc>
        <w:tc>
          <w:tcPr>
            <w:tcW w:w="69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99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87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15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91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r>
    </w:tbl>
    <w:p>
      <w:pPr>
        <w:pageBreakBefore w:val="0"/>
        <w:kinsoku/>
        <w:wordWrap/>
        <w:overflowPunct/>
        <w:topLinePunct w:val="0"/>
        <w:autoSpaceDE/>
        <w:autoSpaceDN/>
        <w:bidi w:val="0"/>
        <w:adjustRightInd/>
        <w:snapToGrid/>
        <w:spacing w:line="560" w:lineRule="exact"/>
        <w:rPr>
          <w:rFonts w:ascii="黑体" w:hAnsi="黑体" w:eastAsia="黑体" w:cs="黑体"/>
          <w:color w:val="auto"/>
          <w:sz w:val="32"/>
          <w:szCs w:val="32"/>
        </w:rPr>
      </w:pPr>
      <w:r>
        <w:rPr>
          <w:rFonts w:hint="eastAsia" w:ascii="黑体" w:hAnsi="黑体" w:eastAsia="黑体" w:cs="黑体"/>
          <w:color w:val="auto"/>
          <w:sz w:val="32"/>
          <w:szCs w:val="32"/>
        </w:rPr>
        <w:t>四、绩效评价指标分析</w:t>
      </w:r>
      <w:bookmarkEnd w:id="12"/>
    </w:p>
    <w:p>
      <w:pPr>
        <w:pageBreakBefore w:val="0"/>
        <w:kinsoku/>
        <w:wordWrap/>
        <w:overflowPunct/>
        <w:topLinePunct w:val="0"/>
        <w:autoSpaceDE/>
        <w:autoSpaceDN/>
        <w:bidi w:val="0"/>
        <w:adjustRightInd/>
        <w:snapToGrid/>
        <w:spacing w:line="560" w:lineRule="exact"/>
        <w:rPr>
          <w:rFonts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（一）项目决策情况</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项目决策指标从项目立项、绩效目标、资金投入</w:t>
      </w: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个方面对项目的决策进行考察，项目决策类指标分值5分，实际得分</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分，得分率</w:t>
      </w:r>
      <w:r>
        <w:rPr>
          <w:rFonts w:hint="eastAsia" w:ascii="仿宋_GB2312" w:hAnsi="仿宋_GB2312" w:eastAsia="仿宋_GB2312" w:cs="仿宋_GB2312"/>
          <w:color w:val="auto"/>
          <w:sz w:val="32"/>
          <w:szCs w:val="32"/>
          <w:lang w:val="en-US" w:eastAsia="zh-CN"/>
        </w:rPr>
        <w:t>100</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。项目决策指标得分情况如表所示。</w:t>
      </w:r>
    </w:p>
    <w:tbl>
      <w:tblPr>
        <w:tblStyle w:val="11"/>
        <w:tblW w:w="9060" w:type="dxa"/>
        <w:tblInd w:w="0" w:type="dxa"/>
        <w:tblLayout w:type="fixed"/>
        <w:tblCellMar>
          <w:top w:w="0" w:type="dxa"/>
          <w:left w:w="108" w:type="dxa"/>
          <w:bottom w:w="0" w:type="dxa"/>
          <w:right w:w="108" w:type="dxa"/>
        </w:tblCellMar>
      </w:tblPr>
      <w:tblGrid>
        <w:gridCol w:w="2674"/>
        <w:gridCol w:w="2412"/>
        <w:gridCol w:w="2111"/>
        <w:gridCol w:w="1863"/>
      </w:tblGrid>
      <w:tr>
        <w:tblPrEx>
          <w:tblCellMar>
            <w:top w:w="0" w:type="dxa"/>
            <w:left w:w="108" w:type="dxa"/>
            <w:bottom w:w="0" w:type="dxa"/>
            <w:right w:w="108" w:type="dxa"/>
          </w:tblCellMar>
        </w:tblPrEx>
        <w:trPr>
          <w:trHeight w:val="353" w:hRule="atLeast"/>
        </w:trPr>
        <w:tc>
          <w:tcPr>
            <w:tcW w:w="9060" w:type="dxa"/>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项目决策指标得分情况</w:t>
            </w:r>
          </w:p>
        </w:tc>
      </w:tr>
      <w:tr>
        <w:tblPrEx>
          <w:tblCellMar>
            <w:top w:w="0" w:type="dxa"/>
            <w:left w:w="108" w:type="dxa"/>
            <w:bottom w:w="0" w:type="dxa"/>
            <w:right w:w="108" w:type="dxa"/>
          </w:tblCellMar>
        </w:tblPrEx>
        <w:trPr>
          <w:trHeight w:val="611" w:hRule="exact"/>
        </w:trPr>
        <w:tc>
          <w:tcPr>
            <w:tcW w:w="2674" w:type="dxa"/>
            <w:tcBorders>
              <w:top w:val="nil"/>
              <w:left w:val="single" w:color="auto" w:sz="8" w:space="0"/>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b/>
                <w:color w:val="auto"/>
                <w:sz w:val="30"/>
                <w:szCs w:val="30"/>
              </w:rPr>
            </w:pPr>
            <w:r>
              <w:rPr>
                <w:rFonts w:hint="eastAsia" w:ascii="仿宋_GB2312" w:hAnsi="仿宋_GB2312" w:eastAsia="仿宋_GB2312" w:cs="仿宋_GB2312"/>
                <w:b/>
                <w:color w:val="auto"/>
                <w:sz w:val="30"/>
                <w:szCs w:val="30"/>
              </w:rPr>
              <w:t>二级指标</w:t>
            </w:r>
          </w:p>
        </w:tc>
        <w:tc>
          <w:tcPr>
            <w:tcW w:w="2412"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b/>
                <w:color w:val="auto"/>
                <w:sz w:val="30"/>
                <w:szCs w:val="30"/>
              </w:rPr>
            </w:pPr>
            <w:r>
              <w:rPr>
                <w:rFonts w:hint="eastAsia" w:ascii="仿宋_GB2312" w:hAnsi="仿宋_GB2312" w:eastAsia="仿宋_GB2312" w:cs="仿宋_GB2312"/>
                <w:b/>
                <w:color w:val="auto"/>
                <w:sz w:val="30"/>
                <w:szCs w:val="30"/>
              </w:rPr>
              <w:t>权重</w:t>
            </w:r>
          </w:p>
        </w:tc>
        <w:tc>
          <w:tcPr>
            <w:tcW w:w="2111"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b/>
                <w:color w:val="auto"/>
                <w:sz w:val="30"/>
                <w:szCs w:val="30"/>
              </w:rPr>
            </w:pPr>
            <w:r>
              <w:rPr>
                <w:rFonts w:hint="eastAsia" w:ascii="仿宋_GB2312" w:hAnsi="仿宋_GB2312" w:eastAsia="仿宋_GB2312" w:cs="仿宋_GB2312"/>
                <w:b/>
                <w:color w:val="auto"/>
                <w:sz w:val="30"/>
                <w:szCs w:val="30"/>
              </w:rPr>
              <w:t>得分率</w:t>
            </w:r>
          </w:p>
        </w:tc>
        <w:tc>
          <w:tcPr>
            <w:tcW w:w="1863"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b/>
                <w:color w:val="auto"/>
                <w:sz w:val="30"/>
                <w:szCs w:val="30"/>
              </w:rPr>
            </w:pPr>
            <w:r>
              <w:rPr>
                <w:rFonts w:hint="eastAsia" w:ascii="仿宋_GB2312" w:hAnsi="仿宋_GB2312" w:eastAsia="仿宋_GB2312" w:cs="仿宋_GB2312"/>
                <w:b/>
                <w:color w:val="auto"/>
                <w:sz w:val="30"/>
                <w:szCs w:val="30"/>
              </w:rPr>
              <w:t>实际得分</w:t>
            </w:r>
          </w:p>
        </w:tc>
      </w:tr>
      <w:tr>
        <w:tblPrEx>
          <w:tblCellMar>
            <w:top w:w="0" w:type="dxa"/>
            <w:left w:w="108" w:type="dxa"/>
            <w:bottom w:w="0" w:type="dxa"/>
            <w:right w:w="108" w:type="dxa"/>
          </w:tblCellMar>
        </w:tblPrEx>
        <w:trPr>
          <w:trHeight w:val="548" w:hRule="exact"/>
        </w:trPr>
        <w:tc>
          <w:tcPr>
            <w:tcW w:w="2674"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项目立项</w:t>
            </w:r>
          </w:p>
        </w:tc>
        <w:tc>
          <w:tcPr>
            <w:tcW w:w="2412"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c>
          <w:tcPr>
            <w:tcW w:w="2111"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100%</w:t>
            </w:r>
          </w:p>
        </w:tc>
        <w:tc>
          <w:tcPr>
            <w:tcW w:w="1863"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r>
      <w:tr>
        <w:tblPrEx>
          <w:tblCellMar>
            <w:top w:w="0" w:type="dxa"/>
            <w:left w:w="108" w:type="dxa"/>
            <w:bottom w:w="0" w:type="dxa"/>
            <w:right w:w="108" w:type="dxa"/>
          </w:tblCellMar>
        </w:tblPrEx>
        <w:trPr>
          <w:trHeight w:val="561" w:hRule="exact"/>
        </w:trPr>
        <w:tc>
          <w:tcPr>
            <w:tcW w:w="2674"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绩效目标</w:t>
            </w:r>
          </w:p>
        </w:tc>
        <w:tc>
          <w:tcPr>
            <w:tcW w:w="2412"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p>
        </w:tc>
        <w:tc>
          <w:tcPr>
            <w:tcW w:w="2111"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tc>
        <w:tc>
          <w:tcPr>
            <w:tcW w:w="1863"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p>
        </w:tc>
      </w:tr>
      <w:tr>
        <w:tblPrEx>
          <w:tblCellMar>
            <w:top w:w="0" w:type="dxa"/>
            <w:left w:w="108" w:type="dxa"/>
            <w:bottom w:w="0" w:type="dxa"/>
            <w:right w:w="108" w:type="dxa"/>
          </w:tblCellMar>
        </w:tblPrEx>
        <w:trPr>
          <w:trHeight w:val="596" w:hRule="exact"/>
        </w:trPr>
        <w:tc>
          <w:tcPr>
            <w:tcW w:w="2674" w:type="dxa"/>
            <w:tcBorders>
              <w:top w:val="nil"/>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资金投入</w:t>
            </w:r>
          </w:p>
        </w:tc>
        <w:tc>
          <w:tcPr>
            <w:tcW w:w="2412"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p>
        </w:tc>
        <w:tc>
          <w:tcPr>
            <w:tcW w:w="2111"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tc>
        <w:tc>
          <w:tcPr>
            <w:tcW w:w="1863" w:type="dxa"/>
            <w:tcBorders>
              <w:top w:val="nil"/>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p>
        </w:tc>
      </w:tr>
      <w:tr>
        <w:tblPrEx>
          <w:tblCellMar>
            <w:top w:w="0" w:type="dxa"/>
            <w:left w:w="108" w:type="dxa"/>
            <w:bottom w:w="0" w:type="dxa"/>
            <w:right w:w="108" w:type="dxa"/>
          </w:tblCellMar>
        </w:tblPrEx>
        <w:trPr>
          <w:trHeight w:val="591" w:hRule="exact"/>
        </w:trPr>
        <w:tc>
          <w:tcPr>
            <w:tcW w:w="2674" w:type="dxa"/>
            <w:tcBorders>
              <w:top w:val="single" w:color="auto" w:sz="8" w:space="0"/>
              <w:left w:val="single" w:color="auto" w:sz="8" w:space="0"/>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合  计</w:t>
            </w:r>
          </w:p>
        </w:tc>
        <w:tc>
          <w:tcPr>
            <w:tcW w:w="2412" w:type="dxa"/>
            <w:tcBorders>
              <w:top w:val="single" w:color="auto" w:sz="8" w:space="0"/>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w:t>
            </w:r>
          </w:p>
        </w:tc>
        <w:tc>
          <w:tcPr>
            <w:tcW w:w="2111" w:type="dxa"/>
            <w:tcBorders>
              <w:top w:val="single" w:color="auto" w:sz="8" w:space="0"/>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tc>
        <w:tc>
          <w:tcPr>
            <w:tcW w:w="1863" w:type="dxa"/>
            <w:tcBorders>
              <w:top w:val="single" w:color="auto" w:sz="8" w:space="0"/>
              <w:left w:val="nil"/>
              <w:bottom w:val="single" w:color="auto" w:sz="8" w:space="0"/>
              <w:right w:val="single" w:color="auto" w:sz="8" w:space="0"/>
            </w:tcBorders>
            <w:vAlign w:val="center"/>
          </w:tcPr>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5</w:t>
            </w:r>
          </w:p>
        </w:tc>
      </w:tr>
    </w:tbl>
    <w:p>
      <w:pPr>
        <w:pStyle w:val="4"/>
        <w:keepNext w:val="0"/>
        <w:keepLines w:val="0"/>
        <w:pageBreakBefore w:val="0"/>
        <w:kinsoku/>
        <w:wordWrap/>
        <w:overflowPunct/>
        <w:topLinePunct w:val="0"/>
        <w:autoSpaceDE/>
        <w:autoSpaceDN/>
        <w:bidi w:val="0"/>
        <w:adjustRightInd/>
        <w:snapToGrid/>
        <w:spacing w:before="0" w:after="0" w:line="560" w:lineRule="exact"/>
        <w:ind w:firstLine="640" w:firstLineChars="200"/>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对于“项目立项”，老年活动中心根据塔</w:t>
      </w:r>
      <w:bookmarkStart w:id="16" w:name="_GoBack"/>
      <w:bookmarkEnd w:id="16"/>
      <w:r>
        <w:rPr>
          <w:rFonts w:hint="eastAsia" w:ascii="仿宋_GB2312" w:hAnsi="仿宋_GB2312" w:eastAsia="仿宋_GB2312" w:cs="仿宋_GB2312"/>
          <w:b w:val="0"/>
          <w:bCs w:val="0"/>
          <w:color w:val="auto"/>
          <w:sz w:val="32"/>
          <w:szCs w:val="32"/>
        </w:rPr>
        <w:t>文件要求，我委按要求将老年活动中心列入2020年预算。决策有文件依据，根据评分标准，该指标</w:t>
      </w:r>
      <w:r>
        <w:rPr>
          <w:rFonts w:hint="eastAsia" w:ascii="仿宋_GB2312" w:hAnsi="仿宋_GB2312" w:eastAsia="仿宋_GB2312" w:cs="仿宋_GB2312"/>
          <w:b w:val="0"/>
          <w:bCs w:val="0"/>
          <w:color w:val="auto"/>
          <w:sz w:val="32"/>
          <w:szCs w:val="32"/>
          <w:lang w:eastAsia="zh-CN"/>
        </w:rPr>
        <w:t>不</w:t>
      </w:r>
      <w:r>
        <w:rPr>
          <w:rFonts w:hint="eastAsia" w:ascii="仿宋_GB2312" w:hAnsi="仿宋_GB2312" w:eastAsia="仿宋_GB2312" w:cs="仿宋_GB2312"/>
          <w:b w:val="0"/>
          <w:bCs w:val="0"/>
          <w:color w:val="auto"/>
          <w:sz w:val="32"/>
          <w:szCs w:val="32"/>
        </w:rPr>
        <w:t>扣分。</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对于“绩效目标”，老年活动中心项目，设置了较为详细的项目支出绩效目标。根据评分标准，该指标不扣分</w:t>
      </w:r>
      <w:r>
        <w:rPr>
          <w:rFonts w:hint="eastAsia" w:ascii="仿宋_GB2312" w:hAnsi="仿宋_GB2312" w:eastAsia="仿宋_GB2312" w:cs="仿宋_GB2312"/>
          <w:color w:val="auto"/>
          <w:sz w:val="32"/>
          <w:szCs w:val="32"/>
          <w:lang w:eastAsia="zh-CN"/>
        </w:rPr>
        <w:t>。</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对于“资金投入”，该项目本级资金443.39万元，本级财政预算资金70.53万元，均按时到位。资金有效保证了工程的实施</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rPr>
        <w:t>根据评分标准，该指标</w:t>
      </w:r>
      <w:r>
        <w:rPr>
          <w:rFonts w:hint="eastAsia" w:ascii="仿宋_GB2312" w:hAnsi="仿宋_GB2312" w:eastAsia="仿宋_GB2312" w:cs="仿宋_GB2312"/>
          <w:b w:val="0"/>
          <w:bCs w:val="0"/>
          <w:color w:val="auto"/>
          <w:sz w:val="32"/>
          <w:szCs w:val="32"/>
          <w:lang w:eastAsia="zh-CN"/>
        </w:rPr>
        <w:t>不</w:t>
      </w:r>
      <w:r>
        <w:rPr>
          <w:rFonts w:hint="eastAsia" w:ascii="仿宋_GB2312" w:hAnsi="仿宋_GB2312" w:eastAsia="仿宋_GB2312" w:cs="仿宋_GB2312"/>
          <w:b w:val="0"/>
          <w:bCs w:val="0"/>
          <w:color w:val="auto"/>
          <w:sz w:val="32"/>
          <w:szCs w:val="32"/>
        </w:rPr>
        <w:t>扣分</w:t>
      </w:r>
      <w:r>
        <w:rPr>
          <w:rFonts w:hint="eastAsia" w:ascii="仿宋_GB2312" w:hAnsi="仿宋_GB2312" w:eastAsia="仿宋_GB2312" w:cs="仿宋_GB2312"/>
          <w:b w:val="0"/>
          <w:bCs w:val="0"/>
          <w:color w:val="auto"/>
          <w:sz w:val="32"/>
          <w:szCs w:val="32"/>
          <w:lang w:eastAsia="zh-CN"/>
        </w:rPr>
        <w:t>。</w:t>
      </w:r>
    </w:p>
    <w:p>
      <w:pPr>
        <w:pageBreakBefore w:val="0"/>
        <w:kinsoku/>
        <w:wordWrap/>
        <w:overflowPunct/>
        <w:topLinePunct w:val="0"/>
        <w:autoSpaceDE/>
        <w:autoSpaceDN/>
        <w:bidi w:val="0"/>
        <w:adjustRightInd/>
        <w:snapToGrid/>
        <w:spacing w:line="560" w:lineRule="exact"/>
        <w:rPr>
          <w:rFonts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（二）项目过程情况</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项目过程指标从资金到位率、预算执行率、资金使用合规性、管理制度健全性、制度执行有效性等5个方面对项目的管理情况进行考察。项目过程类指标分值35分，实际得分29.12分，得分率为83.2</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。项目过程指标得分情况如表所示。</w:t>
      </w:r>
    </w:p>
    <w:tbl>
      <w:tblPr>
        <w:tblStyle w:val="11"/>
        <w:tblW w:w="9060" w:type="dxa"/>
        <w:tblInd w:w="0" w:type="dxa"/>
        <w:tblLayout w:type="fixed"/>
        <w:tblCellMar>
          <w:top w:w="0" w:type="dxa"/>
          <w:left w:w="108" w:type="dxa"/>
          <w:bottom w:w="0" w:type="dxa"/>
          <w:right w:w="108" w:type="dxa"/>
        </w:tblCellMar>
      </w:tblPr>
      <w:tblGrid>
        <w:gridCol w:w="2784"/>
        <w:gridCol w:w="2040"/>
        <w:gridCol w:w="2217"/>
        <w:gridCol w:w="2019"/>
      </w:tblGrid>
      <w:tr>
        <w:tblPrEx>
          <w:tblCellMar>
            <w:top w:w="0" w:type="dxa"/>
            <w:left w:w="108" w:type="dxa"/>
            <w:bottom w:w="0" w:type="dxa"/>
            <w:right w:w="108" w:type="dxa"/>
          </w:tblCellMar>
        </w:tblPrEx>
        <w:trPr>
          <w:trHeight w:val="495" w:hRule="atLeast"/>
          <w:tblHeader/>
        </w:trPr>
        <w:tc>
          <w:tcPr>
            <w:tcW w:w="9060" w:type="dxa"/>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color w:val="auto"/>
                <w:kern w:val="0"/>
                <w:sz w:val="24"/>
              </w:rPr>
            </w:pPr>
            <w:r>
              <w:rPr>
                <w:rFonts w:hint="eastAsia" w:ascii="仿宋_GB2312" w:hAnsi="仿宋_GB2312" w:eastAsia="仿宋_GB2312" w:cs="仿宋_GB2312"/>
                <w:b/>
                <w:bCs/>
                <w:color w:val="auto"/>
                <w:kern w:val="0"/>
                <w:sz w:val="32"/>
                <w:szCs w:val="32"/>
              </w:rPr>
              <w:t>项目过程指标得分情况</w:t>
            </w:r>
          </w:p>
        </w:tc>
      </w:tr>
      <w:tr>
        <w:tblPrEx>
          <w:tblCellMar>
            <w:top w:w="0" w:type="dxa"/>
            <w:left w:w="108" w:type="dxa"/>
            <w:bottom w:w="0" w:type="dxa"/>
            <w:right w:w="108" w:type="dxa"/>
          </w:tblCellMar>
        </w:tblPrEx>
        <w:trPr>
          <w:trHeight w:val="510" w:hRule="exact"/>
          <w:tblHeader/>
        </w:trPr>
        <w:tc>
          <w:tcPr>
            <w:tcW w:w="2784" w:type="dxa"/>
            <w:tcBorders>
              <w:top w:val="nil"/>
              <w:left w:val="single" w:color="auto" w:sz="8" w:space="0"/>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b/>
                <w:bCs/>
                <w:color w:val="auto"/>
                <w:kern w:val="0"/>
                <w:sz w:val="30"/>
                <w:szCs w:val="30"/>
              </w:rPr>
            </w:pPr>
            <w:r>
              <w:rPr>
                <w:rFonts w:hint="eastAsia" w:ascii="仿宋_GB2312" w:hAnsi="仿宋_GB2312" w:eastAsia="仿宋_GB2312" w:cs="仿宋_GB2312"/>
                <w:b/>
                <w:bCs/>
                <w:color w:val="auto"/>
                <w:kern w:val="0"/>
                <w:sz w:val="30"/>
                <w:szCs w:val="30"/>
              </w:rPr>
              <w:t>三级指标</w:t>
            </w:r>
          </w:p>
        </w:tc>
        <w:tc>
          <w:tcPr>
            <w:tcW w:w="2040"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b/>
                <w:bCs/>
                <w:color w:val="auto"/>
                <w:kern w:val="0"/>
                <w:sz w:val="30"/>
                <w:szCs w:val="30"/>
              </w:rPr>
            </w:pPr>
            <w:r>
              <w:rPr>
                <w:rFonts w:hint="eastAsia" w:ascii="仿宋_GB2312" w:hAnsi="仿宋_GB2312" w:eastAsia="仿宋_GB2312" w:cs="仿宋_GB2312"/>
                <w:b/>
                <w:bCs/>
                <w:color w:val="auto"/>
                <w:kern w:val="0"/>
                <w:sz w:val="30"/>
                <w:szCs w:val="30"/>
              </w:rPr>
              <w:t>权重</w:t>
            </w:r>
          </w:p>
        </w:tc>
        <w:tc>
          <w:tcPr>
            <w:tcW w:w="2217"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b/>
                <w:bCs/>
                <w:color w:val="auto"/>
                <w:kern w:val="0"/>
                <w:sz w:val="30"/>
                <w:szCs w:val="30"/>
              </w:rPr>
            </w:pPr>
            <w:r>
              <w:rPr>
                <w:rFonts w:hint="eastAsia" w:ascii="仿宋_GB2312" w:hAnsi="仿宋_GB2312" w:eastAsia="仿宋_GB2312" w:cs="仿宋_GB2312"/>
                <w:b/>
                <w:bCs/>
                <w:color w:val="auto"/>
                <w:kern w:val="0"/>
                <w:sz w:val="30"/>
                <w:szCs w:val="30"/>
              </w:rPr>
              <w:t>得分率</w:t>
            </w:r>
          </w:p>
        </w:tc>
        <w:tc>
          <w:tcPr>
            <w:tcW w:w="2019"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b/>
                <w:bCs/>
                <w:color w:val="auto"/>
                <w:kern w:val="0"/>
                <w:sz w:val="30"/>
                <w:szCs w:val="30"/>
              </w:rPr>
            </w:pPr>
            <w:r>
              <w:rPr>
                <w:rFonts w:hint="eastAsia" w:ascii="仿宋_GB2312" w:hAnsi="仿宋_GB2312" w:eastAsia="仿宋_GB2312" w:cs="仿宋_GB2312"/>
                <w:b/>
                <w:bCs/>
                <w:color w:val="auto"/>
                <w:kern w:val="0"/>
                <w:sz w:val="30"/>
                <w:szCs w:val="30"/>
              </w:rPr>
              <w:t>实际得分</w:t>
            </w:r>
          </w:p>
        </w:tc>
      </w:tr>
      <w:tr>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资金到位率</w:t>
            </w:r>
          </w:p>
        </w:tc>
        <w:tc>
          <w:tcPr>
            <w:tcW w:w="2040"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7</w:t>
            </w:r>
          </w:p>
        </w:tc>
        <w:tc>
          <w:tcPr>
            <w:tcW w:w="2217"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7</w:t>
            </w:r>
          </w:p>
        </w:tc>
      </w:tr>
      <w:tr>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预算执行率</w:t>
            </w:r>
          </w:p>
        </w:tc>
        <w:tc>
          <w:tcPr>
            <w:tcW w:w="2040"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7</w:t>
            </w:r>
          </w:p>
        </w:tc>
        <w:tc>
          <w:tcPr>
            <w:tcW w:w="2217"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16%</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1.12</w:t>
            </w:r>
          </w:p>
        </w:tc>
      </w:tr>
      <w:tr>
        <w:tblPrEx>
          <w:tblCellMar>
            <w:top w:w="0" w:type="dxa"/>
            <w:left w:w="108" w:type="dxa"/>
            <w:bottom w:w="0" w:type="dxa"/>
            <w:right w:w="108" w:type="dxa"/>
          </w:tblCellMar>
        </w:tblPrEx>
        <w:trPr>
          <w:trHeight w:val="542" w:hRule="exact"/>
        </w:trPr>
        <w:tc>
          <w:tcPr>
            <w:tcW w:w="2784"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资金使用合规性</w:t>
            </w:r>
          </w:p>
        </w:tc>
        <w:tc>
          <w:tcPr>
            <w:tcW w:w="2040"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7</w:t>
            </w:r>
          </w:p>
        </w:tc>
        <w:tc>
          <w:tcPr>
            <w:tcW w:w="2217"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7</w:t>
            </w:r>
          </w:p>
        </w:tc>
      </w:tr>
      <w:tr>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管理制度健全性</w:t>
            </w:r>
          </w:p>
        </w:tc>
        <w:tc>
          <w:tcPr>
            <w:tcW w:w="2040"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7</w:t>
            </w:r>
          </w:p>
        </w:tc>
        <w:tc>
          <w:tcPr>
            <w:tcW w:w="2217"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7</w:t>
            </w:r>
          </w:p>
        </w:tc>
      </w:tr>
      <w:tr>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制度执行有效性</w:t>
            </w:r>
          </w:p>
        </w:tc>
        <w:tc>
          <w:tcPr>
            <w:tcW w:w="2040"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7</w:t>
            </w:r>
          </w:p>
        </w:tc>
        <w:tc>
          <w:tcPr>
            <w:tcW w:w="2217"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100%</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7</w:t>
            </w:r>
          </w:p>
        </w:tc>
      </w:tr>
      <w:tr>
        <w:tblPrEx>
          <w:tblCellMar>
            <w:top w:w="0" w:type="dxa"/>
            <w:left w:w="108" w:type="dxa"/>
            <w:bottom w:w="0" w:type="dxa"/>
            <w:right w:w="108" w:type="dxa"/>
          </w:tblCellMar>
        </w:tblPrEx>
        <w:trPr>
          <w:trHeight w:val="510" w:hRule="exact"/>
        </w:trPr>
        <w:tc>
          <w:tcPr>
            <w:tcW w:w="2784"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合  计</w:t>
            </w:r>
          </w:p>
        </w:tc>
        <w:tc>
          <w:tcPr>
            <w:tcW w:w="2040"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35</w:t>
            </w:r>
          </w:p>
        </w:tc>
        <w:tc>
          <w:tcPr>
            <w:tcW w:w="2217"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83.2%</w:t>
            </w:r>
          </w:p>
        </w:tc>
        <w:tc>
          <w:tcPr>
            <w:tcW w:w="2019"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29.12</w:t>
            </w:r>
          </w:p>
        </w:tc>
      </w:tr>
    </w:tbl>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对于“资金到位率”，项目资金到位及时，到位率为</w:t>
      </w:r>
      <w:r>
        <w:rPr>
          <w:rFonts w:ascii="仿宋_GB2312" w:hAnsi="仿宋_GB2312" w:eastAsia="仿宋_GB2312" w:cs="仿宋_GB2312"/>
          <w:color w:val="auto"/>
          <w:sz w:val="32"/>
          <w:szCs w:val="32"/>
        </w:rPr>
        <w:t>100%</w:t>
      </w:r>
      <w:r>
        <w:rPr>
          <w:rFonts w:hint="eastAsia" w:ascii="仿宋_GB2312" w:hAnsi="仿宋_GB2312" w:eastAsia="仿宋_GB2312" w:cs="仿宋_GB2312"/>
          <w:color w:val="auto"/>
          <w:sz w:val="32"/>
          <w:szCs w:val="32"/>
        </w:rPr>
        <w:t>。根据评分标准，该指标不扣分，实际得分7分。</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对于“预算执行率”，项目资金预算数443.39万元，全年执行数为70.53万元，执行率为16</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。根据评分标准，该指标扣5.88分，实际得分1.12分。</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于“资金使用合规性”项目按照专项资金列支的范围使用资金，支出范围合规；资金支出能按财务制度执行，并能按国库集中支付制度规定执行，不存在资金违纪违规使用情况。根据评分标准，该指标不扣分，实际得分7分。</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对于“管理制度健全性”，项目机构健全，分工明确，不存在不相容岗位兼任情况。根据评分标准，该指标不扣分，实际得分7分。</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对于“制度执行有效性”，组建了党委书记为组长，相关科室负责人为成员的项目建设领导小组，认真组织项目实施。根据评分标准，该指标不扣分，实际得分7分。</w:t>
      </w:r>
    </w:p>
    <w:p>
      <w:pPr>
        <w:pageBreakBefore w:val="0"/>
        <w:kinsoku/>
        <w:wordWrap/>
        <w:overflowPunct/>
        <w:topLinePunct w:val="0"/>
        <w:autoSpaceDE/>
        <w:autoSpaceDN/>
        <w:bidi w:val="0"/>
        <w:adjustRightInd/>
        <w:snapToGrid/>
        <w:spacing w:line="560" w:lineRule="exact"/>
        <w:rPr>
          <w:rFonts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（三）项目产出情况</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项目绩效主要从项目产出的产出数量、产出质量、产出时效、成本情况4个方面对项目的绩效情况进行评价。项目绩效类指标分值40分，实际得分40分，得分率为100%。项目绩效指标得分情况如表所示。</w:t>
      </w:r>
    </w:p>
    <w:tbl>
      <w:tblPr>
        <w:tblStyle w:val="11"/>
        <w:tblpPr w:leftFromText="180" w:rightFromText="180" w:vertAnchor="text" w:horzAnchor="page" w:tblpX="1699" w:tblpY="165"/>
        <w:tblOverlap w:val="never"/>
        <w:tblW w:w="9036" w:type="dxa"/>
        <w:tblInd w:w="0" w:type="dxa"/>
        <w:tblLayout w:type="fixed"/>
        <w:tblCellMar>
          <w:top w:w="0" w:type="dxa"/>
          <w:left w:w="108" w:type="dxa"/>
          <w:bottom w:w="0" w:type="dxa"/>
          <w:right w:w="108" w:type="dxa"/>
        </w:tblCellMar>
      </w:tblPr>
      <w:tblGrid>
        <w:gridCol w:w="1545"/>
        <w:gridCol w:w="3045"/>
        <w:gridCol w:w="930"/>
        <w:gridCol w:w="1170"/>
        <w:gridCol w:w="2346"/>
      </w:tblGrid>
      <w:tr>
        <w:tblPrEx>
          <w:tblCellMar>
            <w:top w:w="0" w:type="dxa"/>
            <w:left w:w="108" w:type="dxa"/>
            <w:bottom w:w="0" w:type="dxa"/>
            <w:right w:w="108" w:type="dxa"/>
          </w:tblCellMar>
        </w:tblPrEx>
        <w:trPr>
          <w:trHeight w:val="495" w:hRule="atLeast"/>
          <w:tblHeader/>
        </w:trPr>
        <w:tc>
          <w:tcPr>
            <w:tcW w:w="9036" w:type="dxa"/>
            <w:gridSpan w:val="5"/>
            <w:tcBorders>
              <w:top w:val="nil"/>
              <w:left w:val="nil"/>
              <w:bottom w:val="single" w:color="auto" w:sz="4" w:space="0"/>
              <w:right w:val="nil"/>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rPr>
              <w:t>项目绩效指标得分情况</w:t>
            </w:r>
          </w:p>
        </w:tc>
      </w:tr>
      <w:tr>
        <w:tblPrEx>
          <w:tblCellMar>
            <w:top w:w="0" w:type="dxa"/>
            <w:left w:w="108" w:type="dxa"/>
            <w:bottom w:w="0" w:type="dxa"/>
            <w:right w:w="108" w:type="dxa"/>
          </w:tblCellMar>
        </w:tblPrEx>
        <w:trPr>
          <w:trHeight w:val="510" w:hRule="exact"/>
          <w:tblHeader/>
        </w:trPr>
        <w:tc>
          <w:tcPr>
            <w:tcW w:w="1545" w:type="dxa"/>
            <w:tcBorders>
              <w:top w:val="single" w:color="auto" w:sz="4" w:space="0"/>
              <w:left w:val="single" w:color="auto" w:sz="4" w:space="0"/>
              <w:bottom w:val="single" w:color="auto" w:sz="4" w:space="0"/>
              <w:right w:val="single" w:color="auto" w:sz="4"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auto"/>
                <w:kern w:val="0"/>
                <w:sz w:val="32"/>
                <w:szCs w:val="32"/>
              </w:rPr>
            </w:pPr>
            <w:r>
              <w:rPr>
                <w:rFonts w:hint="eastAsia" w:ascii="仿宋_GB2312" w:hAnsi="仿宋_GB2312" w:eastAsia="仿宋_GB2312" w:cs="仿宋_GB2312"/>
                <w:b/>
                <w:bCs/>
                <w:color w:val="auto"/>
                <w:kern w:val="0"/>
                <w:sz w:val="32"/>
                <w:szCs w:val="32"/>
              </w:rPr>
              <w:t>三级指标</w:t>
            </w:r>
          </w:p>
        </w:tc>
        <w:tc>
          <w:tcPr>
            <w:tcW w:w="3045" w:type="dxa"/>
            <w:tcBorders>
              <w:top w:val="single" w:color="auto" w:sz="4" w:space="0"/>
              <w:left w:val="single" w:color="auto" w:sz="4" w:space="0"/>
              <w:bottom w:val="single" w:color="auto" w:sz="4" w:space="0"/>
              <w:right w:val="single" w:color="auto" w:sz="4"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auto"/>
                <w:kern w:val="0"/>
                <w:sz w:val="32"/>
                <w:szCs w:val="32"/>
              </w:rPr>
            </w:pPr>
            <w:r>
              <w:rPr>
                <w:rFonts w:hint="eastAsia" w:ascii="仿宋_GB2312" w:hAnsi="仿宋_GB2312" w:eastAsia="仿宋_GB2312" w:cs="仿宋_GB2312"/>
                <w:b/>
                <w:bCs/>
                <w:color w:val="auto"/>
                <w:kern w:val="0"/>
                <w:sz w:val="32"/>
                <w:szCs w:val="32"/>
              </w:rPr>
              <w:t>三级明细指标</w:t>
            </w:r>
          </w:p>
        </w:tc>
        <w:tc>
          <w:tcPr>
            <w:tcW w:w="930" w:type="dxa"/>
            <w:tcBorders>
              <w:top w:val="single" w:color="auto" w:sz="4" w:space="0"/>
              <w:left w:val="single" w:color="auto" w:sz="4" w:space="0"/>
              <w:bottom w:val="single" w:color="auto" w:sz="4" w:space="0"/>
              <w:right w:val="single" w:color="auto" w:sz="4"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auto"/>
                <w:kern w:val="0"/>
                <w:sz w:val="32"/>
                <w:szCs w:val="32"/>
              </w:rPr>
            </w:pPr>
            <w:r>
              <w:rPr>
                <w:rFonts w:hint="eastAsia" w:ascii="仿宋_GB2312" w:hAnsi="仿宋_GB2312" w:eastAsia="仿宋_GB2312" w:cs="仿宋_GB2312"/>
                <w:b/>
                <w:bCs/>
                <w:color w:val="auto"/>
                <w:kern w:val="0"/>
                <w:sz w:val="32"/>
                <w:szCs w:val="32"/>
              </w:rPr>
              <w:t>权重</w:t>
            </w:r>
          </w:p>
        </w:tc>
        <w:tc>
          <w:tcPr>
            <w:tcW w:w="1170" w:type="dxa"/>
            <w:tcBorders>
              <w:top w:val="single" w:color="auto" w:sz="4" w:space="0"/>
              <w:left w:val="single" w:color="auto" w:sz="4" w:space="0"/>
              <w:bottom w:val="single" w:color="auto" w:sz="4" w:space="0"/>
              <w:right w:val="single" w:color="auto" w:sz="4"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auto"/>
                <w:kern w:val="0"/>
                <w:sz w:val="32"/>
                <w:szCs w:val="32"/>
              </w:rPr>
            </w:pPr>
            <w:r>
              <w:rPr>
                <w:rFonts w:hint="eastAsia" w:ascii="仿宋_GB2312" w:hAnsi="仿宋_GB2312" w:eastAsia="仿宋_GB2312" w:cs="仿宋_GB2312"/>
                <w:b/>
                <w:bCs/>
                <w:color w:val="auto"/>
                <w:kern w:val="0"/>
                <w:sz w:val="32"/>
                <w:szCs w:val="32"/>
              </w:rPr>
              <w:t>得分率</w:t>
            </w:r>
          </w:p>
        </w:tc>
        <w:tc>
          <w:tcPr>
            <w:tcW w:w="2346" w:type="dxa"/>
            <w:tcBorders>
              <w:top w:val="single" w:color="auto" w:sz="4" w:space="0"/>
              <w:left w:val="single" w:color="auto" w:sz="4" w:space="0"/>
              <w:bottom w:val="single" w:color="auto" w:sz="4" w:space="0"/>
              <w:right w:val="single" w:color="auto" w:sz="4"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auto"/>
                <w:kern w:val="0"/>
                <w:sz w:val="32"/>
                <w:szCs w:val="32"/>
              </w:rPr>
            </w:pPr>
            <w:r>
              <w:rPr>
                <w:rFonts w:hint="eastAsia" w:ascii="仿宋_GB2312" w:hAnsi="仿宋_GB2312" w:eastAsia="仿宋_GB2312" w:cs="仿宋_GB2312"/>
                <w:b/>
                <w:bCs/>
                <w:color w:val="auto"/>
                <w:kern w:val="0"/>
                <w:sz w:val="32"/>
                <w:szCs w:val="32"/>
              </w:rPr>
              <w:t>实际得分</w:t>
            </w:r>
          </w:p>
        </w:tc>
      </w:tr>
      <w:tr>
        <w:tblPrEx>
          <w:tblCellMar>
            <w:top w:w="0" w:type="dxa"/>
            <w:left w:w="108" w:type="dxa"/>
            <w:bottom w:w="0" w:type="dxa"/>
            <w:right w:w="108" w:type="dxa"/>
          </w:tblCellMar>
        </w:tblPrEx>
        <w:trPr>
          <w:trHeight w:val="720" w:hRule="atLeast"/>
        </w:trPr>
        <w:tc>
          <w:tcPr>
            <w:tcW w:w="1545" w:type="dxa"/>
            <w:tcBorders>
              <w:top w:val="single" w:color="auto" w:sz="4" w:space="0"/>
              <w:left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产出数量</w:t>
            </w:r>
          </w:p>
        </w:tc>
        <w:tc>
          <w:tcPr>
            <w:tcW w:w="3045"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rPr>
              <w:t>实际完成率</w:t>
            </w:r>
          </w:p>
        </w:tc>
        <w:tc>
          <w:tcPr>
            <w:tcW w:w="930"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10</w:t>
            </w:r>
          </w:p>
        </w:tc>
        <w:tc>
          <w:tcPr>
            <w:tcW w:w="1170"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100%</w:t>
            </w:r>
          </w:p>
        </w:tc>
        <w:tc>
          <w:tcPr>
            <w:tcW w:w="2346"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10</w:t>
            </w:r>
          </w:p>
        </w:tc>
      </w:tr>
      <w:tr>
        <w:tblPrEx>
          <w:tblCellMar>
            <w:top w:w="0" w:type="dxa"/>
            <w:left w:w="108" w:type="dxa"/>
            <w:bottom w:w="0" w:type="dxa"/>
            <w:right w:w="108" w:type="dxa"/>
          </w:tblCellMar>
        </w:tblPrEx>
        <w:trPr>
          <w:trHeight w:val="510" w:hRule="exact"/>
        </w:trPr>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产出质量</w:t>
            </w:r>
          </w:p>
        </w:tc>
        <w:tc>
          <w:tcPr>
            <w:tcW w:w="3045"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eastAsia="zh-CN"/>
              </w:rPr>
              <w:t>质量达标率</w:t>
            </w:r>
          </w:p>
        </w:tc>
        <w:tc>
          <w:tcPr>
            <w:tcW w:w="930"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10</w:t>
            </w:r>
          </w:p>
        </w:tc>
        <w:tc>
          <w:tcPr>
            <w:tcW w:w="1170"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100%</w:t>
            </w:r>
          </w:p>
        </w:tc>
        <w:tc>
          <w:tcPr>
            <w:tcW w:w="2346"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10</w:t>
            </w:r>
          </w:p>
        </w:tc>
      </w:tr>
      <w:tr>
        <w:tblPrEx>
          <w:tblCellMar>
            <w:top w:w="0" w:type="dxa"/>
            <w:left w:w="108" w:type="dxa"/>
            <w:bottom w:w="0" w:type="dxa"/>
            <w:right w:w="108" w:type="dxa"/>
          </w:tblCellMar>
        </w:tblPrEx>
        <w:trPr>
          <w:trHeight w:val="510" w:hRule="exact"/>
        </w:trPr>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产出时效</w:t>
            </w:r>
          </w:p>
        </w:tc>
        <w:tc>
          <w:tcPr>
            <w:tcW w:w="3045"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eastAsia="zh-CN"/>
              </w:rPr>
              <w:t>完成及时性</w:t>
            </w:r>
          </w:p>
        </w:tc>
        <w:tc>
          <w:tcPr>
            <w:tcW w:w="930"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10</w:t>
            </w:r>
          </w:p>
        </w:tc>
        <w:tc>
          <w:tcPr>
            <w:tcW w:w="1170"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100%</w:t>
            </w:r>
          </w:p>
        </w:tc>
        <w:tc>
          <w:tcPr>
            <w:tcW w:w="2346"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10</w:t>
            </w:r>
          </w:p>
        </w:tc>
      </w:tr>
      <w:tr>
        <w:tblPrEx>
          <w:tblCellMar>
            <w:top w:w="0" w:type="dxa"/>
            <w:left w:w="108" w:type="dxa"/>
            <w:bottom w:w="0" w:type="dxa"/>
            <w:right w:w="108" w:type="dxa"/>
          </w:tblCellMar>
        </w:tblPrEx>
        <w:trPr>
          <w:trHeight w:val="510" w:hRule="exact"/>
        </w:trPr>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成本情况</w:t>
            </w:r>
          </w:p>
        </w:tc>
        <w:tc>
          <w:tcPr>
            <w:tcW w:w="3045"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成本节约率</w:t>
            </w:r>
          </w:p>
        </w:tc>
        <w:tc>
          <w:tcPr>
            <w:tcW w:w="930"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10</w:t>
            </w:r>
          </w:p>
        </w:tc>
        <w:tc>
          <w:tcPr>
            <w:tcW w:w="1170"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100%</w:t>
            </w:r>
          </w:p>
        </w:tc>
        <w:tc>
          <w:tcPr>
            <w:tcW w:w="2346"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10</w:t>
            </w:r>
          </w:p>
        </w:tc>
      </w:tr>
      <w:tr>
        <w:tblPrEx>
          <w:tblCellMar>
            <w:top w:w="0" w:type="dxa"/>
            <w:left w:w="108" w:type="dxa"/>
            <w:bottom w:w="0" w:type="dxa"/>
            <w:right w:w="108" w:type="dxa"/>
          </w:tblCellMar>
        </w:tblPrEx>
        <w:trPr>
          <w:trHeight w:val="510" w:hRule="exact"/>
        </w:trPr>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合  计</w:t>
            </w:r>
          </w:p>
        </w:tc>
        <w:tc>
          <w:tcPr>
            <w:tcW w:w="3045"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p>
        </w:tc>
        <w:tc>
          <w:tcPr>
            <w:tcW w:w="930"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40</w:t>
            </w:r>
          </w:p>
        </w:tc>
        <w:tc>
          <w:tcPr>
            <w:tcW w:w="1170"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100%</w:t>
            </w:r>
          </w:p>
        </w:tc>
        <w:tc>
          <w:tcPr>
            <w:tcW w:w="2346"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40</w:t>
            </w:r>
          </w:p>
        </w:tc>
      </w:tr>
    </w:tbl>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color w:val="auto"/>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对于“产出数量”，</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指标</w:t>
      </w:r>
      <w:r>
        <w:rPr>
          <w:rFonts w:hint="eastAsia" w:ascii="仿宋_GB2312" w:hAnsi="仿宋_GB2312" w:eastAsia="仿宋_GB2312" w:cs="仿宋_GB2312"/>
          <w:color w:val="auto"/>
          <w:sz w:val="32"/>
          <w:szCs w:val="32"/>
          <w:lang w:val="en-US" w:eastAsia="zh-CN"/>
        </w:rPr>
        <w:t>1：门卫室面积，年度目标值=1座，实际完成值1座，</w:t>
      </w:r>
      <w:r>
        <w:rPr>
          <w:rFonts w:hint="eastAsia" w:ascii="仿宋_GB2312" w:hAnsi="仿宋_GB2312" w:eastAsia="仿宋_GB2312" w:cs="仿宋_GB2312"/>
          <w:color w:val="auto"/>
          <w:sz w:val="32"/>
          <w:szCs w:val="32"/>
        </w:rPr>
        <w:t>指标完成率100%；</w:t>
      </w:r>
    </w:p>
    <w:p>
      <w:pPr>
        <w:pStyle w:val="2"/>
        <w:keepNext w:val="0"/>
        <w:keepLines w:val="0"/>
        <w:pageBreakBefore w:val="0"/>
        <w:kinsoku/>
        <w:wordWrap/>
        <w:overflowPunct/>
        <w:topLinePunct w:val="0"/>
        <w:autoSpaceDE/>
        <w:autoSpaceDN/>
        <w:bidi w:val="0"/>
        <w:adjustRightInd/>
        <w:snapToGrid/>
        <w:spacing w:before="0" w:after="0"/>
        <w:ind w:firstLine="320" w:firstLineChars="100"/>
        <w:jc w:val="both"/>
        <w:textAlignment w:val="auto"/>
        <w:rPr>
          <w:rFonts w:hint="default" w:eastAsia="仿宋_GB2312"/>
          <w:b w:val="0"/>
          <w:bCs w:val="0"/>
          <w:color w:val="auto"/>
          <w:lang w:val="en-US" w:eastAsia="zh-CN"/>
        </w:rPr>
      </w:pPr>
      <w:r>
        <w:rPr>
          <w:rFonts w:hint="eastAsia" w:ascii="仿宋_GB2312" w:hAnsi="仿宋_GB2312" w:eastAsia="仿宋_GB2312" w:cs="仿宋_GB2312"/>
          <w:b w:val="0"/>
          <w:bCs w:val="0"/>
          <w:color w:val="auto"/>
          <w:sz w:val="32"/>
          <w:szCs w:val="32"/>
          <w:lang w:eastAsia="zh-CN"/>
        </w:rPr>
        <w:t>指标</w:t>
      </w:r>
      <w:r>
        <w:rPr>
          <w:rFonts w:hint="eastAsia" w:ascii="仿宋_GB2312" w:hAnsi="仿宋_GB2312" w:eastAsia="仿宋_GB2312" w:cs="仿宋_GB2312"/>
          <w:b w:val="0"/>
          <w:bCs w:val="0"/>
          <w:color w:val="auto"/>
          <w:sz w:val="32"/>
          <w:szCs w:val="32"/>
          <w:lang w:val="en-US" w:eastAsia="zh-CN"/>
        </w:rPr>
        <w:t>2：车库，年度目标值=1座，实际完成值1座，</w:t>
      </w:r>
      <w:r>
        <w:rPr>
          <w:rFonts w:hint="eastAsia" w:ascii="仿宋_GB2312" w:hAnsi="仿宋_GB2312" w:eastAsia="仿宋_GB2312" w:cs="仿宋_GB2312"/>
          <w:b w:val="0"/>
          <w:bCs w:val="0"/>
          <w:color w:val="auto"/>
          <w:sz w:val="32"/>
          <w:szCs w:val="32"/>
        </w:rPr>
        <w:t>指标完成率100%；</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指标</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总建筑面积，预期指标值≥7970.3平方米，指标完成值7970.3平方米，指标完成率100%；</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对于“产出质量”，</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指标</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部分工程验收合格率，预期指标值≤100%，指标完成值100%，指标完成率100%；</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指标</w:t>
      </w:r>
      <w:r>
        <w:rPr>
          <w:rFonts w:hint="eastAsia" w:ascii="仿宋_GB2312" w:hAnsi="仿宋_GB2312" w:eastAsia="仿宋_GB2312" w:cs="仿宋_GB2312"/>
          <w:color w:val="auto"/>
          <w:sz w:val="32"/>
          <w:szCs w:val="32"/>
          <w:lang w:val="en-US" w:eastAsia="zh-CN"/>
        </w:rPr>
        <w:t>2：设备购置合格率，</w:t>
      </w:r>
      <w:r>
        <w:rPr>
          <w:rFonts w:hint="eastAsia" w:ascii="仿宋_GB2312" w:hAnsi="仿宋_GB2312" w:eastAsia="仿宋_GB2312" w:cs="仿宋_GB2312"/>
          <w:color w:val="auto"/>
          <w:sz w:val="32"/>
          <w:szCs w:val="32"/>
        </w:rPr>
        <w:t>预期指标值≤100%，指标完成值100%，指标完成率100%；</w:t>
      </w:r>
    </w:p>
    <w:p>
      <w:pPr>
        <w:pageBreakBefore w:val="0"/>
        <w:kinsoku/>
        <w:wordWrap/>
        <w:overflowPunct/>
        <w:topLinePunct w:val="0"/>
        <w:autoSpaceDE/>
        <w:autoSpaceDN/>
        <w:bidi w:val="0"/>
        <w:adjustRightInd/>
        <w:snapToGrid/>
        <w:spacing w:line="560" w:lineRule="exact"/>
        <w:ind w:firstLine="640" w:firstLineChars="2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对于“产出时效”，工程计量拨款及时率，预期指标值≤100%，指标完成值100%，指标完成率100%；</w:t>
      </w:r>
    </w:p>
    <w:p>
      <w:pPr>
        <w:pageBreakBefore w:val="0"/>
        <w:kinsoku/>
        <w:wordWrap/>
        <w:overflowPunct/>
        <w:topLinePunct w:val="0"/>
        <w:autoSpaceDE/>
        <w:autoSpaceDN/>
        <w:bidi w:val="0"/>
        <w:adjustRightInd/>
        <w:snapToGrid/>
        <w:spacing w:line="560" w:lineRule="exact"/>
        <w:ind w:firstLine="640" w:firstLineChars="2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对于“成本情况”，平均单位工程造价，预期指标值≥0.1万元/平方米，指标完成值0.1万元/平方米，指标完成率100%；</w:t>
      </w:r>
    </w:p>
    <w:p>
      <w:pPr>
        <w:pageBreakBefore w:val="0"/>
        <w:kinsoku/>
        <w:wordWrap/>
        <w:overflowPunct/>
        <w:topLinePunct w:val="0"/>
        <w:autoSpaceDE/>
        <w:autoSpaceDN/>
        <w:bidi w:val="0"/>
        <w:adjustRightInd/>
        <w:snapToGrid/>
        <w:spacing w:line="560" w:lineRule="exact"/>
        <w:ind w:firstLine="643" w:firstLineChars="200"/>
        <w:rPr>
          <w:rFonts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（四）项目效益情况</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bookmarkStart w:id="13" w:name="_Toc8780_WPSOffice_Level1"/>
      <w:r>
        <w:rPr>
          <w:rFonts w:hint="eastAsia" w:ascii="仿宋_GB2312" w:hAnsi="仿宋_GB2312" w:eastAsia="仿宋_GB2312" w:cs="仿宋_GB2312"/>
          <w:color w:val="auto"/>
          <w:sz w:val="32"/>
          <w:szCs w:val="32"/>
        </w:rPr>
        <w:t>项目绩效主要从项目产出的效果的经济效益、社会效益、生态效益、可持续影响、服务对象满意度5个方面对项目的绩效情况进行评价。项目绩效类指标分值20分，实际得分</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分，得分率为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%。项目绩效指标得分情况如表所示。</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p>
    <w:tbl>
      <w:tblPr>
        <w:tblStyle w:val="11"/>
        <w:tblW w:w="8628" w:type="dxa"/>
        <w:tblInd w:w="0" w:type="dxa"/>
        <w:tblLayout w:type="fixed"/>
        <w:tblCellMar>
          <w:top w:w="0" w:type="dxa"/>
          <w:left w:w="108" w:type="dxa"/>
          <w:bottom w:w="0" w:type="dxa"/>
          <w:right w:w="108" w:type="dxa"/>
        </w:tblCellMar>
      </w:tblPr>
      <w:tblGrid>
        <w:gridCol w:w="2220"/>
        <w:gridCol w:w="2505"/>
        <w:gridCol w:w="1065"/>
        <w:gridCol w:w="1335"/>
        <w:gridCol w:w="1503"/>
      </w:tblGrid>
      <w:tr>
        <w:tblPrEx>
          <w:tblCellMar>
            <w:top w:w="0" w:type="dxa"/>
            <w:left w:w="108" w:type="dxa"/>
            <w:bottom w:w="0" w:type="dxa"/>
            <w:right w:w="108" w:type="dxa"/>
          </w:tblCellMar>
        </w:tblPrEx>
        <w:trPr>
          <w:trHeight w:val="413" w:hRule="atLeast"/>
          <w:tblHeader/>
        </w:trPr>
        <w:tc>
          <w:tcPr>
            <w:tcW w:w="8628" w:type="dxa"/>
            <w:gridSpan w:val="5"/>
            <w:tcBorders>
              <w:top w:val="nil"/>
              <w:left w:val="nil"/>
              <w:bottom w:val="single" w:color="auto" w:sz="8" w:space="0"/>
              <w:right w:val="nil"/>
            </w:tcBorders>
            <w:shd w:val="clear" w:color="auto" w:fill="auto"/>
            <w:noWrap/>
            <w:vAlign w:val="center"/>
          </w:tcPr>
          <w:p>
            <w:pPr>
              <w:pageBreakBefore w:val="0"/>
              <w:widowControl/>
              <w:kinsoku/>
              <w:wordWrap/>
              <w:overflowPunct/>
              <w:topLinePunct w:val="0"/>
              <w:autoSpaceDE/>
              <w:autoSpaceDN/>
              <w:bidi w:val="0"/>
              <w:adjustRightInd/>
              <w:snapToGrid/>
              <w:spacing w:line="560" w:lineRule="exact"/>
              <w:ind w:firstLine="2249" w:firstLineChars="7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sz w:val="32"/>
                <w:szCs w:val="32"/>
              </w:rPr>
              <w:t>项目绩效指标得分情况</w:t>
            </w:r>
          </w:p>
        </w:tc>
      </w:tr>
      <w:tr>
        <w:tblPrEx>
          <w:tblCellMar>
            <w:top w:w="0" w:type="dxa"/>
            <w:left w:w="108" w:type="dxa"/>
            <w:bottom w:w="0" w:type="dxa"/>
            <w:right w:w="108" w:type="dxa"/>
          </w:tblCellMar>
        </w:tblPrEx>
        <w:trPr>
          <w:trHeight w:val="545" w:hRule="exact"/>
          <w:tblHeader/>
        </w:trPr>
        <w:tc>
          <w:tcPr>
            <w:tcW w:w="2220" w:type="dxa"/>
            <w:tcBorders>
              <w:top w:val="nil"/>
              <w:left w:val="single" w:color="auto" w:sz="8" w:space="0"/>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b/>
                <w:bCs/>
                <w:color w:val="auto"/>
                <w:kern w:val="0"/>
                <w:sz w:val="32"/>
                <w:szCs w:val="32"/>
              </w:rPr>
            </w:pPr>
            <w:r>
              <w:rPr>
                <w:rFonts w:hint="eastAsia" w:ascii="仿宋_GB2312" w:hAnsi="仿宋_GB2312" w:eastAsia="仿宋_GB2312" w:cs="仿宋_GB2312"/>
                <w:b/>
                <w:bCs/>
                <w:color w:val="auto"/>
                <w:kern w:val="0"/>
                <w:sz w:val="32"/>
                <w:szCs w:val="32"/>
              </w:rPr>
              <w:t>三级指标</w:t>
            </w:r>
          </w:p>
        </w:tc>
        <w:tc>
          <w:tcPr>
            <w:tcW w:w="2505"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b/>
                <w:bCs/>
                <w:color w:val="auto"/>
                <w:kern w:val="0"/>
                <w:sz w:val="32"/>
                <w:szCs w:val="32"/>
              </w:rPr>
            </w:pPr>
            <w:r>
              <w:rPr>
                <w:rFonts w:hint="eastAsia" w:ascii="仿宋_GB2312" w:hAnsi="仿宋_GB2312" w:eastAsia="仿宋_GB2312" w:cs="仿宋_GB2312"/>
                <w:b/>
                <w:bCs/>
                <w:color w:val="auto"/>
                <w:kern w:val="0"/>
                <w:sz w:val="32"/>
                <w:szCs w:val="32"/>
              </w:rPr>
              <w:t>三级明细指标</w:t>
            </w:r>
          </w:p>
        </w:tc>
        <w:tc>
          <w:tcPr>
            <w:tcW w:w="1065"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b/>
                <w:bCs/>
                <w:color w:val="auto"/>
                <w:kern w:val="0"/>
                <w:sz w:val="32"/>
                <w:szCs w:val="32"/>
              </w:rPr>
            </w:pPr>
            <w:r>
              <w:rPr>
                <w:rFonts w:hint="eastAsia" w:ascii="仿宋_GB2312" w:hAnsi="仿宋_GB2312" w:eastAsia="仿宋_GB2312" w:cs="仿宋_GB2312"/>
                <w:b/>
                <w:bCs/>
                <w:color w:val="auto"/>
                <w:kern w:val="0"/>
                <w:sz w:val="32"/>
                <w:szCs w:val="32"/>
              </w:rPr>
              <w:t>权重</w:t>
            </w:r>
          </w:p>
        </w:tc>
        <w:tc>
          <w:tcPr>
            <w:tcW w:w="1335"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b/>
                <w:bCs/>
                <w:color w:val="auto"/>
                <w:kern w:val="0"/>
                <w:sz w:val="32"/>
                <w:szCs w:val="32"/>
              </w:rPr>
            </w:pPr>
            <w:r>
              <w:rPr>
                <w:rFonts w:hint="eastAsia" w:ascii="仿宋_GB2312" w:hAnsi="仿宋_GB2312" w:eastAsia="仿宋_GB2312" w:cs="仿宋_GB2312"/>
                <w:b/>
                <w:bCs/>
                <w:color w:val="auto"/>
                <w:kern w:val="0"/>
                <w:sz w:val="32"/>
                <w:szCs w:val="32"/>
              </w:rPr>
              <w:t>得分率</w:t>
            </w:r>
          </w:p>
        </w:tc>
        <w:tc>
          <w:tcPr>
            <w:tcW w:w="1503"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b/>
                <w:bCs/>
                <w:color w:val="auto"/>
                <w:kern w:val="0"/>
                <w:sz w:val="32"/>
                <w:szCs w:val="32"/>
              </w:rPr>
            </w:pPr>
            <w:r>
              <w:rPr>
                <w:rFonts w:hint="eastAsia" w:ascii="仿宋_GB2312" w:hAnsi="仿宋_GB2312" w:eastAsia="仿宋_GB2312" w:cs="仿宋_GB2312"/>
                <w:b/>
                <w:bCs/>
                <w:color w:val="auto"/>
                <w:kern w:val="0"/>
                <w:sz w:val="32"/>
                <w:szCs w:val="32"/>
              </w:rPr>
              <w:t>实际得分</w:t>
            </w:r>
          </w:p>
        </w:tc>
      </w:tr>
      <w:tr>
        <w:tblPrEx>
          <w:tblCellMar>
            <w:top w:w="0" w:type="dxa"/>
            <w:left w:w="108" w:type="dxa"/>
            <w:bottom w:w="0" w:type="dxa"/>
            <w:right w:w="108" w:type="dxa"/>
          </w:tblCellMar>
        </w:tblPrEx>
        <w:trPr>
          <w:trHeight w:val="651" w:hRule="exact"/>
        </w:trPr>
        <w:tc>
          <w:tcPr>
            <w:tcW w:w="2220"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社会效益</w:t>
            </w:r>
          </w:p>
        </w:tc>
        <w:tc>
          <w:tcPr>
            <w:tcW w:w="2505" w:type="dxa"/>
            <w:tcBorders>
              <w:top w:val="nil"/>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老年人生活质量</w:t>
            </w:r>
          </w:p>
        </w:tc>
        <w:tc>
          <w:tcPr>
            <w:tcW w:w="1065" w:type="dxa"/>
            <w:tcBorders>
              <w:top w:val="nil"/>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w:t>
            </w:r>
          </w:p>
        </w:tc>
        <w:tc>
          <w:tcPr>
            <w:tcW w:w="1335"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contextualSpacing/>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tc>
        <w:tc>
          <w:tcPr>
            <w:tcW w:w="1503" w:type="dxa"/>
            <w:tcBorders>
              <w:top w:val="nil"/>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ind w:firstLine="640" w:firstLineChars="200"/>
              <w:contextualSpacing/>
              <w:jc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7</w:t>
            </w:r>
          </w:p>
        </w:tc>
      </w:tr>
      <w:tr>
        <w:tblPrEx>
          <w:tblCellMar>
            <w:top w:w="0" w:type="dxa"/>
            <w:left w:w="108" w:type="dxa"/>
            <w:bottom w:w="0" w:type="dxa"/>
            <w:right w:w="108" w:type="dxa"/>
          </w:tblCellMar>
        </w:tblPrEx>
        <w:trPr>
          <w:trHeight w:val="579" w:hRule="exact"/>
        </w:trPr>
        <w:tc>
          <w:tcPr>
            <w:tcW w:w="2220"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生态效益指标</w:t>
            </w:r>
          </w:p>
        </w:tc>
        <w:tc>
          <w:tcPr>
            <w:tcW w:w="2505"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绿化率</w:t>
            </w:r>
          </w:p>
        </w:tc>
        <w:tc>
          <w:tcPr>
            <w:tcW w:w="1065"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w:t>
            </w:r>
          </w:p>
        </w:tc>
        <w:tc>
          <w:tcPr>
            <w:tcW w:w="1335" w:type="dxa"/>
            <w:tcBorders>
              <w:top w:val="single" w:color="auto" w:sz="4" w:space="0"/>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contextualSpacing/>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100%</w:t>
            </w:r>
          </w:p>
        </w:tc>
        <w:tc>
          <w:tcPr>
            <w:tcW w:w="1503"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ind w:firstLine="640" w:firstLineChars="200"/>
              <w:contextualSpacing/>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w:t>
            </w:r>
          </w:p>
        </w:tc>
      </w:tr>
      <w:tr>
        <w:tblPrEx>
          <w:tblCellMar>
            <w:top w:w="0" w:type="dxa"/>
            <w:left w:w="108" w:type="dxa"/>
            <w:bottom w:w="0" w:type="dxa"/>
            <w:right w:w="108" w:type="dxa"/>
          </w:tblCellMar>
        </w:tblPrEx>
        <w:trPr>
          <w:trHeight w:val="1016" w:hRule="exact"/>
        </w:trPr>
        <w:tc>
          <w:tcPr>
            <w:tcW w:w="2220"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服务对象满意度</w:t>
            </w:r>
          </w:p>
        </w:tc>
        <w:tc>
          <w:tcPr>
            <w:tcW w:w="2505"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老年人满意度</w:t>
            </w:r>
          </w:p>
        </w:tc>
        <w:tc>
          <w:tcPr>
            <w:tcW w:w="1065"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w:t>
            </w:r>
          </w:p>
        </w:tc>
        <w:tc>
          <w:tcPr>
            <w:tcW w:w="1335" w:type="dxa"/>
            <w:tcBorders>
              <w:top w:val="single" w:color="auto" w:sz="4" w:space="0"/>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contextualSpacing/>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100%</w:t>
            </w:r>
          </w:p>
        </w:tc>
        <w:tc>
          <w:tcPr>
            <w:tcW w:w="1503"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ind w:firstLine="640" w:firstLineChars="200"/>
              <w:contextualSpacing/>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w:t>
            </w:r>
          </w:p>
        </w:tc>
      </w:tr>
      <w:tr>
        <w:tblPrEx>
          <w:tblCellMar>
            <w:top w:w="0" w:type="dxa"/>
            <w:left w:w="108" w:type="dxa"/>
            <w:bottom w:w="0" w:type="dxa"/>
            <w:right w:w="108" w:type="dxa"/>
          </w:tblCellMar>
        </w:tblPrEx>
        <w:trPr>
          <w:trHeight w:val="595" w:hRule="exact"/>
        </w:trPr>
        <w:tc>
          <w:tcPr>
            <w:tcW w:w="2220"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ind w:firstLine="640" w:firstLineChars="200"/>
              <w:contextualSpacing/>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合  计</w:t>
            </w:r>
          </w:p>
        </w:tc>
        <w:tc>
          <w:tcPr>
            <w:tcW w:w="2505"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ind w:firstLine="640" w:firstLineChars="200"/>
              <w:contextualSpacing/>
              <w:jc w:val="center"/>
              <w:rPr>
                <w:rFonts w:ascii="仿宋_GB2312" w:hAnsi="仿宋_GB2312" w:eastAsia="仿宋_GB2312" w:cs="仿宋_GB2312"/>
                <w:color w:val="auto"/>
                <w:sz w:val="32"/>
                <w:szCs w:val="32"/>
              </w:rPr>
            </w:pPr>
          </w:p>
        </w:tc>
        <w:tc>
          <w:tcPr>
            <w:tcW w:w="1065"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contextualSpacing/>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w:t>
            </w:r>
          </w:p>
        </w:tc>
        <w:tc>
          <w:tcPr>
            <w:tcW w:w="1335" w:type="dxa"/>
            <w:tcBorders>
              <w:top w:val="single" w:color="auto" w:sz="4" w:space="0"/>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contextualSpacing/>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tc>
        <w:tc>
          <w:tcPr>
            <w:tcW w:w="1503"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napToGrid/>
              <w:spacing w:line="560" w:lineRule="exact"/>
              <w:ind w:firstLine="640" w:firstLineChars="200"/>
              <w:contextualSpacing/>
              <w:jc w:val="center"/>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w:t>
            </w:r>
          </w:p>
        </w:tc>
      </w:tr>
    </w:tbl>
    <w:p>
      <w:pPr>
        <w:pageBreakBefore w:val="0"/>
        <w:kinsoku/>
        <w:wordWrap/>
        <w:overflowPunct/>
        <w:topLinePunct w:val="0"/>
        <w:autoSpaceDE/>
        <w:autoSpaceDN/>
        <w:bidi w:val="0"/>
        <w:adjustRightInd/>
        <w:snapToGrid/>
        <w:spacing w:line="560" w:lineRule="exact"/>
        <w:ind w:firstLine="640" w:firstLineChars="200"/>
        <w:contextualSpacing/>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对于“社会效益”，老年人生活质量，预期指标值显著提升，指标完成值</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%，指标完成率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pPr>
        <w:pageBreakBefore w:val="0"/>
        <w:kinsoku/>
        <w:wordWrap/>
        <w:overflowPunct/>
        <w:topLinePunct w:val="0"/>
        <w:autoSpaceDE/>
        <w:autoSpaceDN/>
        <w:bidi w:val="0"/>
        <w:adjustRightInd/>
        <w:snapToGrid/>
        <w:spacing w:line="560" w:lineRule="exact"/>
        <w:ind w:firstLine="640" w:firstLineChars="200"/>
        <w:contextualSpacing/>
        <w:rPr>
          <w:color w:val="auto"/>
        </w:rPr>
      </w:pPr>
      <w:r>
        <w:rPr>
          <w:rFonts w:hint="eastAsia" w:ascii="仿宋_GB2312" w:hAnsi="仿宋_GB2312" w:eastAsia="仿宋_GB2312" w:cs="仿宋_GB2312"/>
          <w:color w:val="auto"/>
          <w:sz w:val="32"/>
          <w:szCs w:val="32"/>
        </w:rPr>
        <w:t>对于“生态效益指标”，绿化率，预期指标值≥21%，指标完成值21%，指标完成率100%；</w:t>
      </w:r>
    </w:p>
    <w:p>
      <w:pPr>
        <w:pageBreakBefore w:val="0"/>
        <w:kinsoku/>
        <w:wordWrap/>
        <w:overflowPunct/>
        <w:topLinePunct w:val="0"/>
        <w:autoSpaceDE/>
        <w:autoSpaceDN/>
        <w:bidi w:val="0"/>
        <w:adjustRightInd/>
        <w:snapToGrid/>
        <w:spacing w:line="560" w:lineRule="exact"/>
        <w:ind w:firstLine="640" w:firstLineChars="200"/>
        <w:contextualSpacing/>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对于“服务对象满意度”，老年人满意度，预期指标值≥90%，指标完成值90%，指标完成率100%；</w:t>
      </w:r>
    </w:p>
    <w:p>
      <w:pPr>
        <w:pageBreakBefore w:val="0"/>
        <w:widowControl/>
        <w:kinsoku/>
        <w:wordWrap/>
        <w:overflowPunct/>
        <w:topLinePunct w:val="0"/>
        <w:autoSpaceDE/>
        <w:autoSpaceDN/>
        <w:bidi w:val="0"/>
        <w:adjustRightInd/>
        <w:snapToGrid/>
        <w:spacing w:line="560" w:lineRule="exact"/>
        <w:ind w:firstLine="640" w:firstLineChars="200"/>
        <w:rPr>
          <w:rFonts w:ascii="黑体" w:hAnsi="黑体" w:eastAsia="黑体" w:cs="黑体"/>
          <w:bCs/>
          <w:color w:val="auto"/>
          <w:sz w:val="32"/>
          <w:szCs w:val="32"/>
        </w:rPr>
      </w:pPr>
      <w:r>
        <w:rPr>
          <w:rFonts w:hint="eastAsia" w:ascii="黑体" w:hAnsi="黑体" w:eastAsia="黑体" w:cs="黑体"/>
          <w:bCs/>
          <w:color w:val="auto"/>
          <w:sz w:val="32"/>
          <w:szCs w:val="32"/>
        </w:rPr>
        <w:t>五、主要经验及做法、存在的问题及原因分析</w:t>
      </w:r>
      <w:bookmarkEnd w:id="13"/>
    </w:p>
    <w:p>
      <w:pPr>
        <w:pageBreakBefore w:val="0"/>
        <w:kinsoku/>
        <w:wordWrap/>
        <w:overflowPunct/>
        <w:topLinePunct w:val="0"/>
        <w:autoSpaceDE/>
        <w:autoSpaceDN/>
        <w:bidi w:val="0"/>
        <w:adjustRightInd/>
        <w:snapToGrid/>
        <w:spacing w:line="560" w:lineRule="exact"/>
        <w:ind w:firstLine="643" w:firstLineChars="200"/>
        <w:rPr>
          <w:rFonts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（一）主要经验及做法</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ageBreakBefore w:val="0"/>
        <w:kinsoku/>
        <w:wordWrap/>
        <w:overflowPunct/>
        <w:topLinePunct w:val="0"/>
        <w:autoSpaceDE/>
        <w:autoSpaceDN/>
        <w:bidi w:val="0"/>
        <w:adjustRightInd/>
        <w:snapToGrid/>
        <w:spacing w:line="560" w:lineRule="exact"/>
        <w:ind w:firstLine="640" w:firstLineChars="200"/>
        <w:rPr>
          <w:color w:val="auto"/>
        </w:rPr>
      </w:pPr>
      <w:r>
        <w:rPr>
          <w:rFonts w:hint="eastAsia" w:ascii="仿宋_GB2312" w:hAnsi="仿宋_GB2312" w:eastAsia="仿宋_GB2312" w:cs="仿宋_GB2312"/>
          <w:color w:val="auto"/>
          <w:sz w:val="32"/>
          <w:szCs w:val="32"/>
        </w:rPr>
        <w:t>严格坚持先做事、后验收、再拨付的原则，基本杜绝了资金被挤占和挪用现象的发生，跟踪检查到位。做到项目手续完备、资料齐全、专款专用、专人负责、账目清楚。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kinsoku/>
        <w:wordWrap/>
        <w:overflowPunct/>
        <w:topLinePunct w:val="0"/>
        <w:autoSpaceDE/>
        <w:autoSpaceDN/>
        <w:bidi w:val="0"/>
        <w:adjustRightInd/>
        <w:snapToGrid/>
        <w:spacing w:line="560" w:lineRule="exact"/>
        <w:ind w:firstLine="643" w:firstLineChars="200"/>
        <w:rPr>
          <w:rFonts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（二）</w:t>
      </w:r>
      <w:r>
        <w:rPr>
          <w:rFonts w:hint="eastAsia" w:ascii="楷体_GB2312" w:hAnsi="楷体_GB2312" w:eastAsia="楷体_GB2312" w:cs="楷体_GB2312"/>
          <w:b/>
          <w:bCs/>
          <w:color w:val="auto"/>
          <w:sz w:val="32"/>
          <w:szCs w:val="32"/>
        </w:rPr>
        <w:fldChar w:fldCharType="begin">
          <w:fldData xml:space="preserve">QQA1AEIARQA1AEEAMQAwAEEAQwBBADIANAA4ADkAQwA5ADIAMAA1AEQANwBEADcAMQBBADMARQA2
ADAAQgBFAA==
</w:fldData>
        </w:fldChar>
      </w:r>
      <w:r>
        <w:rPr>
          <w:rFonts w:hint="eastAsia" w:ascii="楷体_GB2312" w:hAnsi="楷体_GB2312" w:eastAsia="楷体_GB2312" w:cs="楷体_GB2312"/>
          <w:b/>
          <w:bCs/>
          <w:color w:val="auto"/>
          <w:sz w:val="32"/>
          <w:szCs w:val="32"/>
        </w:rPr>
        <w:instrText xml:space="preserve">Addin (二)主要经验及做法、存在问题</w:instrText>
      </w:r>
      <w:r>
        <w:rPr>
          <w:rFonts w:hint="eastAsia" w:ascii="楷体_GB2312" w:hAnsi="楷体_GB2312" w:eastAsia="楷体_GB2312" w:cs="楷体_GB2312"/>
          <w:b/>
          <w:bCs/>
          <w:color w:val="auto"/>
          <w:sz w:val="32"/>
          <w:szCs w:val="32"/>
        </w:rPr>
        <w:fldChar w:fldCharType="separate"/>
      </w:r>
      <w:r>
        <w:rPr>
          <w:rFonts w:hint="eastAsia" w:ascii="楷体_GB2312" w:hAnsi="楷体_GB2312" w:eastAsia="楷体_GB2312" w:cs="楷体_GB2312"/>
          <w:b/>
          <w:bCs/>
          <w:color w:val="auto"/>
          <w:sz w:val="32"/>
          <w:szCs w:val="32"/>
        </w:rPr>
        <w:t>存在的问题及原因分析</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1、存在问题：项目绩效管理缺乏经验，绩效系统性整体性较弱化，有待强化。</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2、原因分析：在项目具体执行过程往往只重视预算执行情况，忽视产出和效果，项目实施过程中需提供行之有效的绩效管理办法和评价机制。</w:t>
      </w:r>
    </w:p>
    <w:p>
      <w:pPr>
        <w:pageBreakBefore w:val="0"/>
        <w:kinsoku/>
        <w:wordWrap/>
        <w:overflowPunct/>
        <w:topLinePunct w:val="0"/>
        <w:autoSpaceDE/>
        <w:autoSpaceDN/>
        <w:bidi w:val="0"/>
        <w:adjustRightInd/>
        <w:snapToGrid/>
        <w:spacing w:line="560" w:lineRule="exact"/>
        <w:rPr>
          <w:rFonts w:ascii="黑体" w:hAnsi="黑体" w:eastAsia="黑体" w:cs="黑体"/>
          <w:bCs/>
          <w:color w:val="auto"/>
          <w:sz w:val="32"/>
          <w:szCs w:val="32"/>
        </w:rPr>
      </w:pPr>
      <w:r>
        <w:rPr>
          <w:rFonts w:hint="eastAsia" w:ascii="楷体_GB2312" w:hAnsi="楷体_GB2312" w:eastAsia="楷体_GB2312" w:cs="楷体_GB2312"/>
          <w:b/>
          <w:bCs/>
          <w:color w:val="auto"/>
          <w:sz w:val="32"/>
          <w:szCs w:val="32"/>
        </w:rPr>
        <w:fldChar w:fldCharType="end"/>
      </w:r>
      <w:bookmarkStart w:id="14" w:name="_Toc19772_WPSOffice_Level1"/>
      <w:r>
        <w:rPr>
          <w:rFonts w:hint="eastAsia" w:ascii="楷体_GB2312" w:hAnsi="楷体_GB2312" w:eastAsia="楷体_GB2312" w:cs="楷体_GB2312"/>
          <w:b/>
          <w:bCs/>
          <w:color w:val="auto"/>
          <w:sz w:val="32"/>
          <w:szCs w:val="32"/>
          <w:lang w:val="en-US" w:eastAsia="zh-CN"/>
        </w:rPr>
        <w:t xml:space="preserve">  </w:t>
      </w:r>
      <w:r>
        <w:rPr>
          <w:rFonts w:hint="eastAsia" w:ascii="黑体" w:hAnsi="黑体" w:eastAsia="黑体" w:cs="黑体"/>
          <w:bCs/>
          <w:color w:val="auto"/>
          <w:sz w:val="32"/>
          <w:szCs w:val="32"/>
        </w:rPr>
        <w:t>六、有关建议</w:t>
      </w:r>
      <w:bookmarkEnd w:id="14"/>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bookmarkStart w:id="15" w:name="_Toc1432_WPSOffice_Level1"/>
      <w:r>
        <w:rPr>
          <w:rFonts w:hint="eastAsia" w:ascii="仿宋_GB2312" w:hAnsi="仿宋_GB2312" w:eastAsia="仿宋_GB2312" w:cs="仿宋_GB2312"/>
          <w:color w:val="auto"/>
          <w:sz w:val="32"/>
          <w:szCs w:val="32"/>
        </w:rPr>
        <w:t xml:space="preserve">1、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2"/>
          <w:szCs w:val="32"/>
        </w:rPr>
        <w:t>2、财政和项目实施单位严格实行“三专”管理，即设专户、建专账、定专人。同时，资金拨付除坚持按项目计划、工程进度和质量分阶段验收拨款外，还坚持部门联审制，项目单位先做事、后报账，从而确保专项资金专款专用，有效地防止了截留、挤占和挪用。</w:t>
      </w:r>
    </w:p>
    <w:p>
      <w:pPr>
        <w:pageBreakBefore w:val="0"/>
        <w:kinsoku/>
        <w:wordWrap/>
        <w:overflowPunct/>
        <w:topLinePunct w:val="0"/>
        <w:autoSpaceDE/>
        <w:autoSpaceDN/>
        <w:bidi w:val="0"/>
        <w:adjustRightInd/>
        <w:snapToGrid/>
        <w:spacing w:line="560" w:lineRule="exact"/>
        <w:ind w:firstLine="640" w:firstLineChars="200"/>
        <w:rPr>
          <w:rFonts w:ascii="黑体" w:hAnsi="黑体" w:eastAsia="黑体" w:cs="黑体"/>
          <w:bCs/>
          <w:color w:val="auto"/>
          <w:sz w:val="32"/>
          <w:szCs w:val="32"/>
        </w:rPr>
      </w:pPr>
      <w:r>
        <w:rPr>
          <w:rFonts w:hint="eastAsia" w:ascii="黑体" w:hAnsi="黑体" w:eastAsia="黑体" w:cs="黑体"/>
          <w:bCs/>
          <w:color w:val="auto"/>
          <w:sz w:val="32"/>
          <w:szCs w:val="32"/>
        </w:rPr>
        <w:t>七、其他需要说明的问题</w:t>
      </w:r>
      <w:bookmarkEnd w:id="15"/>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无。</w:t>
      </w:r>
    </w:p>
    <w:p>
      <w:pPr>
        <w:pStyle w:val="2"/>
        <w:pageBreakBefore w:val="0"/>
        <w:kinsoku/>
        <w:wordWrap/>
        <w:overflowPunct/>
        <w:topLinePunct w:val="0"/>
        <w:autoSpaceDE/>
        <w:autoSpaceDN/>
        <w:bidi w:val="0"/>
        <w:adjustRightInd/>
        <w:snapToGrid/>
        <w:spacing w:before="0" w:after="0" w:line="560" w:lineRule="exact"/>
        <w:rPr>
          <w:rFonts w:ascii="仿宋_GB2312" w:hAnsi="仿宋_GB2312" w:eastAsia="仿宋_GB2312" w:cs="仿宋_GB2312"/>
          <w:color w:val="auto"/>
        </w:rPr>
      </w:pPr>
    </w:p>
    <w:p>
      <w:pPr>
        <w:rPr>
          <w:rFonts w:ascii="仿宋_GB2312" w:hAnsi="仿宋_GB2312" w:eastAsia="仿宋_GB2312" w:cs="仿宋_GB2312"/>
          <w:color w:val="auto"/>
        </w:rPr>
      </w:pPr>
    </w:p>
    <w:p>
      <w:pPr>
        <w:pStyle w:val="2"/>
        <w:rPr>
          <w:rFonts w:ascii="仿宋_GB2312" w:hAnsi="仿宋_GB2312" w:eastAsia="仿宋_GB2312" w:cs="仿宋_GB2312"/>
          <w:color w:val="auto"/>
        </w:rPr>
      </w:pPr>
    </w:p>
    <w:p>
      <w:pPr>
        <w:rPr>
          <w:rFonts w:ascii="仿宋_GB2312" w:hAnsi="仿宋_GB2312" w:eastAsia="仿宋_GB2312" w:cs="仿宋_GB2312"/>
          <w:color w:val="auto"/>
        </w:rPr>
      </w:pPr>
    </w:p>
    <w:p>
      <w:pPr>
        <w:pStyle w:val="2"/>
        <w:rPr>
          <w:rFonts w:ascii="仿宋_GB2312" w:hAnsi="仿宋_GB2312" w:eastAsia="仿宋_GB2312" w:cs="仿宋_GB2312"/>
          <w:color w:val="auto"/>
        </w:rPr>
      </w:pPr>
    </w:p>
    <w:p>
      <w:pPr>
        <w:rPr>
          <w:rFonts w:ascii="仿宋_GB2312" w:hAnsi="仿宋_GB2312" w:eastAsia="仿宋_GB2312" w:cs="仿宋_GB2312"/>
          <w:color w:val="auto"/>
        </w:rPr>
      </w:pPr>
    </w:p>
    <w:p>
      <w:pPr>
        <w:pStyle w:val="2"/>
        <w:rPr>
          <w:rFonts w:ascii="仿宋_GB2312" w:hAnsi="仿宋_GB2312" w:eastAsia="仿宋_GB2312" w:cs="仿宋_GB2312"/>
          <w:color w:val="auto"/>
        </w:rPr>
      </w:pPr>
    </w:p>
    <w:p>
      <w:pPr>
        <w:rPr>
          <w:rFonts w:ascii="仿宋_GB2312" w:hAnsi="仿宋_GB2312" w:eastAsia="仿宋_GB2312" w:cs="仿宋_GB2312"/>
          <w:color w:val="auto"/>
        </w:rPr>
      </w:pPr>
    </w:p>
    <w:p>
      <w:pPr>
        <w:pStyle w:val="2"/>
        <w:rPr>
          <w:rFonts w:ascii="仿宋_GB2312" w:hAnsi="仿宋_GB2312" w:eastAsia="仿宋_GB2312" w:cs="仿宋_GB2312"/>
          <w:color w:val="auto"/>
        </w:rPr>
      </w:pPr>
    </w:p>
    <w:p>
      <w:pPr>
        <w:rPr>
          <w:rFonts w:ascii="仿宋_GB2312" w:hAnsi="仿宋_GB2312" w:eastAsia="仿宋_GB2312" w:cs="仿宋_GB2312"/>
          <w:color w:val="auto"/>
        </w:rPr>
      </w:pPr>
    </w:p>
    <w:p>
      <w:pPr>
        <w:pStyle w:val="2"/>
        <w:rPr>
          <w:rFonts w:ascii="仿宋_GB2312" w:hAnsi="仿宋_GB2312" w:eastAsia="仿宋_GB2312" w:cs="仿宋_GB2312"/>
          <w:color w:val="auto"/>
        </w:rPr>
      </w:pPr>
    </w:p>
    <w:p>
      <w:pPr>
        <w:rPr>
          <w:rFonts w:ascii="仿宋_GB2312" w:hAnsi="仿宋_GB2312" w:eastAsia="仿宋_GB2312" w:cs="仿宋_GB2312"/>
          <w:color w:val="auto"/>
        </w:rPr>
      </w:pPr>
    </w:p>
    <w:p>
      <w:pPr>
        <w:pStyle w:val="2"/>
        <w:rPr>
          <w:color w:val="auto"/>
        </w:rPr>
      </w:pPr>
    </w:p>
    <w:p>
      <w:pPr>
        <w:pageBreakBefore w:val="0"/>
        <w:kinsoku/>
        <w:wordWrap/>
        <w:overflowPunct/>
        <w:topLinePunct w:val="0"/>
        <w:autoSpaceDE/>
        <w:autoSpaceDN/>
        <w:bidi w:val="0"/>
        <w:adjustRightInd/>
        <w:snapToGrid/>
        <w:spacing w:line="560" w:lineRule="exact"/>
        <w:rPr>
          <w:color w:val="auto"/>
        </w:rPr>
      </w:pPr>
    </w:p>
    <w:p>
      <w:pPr>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color w:val="auto"/>
          <w:kern w:val="0"/>
          <w:sz w:val="32"/>
          <w:szCs w:val="32"/>
          <w:lang w:bidi="ar"/>
        </w:rPr>
      </w:pPr>
      <w:r>
        <w:rPr>
          <w:rFonts w:hint="eastAsia" w:ascii="宋体" w:hAnsi="宋体" w:cs="宋体"/>
          <w:b/>
          <w:color w:val="auto"/>
          <w:kern w:val="0"/>
          <w:sz w:val="32"/>
          <w:szCs w:val="32"/>
          <w:lang w:bidi="ar"/>
        </w:rPr>
        <w:br w:type="page"/>
      </w:r>
    </w:p>
    <w:tbl>
      <w:tblPr>
        <w:tblStyle w:val="11"/>
        <w:tblW w:w="9450" w:type="dxa"/>
        <w:tblInd w:w="0" w:type="dxa"/>
        <w:shd w:val="clear" w:color="auto" w:fill="auto"/>
        <w:tblLayout w:type="fixed"/>
        <w:tblCellMar>
          <w:top w:w="0" w:type="dxa"/>
          <w:left w:w="0" w:type="dxa"/>
          <w:bottom w:w="0" w:type="dxa"/>
          <w:right w:w="0" w:type="dxa"/>
        </w:tblCellMar>
      </w:tblPr>
      <w:tblGrid>
        <w:gridCol w:w="840"/>
        <w:gridCol w:w="840"/>
        <w:gridCol w:w="1380"/>
        <w:gridCol w:w="840"/>
        <w:gridCol w:w="840"/>
        <w:gridCol w:w="840"/>
        <w:gridCol w:w="1170"/>
        <w:gridCol w:w="840"/>
        <w:gridCol w:w="1860"/>
      </w:tblGrid>
      <w:tr>
        <w:tblPrEx>
          <w:shd w:val="clear" w:color="auto" w:fill="auto"/>
          <w:tblCellMar>
            <w:top w:w="0" w:type="dxa"/>
            <w:left w:w="0" w:type="dxa"/>
            <w:bottom w:w="0" w:type="dxa"/>
            <w:right w:w="0" w:type="dxa"/>
          </w:tblCellMar>
        </w:tblPrEx>
        <w:trPr>
          <w:trHeight w:val="440" w:hRule="atLeast"/>
        </w:trPr>
        <w:tc>
          <w:tcPr>
            <w:tcW w:w="945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方正小标宋_GBK" w:hAnsi="方正小标宋_GBK" w:eastAsia="方正小标宋_GBK" w:cs="方正小标宋_GBK"/>
                <w:b w:val="0"/>
                <w:bCs/>
                <w:i w:val="0"/>
                <w:color w:val="000000"/>
                <w:kern w:val="0"/>
                <w:sz w:val="40"/>
                <w:szCs w:val="40"/>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40" w:hRule="atLeast"/>
        </w:trPr>
        <w:tc>
          <w:tcPr>
            <w:tcW w:w="945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44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7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地区卫健委老年活动中心</w:t>
            </w:r>
          </w:p>
        </w:tc>
      </w:tr>
      <w:tr>
        <w:tblPrEx>
          <w:shd w:val="clear" w:color="auto" w:fill="auto"/>
          <w:tblCellMar>
            <w:top w:w="0" w:type="dxa"/>
            <w:left w:w="0" w:type="dxa"/>
            <w:bottom w:w="0" w:type="dxa"/>
            <w:right w:w="0" w:type="dxa"/>
          </w:tblCellMar>
        </w:tblPrEx>
        <w:trPr>
          <w:trHeight w:val="44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07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塔城地区卫生健康委员会</w:t>
            </w:r>
          </w:p>
        </w:tc>
      </w:tr>
      <w:tr>
        <w:tblPrEx>
          <w:shd w:val="clear" w:color="auto" w:fill="auto"/>
          <w:tblCellMar>
            <w:top w:w="0" w:type="dxa"/>
            <w:left w:w="0" w:type="dxa"/>
            <w:bottom w:w="0" w:type="dxa"/>
            <w:right w:w="0" w:type="dxa"/>
          </w:tblCellMar>
        </w:tblPrEx>
        <w:trPr>
          <w:trHeight w:val="44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440" w:hRule="atLeast"/>
        </w:trPr>
        <w:tc>
          <w:tcPr>
            <w:tcW w:w="16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443.39</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443.39</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70.53</w:t>
            </w:r>
          </w:p>
        </w:tc>
        <w:tc>
          <w:tcPr>
            <w:tcW w:w="1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15.91%</w:t>
            </w:r>
          </w:p>
        </w:tc>
      </w:tr>
      <w:tr>
        <w:tblPrEx>
          <w:shd w:val="clear" w:color="auto" w:fill="auto"/>
          <w:tblCellMar>
            <w:top w:w="0" w:type="dxa"/>
            <w:left w:w="0" w:type="dxa"/>
            <w:bottom w:w="0" w:type="dxa"/>
            <w:right w:w="0" w:type="dxa"/>
          </w:tblCellMar>
        </w:tblPrEx>
        <w:trPr>
          <w:trHeight w:val="440"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443.39</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443.39</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70.53</w:t>
            </w:r>
          </w:p>
        </w:tc>
        <w:tc>
          <w:tcPr>
            <w:tcW w:w="1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40"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40"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40"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91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11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91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目标1：预计门卫室面积25.6平方米</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目标2：预计绿化面积1200平方米</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目标3：预计安装视频2个</w:t>
            </w: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目标1：预计门卫室面积25.6平方米</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目标2：预计绿化面积1200平方米</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目标3：预计安装视频2个</w:t>
            </w:r>
          </w:p>
        </w:tc>
      </w:tr>
      <w:tr>
        <w:tblPrEx>
          <w:shd w:val="clear" w:color="auto" w:fill="auto"/>
          <w:tblCellMar>
            <w:top w:w="0" w:type="dxa"/>
            <w:left w:w="0" w:type="dxa"/>
            <w:bottom w:w="0" w:type="dxa"/>
            <w:right w:w="0" w:type="dxa"/>
          </w:tblCellMar>
        </w:tblPrEx>
        <w:trPr>
          <w:trHeight w:val="440"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8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4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440"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门卫室面积</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=1座</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1座</w:t>
            </w:r>
          </w:p>
        </w:tc>
        <w:tc>
          <w:tcPr>
            <w:tcW w:w="1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4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车库</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=1座</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1座</w:t>
            </w:r>
          </w:p>
        </w:tc>
        <w:tc>
          <w:tcPr>
            <w:tcW w:w="1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4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总建筑面积</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≥7970.3平方米</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7970.3平方米</w:t>
            </w:r>
          </w:p>
        </w:tc>
        <w:tc>
          <w:tcPr>
            <w:tcW w:w="1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4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分部工程验收合格率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4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设备购置合格率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工程计量拨款及时率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平均单位工程造价</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≥0.1万元/平方米</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0.1万元平方米</w:t>
            </w:r>
          </w:p>
        </w:tc>
        <w:tc>
          <w:tcPr>
            <w:tcW w:w="1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老年人生活质量</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显著提升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绿化率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w:t>
            </w:r>
          </w:p>
        </w:tc>
        <w:tc>
          <w:tcPr>
            <w:tcW w:w="1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增加当地老年人的幸福感</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中长期</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老年人满意率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Pr>
        <w:pageBreakBefore w:val="0"/>
        <w:kinsoku/>
        <w:wordWrap/>
        <w:overflowPunct/>
        <w:topLinePunct w:val="0"/>
        <w:autoSpaceDE/>
        <w:autoSpaceDN/>
        <w:bidi w:val="0"/>
        <w:adjustRightInd/>
        <w:snapToGrid/>
        <w:spacing w:line="560" w:lineRule="exact"/>
        <w:rPr>
          <w:color w:val="auto"/>
        </w:rPr>
        <w:sectPr>
          <w:footerReference r:id="rId5" w:type="default"/>
          <w:footerReference r:id="rId6" w:type="even"/>
          <w:pgSz w:w="11906" w:h="16838"/>
          <w:pgMar w:top="2098" w:right="1531" w:bottom="1985" w:left="1531" w:header="851" w:footer="992" w:gutter="0"/>
          <w:pgNumType w:fmt="numberInDash" w:start="0"/>
          <w:cols w:space="720" w:num="1"/>
          <w:docGrid w:type="lines" w:linePitch="579" w:charSpace="-1675"/>
        </w:sectPr>
      </w:pPr>
    </w:p>
    <w:p>
      <w:pPr>
        <w:pageBreakBefore w:val="0"/>
        <w:kinsoku/>
        <w:wordWrap/>
        <w:overflowPunct/>
        <w:topLinePunct w:val="0"/>
        <w:autoSpaceDE/>
        <w:autoSpaceDN/>
        <w:bidi w:val="0"/>
        <w:adjustRightInd/>
        <w:snapToGrid/>
        <w:spacing w:line="560" w:lineRule="exact"/>
        <w:rPr>
          <w:rFonts w:ascii="仿宋_GB2312"/>
          <w:bCs/>
          <w:color w:val="auto"/>
          <w:sz w:val="36"/>
          <w:szCs w:val="36"/>
        </w:rPr>
      </w:pPr>
      <w:r>
        <w:rPr>
          <w:rFonts w:hint="eastAsia" w:ascii="仿宋_GB2312"/>
          <w:bCs/>
          <w:color w:val="auto"/>
          <w:sz w:val="36"/>
          <w:szCs w:val="36"/>
        </w:rPr>
        <w:t>附件1</w:t>
      </w:r>
    </w:p>
    <w:tbl>
      <w:tblPr>
        <w:tblStyle w:val="11"/>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auto"/>
                <w:kern w:val="0"/>
                <w:sz w:val="15"/>
                <w:szCs w:val="15"/>
              </w:rPr>
            </w:pPr>
            <w:r>
              <w:rPr>
                <w:rFonts w:hint="eastAsia" w:ascii="宋体" w:hAnsi="宋体" w:cs="宋体"/>
                <w:b/>
                <w:bCs/>
                <w:color w:val="auto"/>
                <w:kern w:val="0"/>
                <w:sz w:val="15"/>
                <w:szCs w:val="15"/>
              </w:rPr>
              <w:t>一级指标</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auto"/>
                <w:kern w:val="0"/>
                <w:sz w:val="15"/>
                <w:szCs w:val="15"/>
              </w:rPr>
            </w:pPr>
            <w:r>
              <w:rPr>
                <w:rFonts w:hint="eastAsia" w:ascii="宋体" w:hAnsi="宋体" w:cs="宋体"/>
                <w:b/>
                <w:bCs/>
                <w:color w:val="auto"/>
                <w:kern w:val="0"/>
                <w:sz w:val="15"/>
                <w:szCs w:val="15"/>
              </w:rPr>
              <w:t>二级指标</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auto"/>
                <w:kern w:val="0"/>
                <w:sz w:val="15"/>
                <w:szCs w:val="15"/>
              </w:rPr>
            </w:pPr>
            <w:r>
              <w:rPr>
                <w:rFonts w:hint="eastAsia" w:ascii="宋体" w:hAnsi="宋体" w:cs="宋体"/>
                <w:b/>
                <w:bCs/>
                <w:color w:val="auto"/>
                <w:kern w:val="0"/>
                <w:sz w:val="15"/>
                <w:szCs w:val="15"/>
              </w:rPr>
              <w:t>三级指标</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auto"/>
                <w:kern w:val="0"/>
                <w:sz w:val="15"/>
                <w:szCs w:val="15"/>
              </w:rPr>
            </w:pPr>
            <w:r>
              <w:rPr>
                <w:rFonts w:hint="eastAsia" w:ascii="宋体" w:hAnsi="宋体" w:cs="宋体"/>
                <w:b/>
                <w:bCs/>
                <w:color w:val="auto"/>
                <w:kern w:val="0"/>
                <w:sz w:val="15"/>
                <w:szCs w:val="15"/>
              </w:rPr>
              <w:t>指标解释</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auto"/>
                <w:kern w:val="0"/>
                <w:sz w:val="15"/>
                <w:szCs w:val="15"/>
              </w:rPr>
            </w:pPr>
            <w:r>
              <w:rPr>
                <w:rFonts w:hint="eastAsia" w:ascii="宋体" w:hAnsi="宋体" w:cs="宋体"/>
                <w:b/>
                <w:bCs/>
                <w:color w:val="auto"/>
                <w:kern w:val="0"/>
                <w:sz w:val="15"/>
                <w:szCs w:val="15"/>
              </w:rPr>
              <w:t>指标说明</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auto"/>
                <w:kern w:val="0"/>
                <w:sz w:val="15"/>
                <w:szCs w:val="15"/>
              </w:rPr>
            </w:pPr>
            <w:r>
              <w:rPr>
                <w:rFonts w:hint="eastAsia" w:ascii="宋体" w:hAnsi="宋体" w:cs="宋体"/>
                <w:b/>
                <w:bCs/>
                <w:color w:val="auto"/>
                <w:kern w:val="0"/>
                <w:sz w:val="15"/>
                <w:szCs w:val="15"/>
              </w:rPr>
              <w:t>权重</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auto"/>
                <w:kern w:val="0"/>
                <w:sz w:val="15"/>
                <w:szCs w:val="15"/>
              </w:rPr>
            </w:pPr>
            <w:r>
              <w:rPr>
                <w:rFonts w:hint="eastAsia" w:ascii="宋体" w:hAnsi="宋体" w:cs="宋体"/>
                <w:b/>
                <w:bCs/>
                <w:color w:val="auto"/>
                <w:kern w:val="0"/>
                <w:sz w:val="15"/>
                <w:szCs w:val="15"/>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决策　</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　</w:t>
            </w:r>
          </w:p>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　</w:t>
            </w: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项目立项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立项依据</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充分性</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项目立项是否符合法律法规、相关政策、发展规划以及部门职责，用以反映和考核项目立项依据情况。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ascii="宋体" w:hAnsi="宋体" w:cs="宋体"/>
                <w:color w:val="auto"/>
                <w:kern w:val="0"/>
                <w:sz w:val="15"/>
                <w:szCs w:val="15"/>
              </w:rPr>
            </w:pPr>
            <w:r>
              <w:rPr>
                <w:rFonts w:hint="eastAsia" w:ascii="宋体" w:hAnsi="宋体" w:cs="宋体"/>
                <w:color w:val="auto"/>
                <w:kern w:val="0"/>
                <w:sz w:val="15"/>
                <w:szCs w:val="15"/>
              </w:rPr>
              <w:t>评价要点：</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①项目立项是否符合国家法律法规、国民经济发展规划和相关政策；</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②项目立项是否符合行业发展规划和政策要求；</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③项目立项是否与部门职责范围相符，属于部门履职所需；</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④项目是否属于公共财政支持范围，是否符合中央、地方事权支出责任划分原则；</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⑤项目是否与相关部门同类项目或部门内部相关项目重复。</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ascii="宋体" w:hAnsi="宋体" w:cs="宋体"/>
                <w:color w:val="auto"/>
                <w:kern w:val="0"/>
                <w:sz w:val="15"/>
                <w:szCs w:val="15"/>
              </w:rPr>
            </w:pPr>
            <w:r>
              <w:rPr>
                <w:rFonts w:hint="eastAsia" w:ascii="宋体" w:hAnsi="宋体" w:cs="宋体"/>
                <w:color w:val="auto"/>
                <w:kern w:val="0"/>
                <w:sz w:val="15"/>
                <w:szCs w:val="15"/>
              </w:rPr>
              <w:t>0.5</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ascii="宋体" w:hAnsi="宋体" w:cs="宋体"/>
                <w:color w:val="auto"/>
                <w:kern w:val="0"/>
                <w:sz w:val="15"/>
                <w:szCs w:val="15"/>
              </w:rPr>
            </w:pPr>
            <w:r>
              <w:rPr>
                <w:rFonts w:hint="eastAsia" w:ascii="宋体" w:hAnsi="宋体" w:cs="宋体"/>
                <w:color w:val="auto"/>
                <w:kern w:val="0"/>
                <w:sz w:val="15"/>
                <w:szCs w:val="15"/>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p>
        </w:tc>
        <w:tc>
          <w:tcPr>
            <w:tcW w:w="76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立项程序</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规范性</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项目申请、设立过程是否符合相关要求，用以反映和考核项目立项的规范情况。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ascii="宋体" w:hAnsi="宋体" w:cs="宋体"/>
                <w:color w:val="auto"/>
                <w:kern w:val="0"/>
                <w:sz w:val="15"/>
                <w:szCs w:val="15"/>
              </w:rPr>
            </w:pPr>
            <w:r>
              <w:rPr>
                <w:rFonts w:hint="eastAsia" w:ascii="宋体" w:hAnsi="宋体" w:cs="宋体"/>
                <w:color w:val="auto"/>
                <w:kern w:val="0"/>
                <w:sz w:val="15"/>
                <w:szCs w:val="15"/>
              </w:rPr>
              <w:t>评价要点：</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①项目是否按照规定的程序申请设立；</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②审批文件、材料是否符合相关要求；</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③事前是否已经过必要的可行性研究、专家论证、风险评估、绩效评估、集体决策。</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ascii="宋体" w:hAnsi="宋体" w:cs="宋体"/>
                <w:color w:val="auto"/>
                <w:kern w:val="0"/>
                <w:sz w:val="15"/>
                <w:szCs w:val="15"/>
              </w:rPr>
            </w:pPr>
            <w:r>
              <w:rPr>
                <w:rFonts w:hint="eastAsia" w:ascii="宋体" w:hAnsi="宋体" w:cs="宋体"/>
                <w:color w:val="auto"/>
                <w:kern w:val="0"/>
                <w:sz w:val="15"/>
                <w:szCs w:val="15"/>
              </w:rPr>
              <w:t>0.5</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ascii="宋体" w:hAnsi="宋体" w:cs="宋体"/>
                <w:color w:val="auto"/>
                <w:kern w:val="0"/>
                <w:sz w:val="15"/>
                <w:szCs w:val="15"/>
              </w:rPr>
            </w:pPr>
            <w:r>
              <w:rPr>
                <w:rFonts w:hint="eastAsia" w:ascii="宋体" w:hAnsi="宋体" w:cs="宋体"/>
                <w:color w:val="auto"/>
                <w:kern w:val="0"/>
                <w:sz w:val="15"/>
                <w:szCs w:val="15"/>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绩效目标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绩效目标</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合理性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项目所设定的绩效目标是否依据充分，是否符合客观实际，用以反映和考核项目绩效目标与项目实施的相符情况。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left"/>
              <w:rPr>
                <w:rFonts w:ascii="宋体" w:hAnsi="宋体" w:cs="宋体"/>
                <w:color w:val="auto"/>
                <w:kern w:val="0"/>
                <w:sz w:val="15"/>
                <w:szCs w:val="15"/>
              </w:rPr>
            </w:pPr>
            <w:r>
              <w:rPr>
                <w:rFonts w:hint="eastAsia" w:ascii="宋体" w:hAnsi="宋体" w:cs="宋体"/>
                <w:color w:val="auto"/>
                <w:kern w:val="0"/>
                <w:sz w:val="15"/>
                <w:szCs w:val="15"/>
              </w:rPr>
              <w:t>评价要点：</w:t>
            </w:r>
            <w:r>
              <w:rPr>
                <w:rFonts w:hint="eastAsia" w:ascii="宋体" w:hAnsi="宋体" w:cs="宋体"/>
                <w:color w:val="auto"/>
                <w:kern w:val="0"/>
                <w:sz w:val="15"/>
                <w:szCs w:val="15"/>
              </w:rPr>
              <w:br w:type="textWrapping"/>
            </w:r>
            <w:r>
              <w:rPr>
                <w:rFonts w:hint="eastAsia" w:ascii="宋体" w:hAnsi="宋体" w:cs="宋体"/>
                <w:color w:val="auto"/>
                <w:kern w:val="0"/>
                <w:sz w:val="15"/>
                <w:szCs w:val="15"/>
              </w:rPr>
              <w:t>（如未设定预算绩效目标，也可考核其他工作任务目标）</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①项目是否有绩效目标；</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②项目绩效目标与实际工作内容是否具有相关性；</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jc w:val="left"/>
              <w:rPr>
                <w:rFonts w:ascii="宋体" w:hAnsi="宋体" w:cs="宋体"/>
                <w:color w:val="auto"/>
                <w:kern w:val="0"/>
                <w:sz w:val="15"/>
                <w:szCs w:val="15"/>
              </w:rPr>
            </w:pPr>
            <w:r>
              <w:rPr>
                <w:rFonts w:hint="eastAsia" w:ascii="宋体" w:hAnsi="宋体" w:cs="宋体"/>
                <w:color w:val="auto"/>
                <w:kern w:val="0"/>
                <w:sz w:val="15"/>
                <w:szCs w:val="15"/>
              </w:rPr>
              <w:t>④是否与预算确定的项目投资额或资金量相匹配。</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left"/>
              <w:rPr>
                <w:rFonts w:hint="eastAsia" w:ascii="宋体" w:hAnsi="宋体" w:eastAsia="宋体" w:cs="宋体"/>
                <w:color w:val="auto"/>
                <w:kern w:val="0"/>
                <w:sz w:val="15"/>
                <w:szCs w:val="15"/>
                <w:lang w:eastAsia="zh-CN"/>
              </w:rPr>
            </w:pPr>
            <w:r>
              <w:rPr>
                <w:rFonts w:hint="eastAsia" w:ascii="宋体" w:hAnsi="宋体" w:cs="宋体"/>
                <w:color w:val="auto"/>
                <w:kern w:val="0"/>
                <w:sz w:val="15"/>
                <w:szCs w:val="15"/>
                <w:lang w:val="en-US" w:eastAsia="zh-CN"/>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left"/>
              <w:rPr>
                <w:rFonts w:hint="eastAsia" w:ascii="宋体" w:hAnsi="宋体" w:eastAsia="宋体" w:cs="宋体"/>
                <w:color w:val="auto"/>
                <w:kern w:val="0"/>
                <w:sz w:val="15"/>
                <w:szCs w:val="15"/>
                <w:lang w:eastAsia="zh-CN"/>
              </w:rPr>
            </w:pPr>
            <w:r>
              <w:rPr>
                <w:rFonts w:hint="eastAsia" w:ascii="宋体" w:hAnsi="宋体" w:cs="宋体"/>
                <w:color w:val="auto"/>
                <w:kern w:val="0"/>
                <w:sz w:val="15"/>
                <w:szCs w:val="15"/>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7"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决策　</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绩效目标</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绩效指标</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明确性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依据绩效目标设定的绩效指标是否清晰、细化、可衡量等，用以反映和考核项目绩效目标的明细化情况。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评价要点：</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①是否将项目绩效目标细化分解为具体的绩效指标；</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②是否通过清晰、可衡量的指标值予以体现；</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③是否与项目目标任务数或计划数相对应。</w:t>
            </w:r>
            <w:r>
              <w:rPr>
                <w:rFonts w:hint="eastAsia" w:ascii="宋体" w:hAnsi="宋体" w:cs="宋体"/>
                <w:color w:val="auto"/>
                <w:kern w:val="0"/>
                <w:sz w:val="15"/>
                <w:szCs w:val="15"/>
              </w:rPr>
              <w:br w:type="textWrapping"/>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资金投入</w:t>
            </w:r>
          </w:p>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预算编制</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科学性</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评价要点：</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①预算编制是否经过科学论证；</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②预算内容与项目内容是否匹配；</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③预算额度测算依据是否充分，是否按照标准编制；</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④预算确定的项目投资额或资金量是否与工作任务相匹配。</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1</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p>
        </w:tc>
        <w:tc>
          <w:tcPr>
            <w:tcW w:w="76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资金分配</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合理性</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评价要点：</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①预算资金分配依据是否充分；</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②资金分配额度是否合理，与项目单位或地方实际是否相适应。</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1</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过程</w:t>
            </w: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资金管理</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资金到位率</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实际到位资金与预算资金的比率，用以反映和考核资金落实情况对项目实施的总体保障程度。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资金到位率=（实际到位资金/预算资金）×100%。</w:t>
            </w:r>
          </w:p>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预算资金：一定时期（本年度或项目期）内预算安排到具体项目的资金。</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7</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auto"/>
                <w:kern w:val="0"/>
                <w:sz w:val="15"/>
                <w:szCs w:val="15"/>
                <w:lang w:eastAsia="zh-CN"/>
              </w:rPr>
            </w:pPr>
            <w:r>
              <w:rPr>
                <w:rFonts w:hint="eastAsia" w:ascii="宋体" w:hAnsi="宋体" w:cs="宋体"/>
                <w:color w:val="auto"/>
                <w:kern w:val="0"/>
                <w:sz w:val="15"/>
                <w:szCs w:val="15"/>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p>
        </w:tc>
        <w:tc>
          <w:tcPr>
            <w:tcW w:w="767"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预算执行率</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项目预算资金是否按照计划执行，用以反映或考核项目预算执行情况。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预算执行率=（实际支出资金/实际到位资金）×100%。</w:t>
            </w:r>
            <w:r>
              <w:rPr>
                <w:rFonts w:hint="eastAsia" w:ascii="宋体" w:hAnsi="宋体" w:cs="宋体"/>
                <w:color w:val="auto"/>
                <w:kern w:val="0"/>
                <w:sz w:val="15"/>
                <w:szCs w:val="15"/>
              </w:rPr>
              <w:br w:type="textWrapping"/>
            </w:r>
            <w:r>
              <w:rPr>
                <w:rFonts w:hint="eastAsia" w:ascii="宋体" w:hAnsi="宋体" w:cs="宋体"/>
                <w:color w:val="auto"/>
                <w:kern w:val="0"/>
                <w:sz w:val="15"/>
                <w:szCs w:val="15"/>
              </w:rPr>
              <w:t>实际支出资金：一定时期（本年度或项目期）内项目实际拨付的资金。</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7</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auto"/>
                <w:kern w:val="0"/>
                <w:sz w:val="15"/>
                <w:szCs w:val="15"/>
                <w:lang w:val="en-US" w:eastAsia="zh-CN"/>
              </w:rPr>
            </w:pPr>
            <w:r>
              <w:rPr>
                <w:rFonts w:hint="eastAsia" w:ascii="宋体" w:hAnsi="宋体" w:cs="宋体"/>
                <w:color w:val="auto"/>
                <w:kern w:val="0"/>
                <w:sz w:val="15"/>
                <w:szCs w:val="15"/>
                <w:lang w:val="en-US" w:eastAsia="zh-CN"/>
              </w:rPr>
              <w:t>1.12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　</w:t>
            </w:r>
          </w:p>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过程　</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资金管理</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资金使用</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合规性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项目资金使用是否符合相关的财务管理制度规定，用以反映和考核项目资金的规范运行情况。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评价要点：</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①是否符合国家财经法规和财务管理制度以及有关专项资金管理办法的规定；</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②资金的拨付是否有完整的审批程序和手续；</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③是否符合项目预算批复或合同规定的用途；</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④是否存在截留、挤占、挪用、虚列支出等情况。</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7</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auto"/>
                <w:kern w:val="0"/>
                <w:sz w:val="15"/>
                <w:szCs w:val="15"/>
                <w:lang w:eastAsia="zh-CN"/>
              </w:rPr>
            </w:pPr>
            <w:r>
              <w:rPr>
                <w:rFonts w:hint="eastAsia" w:ascii="宋体" w:hAnsi="宋体" w:cs="宋体"/>
                <w:color w:val="auto"/>
                <w:kern w:val="0"/>
                <w:sz w:val="15"/>
                <w:szCs w:val="15"/>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组织实施</w:t>
            </w:r>
          </w:p>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管理制度</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健全性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项目实施单位的财务和业务管理制度是否健全，用以反映和考核财务和业务管理制度对项目顺利实施的保障情况。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评价要点：</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①是否已制定或具有相应的财务和业务管理制度；</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②财务和业务管理制度是否合法、合规、完整。</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7</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auto"/>
                <w:kern w:val="0"/>
                <w:sz w:val="15"/>
                <w:szCs w:val="15"/>
                <w:lang w:eastAsia="zh-CN"/>
              </w:rPr>
            </w:pPr>
            <w:r>
              <w:rPr>
                <w:rFonts w:hint="eastAsia" w:ascii="宋体" w:hAnsi="宋体" w:cs="宋体"/>
                <w:color w:val="auto"/>
                <w:kern w:val="0"/>
                <w:sz w:val="15"/>
                <w:szCs w:val="15"/>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p>
        </w:tc>
        <w:tc>
          <w:tcPr>
            <w:tcW w:w="76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制度执行</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有效性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项目实施是否符合相关管理规定，用以反映和考核相关管理制度的有效执行情况。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评价要点：</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①是否遵守相关法律法规和相关管理规定；</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②项目调整及支出调整手续是否完备；</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③项目合同书、验收报告、技术鉴定等资料是否齐全并及时归档；</w:t>
            </w:r>
            <w:r>
              <w:rPr>
                <w:rFonts w:hint="eastAsia" w:ascii="宋体" w:hAnsi="宋体" w:cs="宋体"/>
                <w:color w:val="auto"/>
                <w:kern w:val="0"/>
                <w:sz w:val="15"/>
                <w:szCs w:val="15"/>
              </w:rPr>
              <w:br w:type="textWrapping"/>
            </w:r>
            <w:r>
              <w:rPr>
                <w:rFonts w:hint="eastAsia" w:ascii="宋体" w:hAnsi="宋体" w:cs="宋体"/>
                <w:color w:val="auto"/>
                <w:kern w:val="0"/>
                <w:sz w:val="15"/>
                <w:szCs w:val="15"/>
              </w:rPr>
              <w:t>④项目实施的人员条件、场地设备、信息支撑等是否落实到位。</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7</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auto"/>
                <w:kern w:val="0"/>
                <w:sz w:val="15"/>
                <w:szCs w:val="15"/>
                <w:lang w:eastAsia="zh-CN"/>
              </w:rPr>
            </w:pPr>
            <w:r>
              <w:rPr>
                <w:rFonts w:hint="eastAsia" w:ascii="宋体" w:hAnsi="宋体" w:cs="宋体"/>
                <w:color w:val="auto"/>
                <w:kern w:val="0"/>
                <w:sz w:val="15"/>
                <w:szCs w:val="15"/>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产出</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产出数量</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实际完成率</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项目实施的实际产出数与计划产出数的比率，用以反映和考核项目产出数量目标的实现程度。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实际完成率=（实际产出数/计划产出数）×100%。</w:t>
            </w:r>
            <w:r>
              <w:rPr>
                <w:rFonts w:hint="eastAsia" w:ascii="宋体" w:hAnsi="宋体" w:cs="宋体"/>
                <w:color w:val="auto"/>
                <w:kern w:val="0"/>
                <w:sz w:val="15"/>
                <w:szCs w:val="15"/>
              </w:rPr>
              <w:br w:type="textWrapping"/>
            </w:r>
            <w:r>
              <w:rPr>
                <w:rFonts w:hint="eastAsia" w:ascii="宋体" w:hAnsi="宋体" w:cs="宋体"/>
                <w:color w:val="auto"/>
                <w:kern w:val="0"/>
                <w:sz w:val="15"/>
                <w:szCs w:val="15"/>
              </w:rPr>
              <w:t>实际产出数：一定时期（本年度或项目期）内项目实际产出的产品或提供的服务数量。</w:t>
            </w:r>
            <w:r>
              <w:rPr>
                <w:rFonts w:hint="eastAsia" w:ascii="宋体" w:hAnsi="宋体" w:cs="宋体"/>
                <w:color w:val="auto"/>
                <w:kern w:val="0"/>
                <w:sz w:val="15"/>
                <w:szCs w:val="15"/>
              </w:rPr>
              <w:br w:type="textWrapping"/>
            </w:r>
            <w:r>
              <w:rPr>
                <w:rFonts w:hint="eastAsia" w:ascii="宋体" w:hAnsi="宋体" w:cs="宋体"/>
                <w:color w:val="auto"/>
                <w:kern w:val="0"/>
                <w:sz w:val="15"/>
                <w:szCs w:val="15"/>
              </w:rPr>
              <w:t>计划产出数：项目绩效目标确定的在一定时期（本年度或项目期）内计划产出的产品或提供的服务数量。</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auto"/>
                <w:kern w:val="0"/>
                <w:sz w:val="15"/>
                <w:szCs w:val="15"/>
                <w:lang w:eastAsia="zh-CN"/>
              </w:rPr>
            </w:pPr>
            <w:r>
              <w:rPr>
                <w:rFonts w:hint="eastAsia" w:ascii="宋体" w:hAnsi="宋体" w:cs="宋体"/>
                <w:color w:val="auto"/>
                <w:kern w:val="0"/>
                <w:sz w:val="15"/>
                <w:szCs w:val="15"/>
              </w:rPr>
              <w:t>1</w:t>
            </w:r>
            <w:r>
              <w:rPr>
                <w:rFonts w:hint="eastAsia" w:ascii="宋体" w:hAnsi="宋体" w:cs="宋体"/>
                <w:color w:val="auto"/>
                <w:kern w:val="0"/>
                <w:sz w:val="15"/>
                <w:szCs w:val="15"/>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产出</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产出质量</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质量达标率</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项目完成的质量达标产出数与实际产出数的比率，用以反映和考核项目产出质量目标的实现程度。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质量达标率=（质量达标产出数/实际产出数）×100%。</w:t>
            </w:r>
          </w:p>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auto"/>
                <w:kern w:val="0"/>
                <w:sz w:val="15"/>
                <w:szCs w:val="15"/>
                <w:lang w:val="en-US" w:eastAsia="zh-CN"/>
              </w:rPr>
            </w:pPr>
            <w:r>
              <w:rPr>
                <w:rFonts w:hint="eastAsia" w:ascii="宋体" w:hAnsi="宋体" w:cs="宋体"/>
                <w:color w:val="auto"/>
                <w:kern w:val="0"/>
                <w:sz w:val="15"/>
                <w:szCs w:val="15"/>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p>
        </w:tc>
        <w:tc>
          <w:tcPr>
            <w:tcW w:w="767" w:type="dxa"/>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产出时效</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完成及时性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项目实际完成时间与计划完成时间的比较，用以反映和考核项目产出时效目标的实现程度。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实际完成时间：项目实施单位完成该项目实际所耗用的时间。</w:t>
            </w:r>
            <w:r>
              <w:rPr>
                <w:rFonts w:hint="eastAsia" w:ascii="宋体" w:hAnsi="宋体" w:cs="宋体"/>
                <w:color w:val="auto"/>
                <w:kern w:val="0"/>
                <w:sz w:val="15"/>
                <w:szCs w:val="15"/>
              </w:rPr>
              <w:br w:type="textWrapping"/>
            </w:r>
            <w:r>
              <w:rPr>
                <w:rFonts w:hint="eastAsia" w:ascii="宋体" w:hAnsi="宋体" w:cs="宋体"/>
                <w:color w:val="auto"/>
                <w:kern w:val="0"/>
                <w:sz w:val="15"/>
                <w:szCs w:val="15"/>
              </w:rPr>
              <w:t>计划完成时间：按照项目实施计划或相关规定完成该项目所需的时间。</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auto"/>
                <w:kern w:val="0"/>
                <w:sz w:val="15"/>
                <w:szCs w:val="15"/>
                <w:lang w:val="en-US" w:eastAsia="zh-CN"/>
              </w:rPr>
            </w:pPr>
            <w:r>
              <w:rPr>
                <w:rFonts w:hint="eastAsia" w:ascii="宋体" w:hAnsi="宋体" w:cs="宋体"/>
                <w:color w:val="auto"/>
                <w:kern w:val="0"/>
                <w:sz w:val="15"/>
                <w:szCs w:val="15"/>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产出成本</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成本节约率</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完成项目计划工作目标的实际节约成本与计划成本的比率，用以反映和考核项目的成本节约程度。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br w:type="textWrapping"/>
            </w:r>
            <w:r>
              <w:rPr>
                <w:rFonts w:hint="eastAsia" w:ascii="宋体" w:hAnsi="宋体" w:cs="宋体"/>
                <w:color w:val="auto"/>
                <w:kern w:val="0"/>
                <w:sz w:val="15"/>
                <w:szCs w:val="15"/>
              </w:rPr>
              <w:t>成本节约率=[（计划成本-实际成本）/计划成本]×100%。</w:t>
            </w:r>
            <w:r>
              <w:rPr>
                <w:rFonts w:hint="eastAsia" w:ascii="宋体" w:hAnsi="宋体" w:cs="宋体"/>
                <w:color w:val="auto"/>
                <w:kern w:val="0"/>
                <w:sz w:val="15"/>
                <w:szCs w:val="15"/>
              </w:rPr>
              <w:br w:type="textWrapping"/>
            </w:r>
            <w:r>
              <w:rPr>
                <w:rFonts w:hint="eastAsia" w:ascii="宋体" w:hAnsi="宋体" w:cs="宋体"/>
                <w:color w:val="auto"/>
                <w:kern w:val="0"/>
                <w:sz w:val="15"/>
                <w:szCs w:val="15"/>
              </w:rPr>
              <w:t>实际成本：项目实施单位如期、保质、保量完成既定工作目标实际所耗费的支出。</w:t>
            </w:r>
            <w:r>
              <w:rPr>
                <w:rFonts w:hint="eastAsia" w:ascii="宋体" w:hAnsi="宋体" w:cs="宋体"/>
                <w:color w:val="auto"/>
                <w:kern w:val="0"/>
                <w:sz w:val="15"/>
                <w:szCs w:val="15"/>
              </w:rPr>
              <w:br w:type="textWrapping"/>
            </w:r>
            <w:r>
              <w:rPr>
                <w:rFonts w:hint="eastAsia" w:ascii="宋体" w:hAnsi="宋体" w:cs="宋体"/>
                <w:color w:val="auto"/>
                <w:kern w:val="0"/>
                <w:sz w:val="15"/>
                <w:szCs w:val="15"/>
              </w:rPr>
              <w:t>计划成本：项目实施单位为完成工作目标计划安排的支出，一般以项目预算为参考。</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效益　</w:t>
            </w: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项目效益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实施效益</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ascii="宋体" w:hAnsi="宋体" w:cs="宋体"/>
                <w:color w:val="auto"/>
                <w:kern w:val="0"/>
                <w:sz w:val="15"/>
                <w:szCs w:val="15"/>
              </w:rPr>
            </w:pPr>
            <w:r>
              <w:rPr>
                <w:rFonts w:hint="eastAsia" w:ascii="宋体" w:hAnsi="宋体" w:cs="宋体"/>
                <w:color w:val="auto"/>
                <w:kern w:val="0"/>
                <w:sz w:val="15"/>
                <w:szCs w:val="15"/>
              </w:rPr>
              <w:t>项目实施所产生的效益。</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项目实施所产生的社会效益、经济效益、生态效益、可持续影响等。可根据项目实际情况有选择地设置和细化。</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auto"/>
                <w:kern w:val="0"/>
                <w:sz w:val="15"/>
                <w:szCs w:val="15"/>
                <w:lang w:val="en-US" w:eastAsia="zh-CN"/>
              </w:rPr>
            </w:pPr>
            <w:r>
              <w:rPr>
                <w:rFonts w:hint="eastAsia" w:ascii="宋体" w:hAnsi="宋体" w:cs="宋体"/>
                <w:color w:val="auto"/>
                <w:kern w:val="0"/>
                <w:sz w:val="15"/>
                <w:szCs w:val="15"/>
                <w:lang w:val="en-US" w:eastAsia="zh-CN"/>
              </w:rPr>
              <w:t>15</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hint="default" w:ascii="宋体" w:hAnsi="宋体" w:eastAsia="宋体" w:cs="宋体"/>
                <w:color w:val="auto"/>
                <w:kern w:val="0"/>
                <w:sz w:val="15"/>
                <w:szCs w:val="15"/>
                <w:lang w:val="en-US" w:eastAsia="zh-CN"/>
              </w:rPr>
            </w:pPr>
            <w:r>
              <w:rPr>
                <w:rFonts w:hint="eastAsia" w:ascii="宋体" w:hAnsi="宋体" w:cs="宋体"/>
                <w:color w:val="auto"/>
                <w:kern w:val="0"/>
                <w:sz w:val="15"/>
                <w:szCs w:val="15"/>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p>
        </w:tc>
        <w:tc>
          <w:tcPr>
            <w:tcW w:w="76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15"/>
                <w:szCs w:val="15"/>
              </w:rPr>
            </w:pPr>
            <w:r>
              <w:rPr>
                <w:rFonts w:hint="eastAsia" w:ascii="宋体" w:hAnsi="宋体" w:cs="宋体"/>
                <w:color w:val="auto"/>
                <w:kern w:val="0"/>
                <w:sz w:val="15"/>
                <w:szCs w:val="15"/>
              </w:rPr>
              <w:t>满意度</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社会公众或服务对象对项目实施效果的满意程度。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auto"/>
                <w:kern w:val="0"/>
                <w:sz w:val="15"/>
                <w:szCs w:val="15"/>
              </w:rPr>
            </w:pPr>
            <w:r>
              <w:rPr>
                <w:rFonts w:hint="eastAsia" w:ascii="宋体" w:hAnsi="宋体" w:cs="宋体"/>
                <w:color w:val="auto"/>
                <w:kern w:val="0"/>
                <w:sz w:val="15"/>
                <w:szCs w:val="15"/>
              </w:rPr>
              <w:t>社会公众或服务对象是指因该项目实施而受到影响的部门（单位）、群体或个人。一般采取社会调查的方式。</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auto"/>
                <w:kern w:val="0"/>
                <w:sz w:val="15"/>
                <w:szCs w:val="15"/>
                <w:lang w:eastAsia="zh-CN"/>
              </w:rPr>
            </w:pPr>
            <w:r>
              <w:rPr>
                <w:rFonts w:hint="eastAsia" w:ascii="宋体" w:hAnsi="宋体" w:cs="宋体"/>
                <w:color w:val="auto"/>
                <w:kern w:val="0"/>
                <w:sz w:val="15"/>
                <w:szCs w:val="15"/>
                <w:lang w:val="en-US" w:eastAsia="zh-CN"/>
              </w:rPr>
              <w:t>5</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auto"/>
                <w:kern w:val="0"/>
                <w:sz w:val="15"/>
                <w:szCs w:val="15"/>
                <w:lang w:eastAsia="zh-CN"/>
              </w:rPr>
            </w:pPr>
            <w:r>
              <w:rPr>
                <w:rFonts w:hint="eastAsia" w:ascii="宋体" w:hAnsi="宋体" w:cs="宋体"/>
                <w:color w:val="auto"/>
                <w:kern w:val="0"/>
                <w:sz w:val="15"/>
                <w:szCs w:val="15"/>
                <w:lang w:val="en-US" w:eastAsia="zh-CN"/>
              </w:rPr>
              <w:t>5</w:t>
            </w:r>
          </w:p>
        </w:tc>
      </w:tr>
    </w:tbl>
    <w:p>
      <w:pPr>
        <w:pStyle w:val="2"/>
        <w:pageBreakBefore w:val="0"/>
        <w:kinsoku/>
        <w:wordWrap/>
        <w:overflowPunct/>
        <w:topLinePunct w:val="0"/>
        <w:autoSpaceDE/>
        <w:autoSpaceDN/>
        <w:bidi w:val="0"/>
        <w:adjustRightInd/>
        <w:snapToGrid/>
        <w:spacing w:before="0" w:after="0" w:line="560" w:lineRule="exact"/>
        <w:rPr>
          <w:color w:val="auto"/>
        </w:rPr>
      </w:pPr>
    </w:p>
    <w:p>
      <w:pPr>
        <w:pageBreakBefore w:val="0"/>
        <w:kinsoku/>
        <w:wordWrap/>
        <w:overflowPunct/>
        <w:topLinePunct w:val="0"/>
        <w:autoSpaceDE/>
        <w:autoSpaceDN/>
        <w:bidi w:val="0"/>
        <w:adjustRightInd/>
        <w:snapToGrid/>
        <w:spacing w:line="560" w:lineRule="exact"/>
        <w:rPr>
          <w:color w:val="auto"/>
        </w:rPr>
      </w:pPr>
    </w:p>
    <w:p>
      <w:pPr>
        <w:pageBreakBefore w:val="0"/>
        <w:kinsoku/>
        <w:wordWrap/>
        <w:overflowPunct/>
        <w:topLinePunct w:val="0"/>
        <w:autoSpaceDE/>
        <w:autoSpaceDN/>
        <w:bidi w:val="0"/>
        <w:adjustRightInd/>
        <w:snapToGrid/>
        <w:spacing w:line="560" w:lineRule="exact"/>
        <w:ind w:firstLine="640"/>
        <w:rPr>
          <w:rStyle w:val="13"/>
          <w:rFonts w:ascii="黑体" w:hAnsi="黑体" w:eastAsia="黑体"/>
          <w:bCs w:val="0"/>
          <w:color w:val="auto"/>
          <w:spacing w:val="-4"/>
          <w:sz w:val="32"/>
          <w:szCs w:val="32"/>
        </w:rPr>
      </w:pPr>
    </w:p>
    <w:p>
      <w:pPr>
        <w:pageBreakBefore w:val="0"/>
        <w:kinsoku/>
        <w:wordWrap/>
        <w:overflowPunct/>
        <w:topLinePunct w:val="0"/>
        <w:autoSpaceDE/>
        <w:autoSpaceDN/>
        <w:bidi w:val="0"/>
        <w:adjustRightInd/>
        <w:snapToGrid/>
        <w:spacing w:line="560" w:lineRule="exact"/>
        <w:ind w:firstLine="640"/>
        <w:rPr>
          <w:rStyle w:val="13"/>
          <w:rFonts w:ascii="黑体" w:hAnsi="黑体" w:eastAsia="黑体"/>
          <w:bCs w:val="0"/>
          <w:color w:val="auto"/>
          <w:spacing w:val="-4"/>
          <w:sz w:val="32"/>
          <w:szCs w:val="32"/>
        </w:rPr>
      </w:pPr>
    </w:p>
    <w:p>
      <w:pPr>
        <w:pageBreakBefore w:val="0"/>
        <w:kinsoku/>
        <w:wordWrap/>
        <w:overflowPunct/>
        <w:topLinePunct w:val="0"/>
        <w:autoSpaceDE/>
        <w:autoSpaceDN/>
        <w:bidi w:val="0"/>
        <w:adjustRightInd/>
        <w:snapToGrid/>
        <w:spacing w:line="560" w:lineRule="exact"/>
        <w:ind w:firstLine="640"/>
        <w:rPr>
          <w:rStyle w:val="13"/>
          <w:rFonts w:ascii="黑体" w:hAnsi="黑体" w:eastAsia="黑体"/>
          <w:bCs w:val="0"/>
          <w:color w:val="auto"/>
          <w:spacing w:val="-4"/>
          <w:sz w:val="32"/>
          <w:szCs w:val="32"/>
        </w:rPr>
      </w:pPr>
    </w:p>
    <w:p>
      <w:pPr>
        <w:pageBreakBefore w:val="0"/>
        <w:kinsoku/>
        <w:wordWrap/>
        <w:overflowPunct/>
        <w:topLinePunct w:val="0"/>
        <w:autoSpaceDE/>
        <w:autoSpaceDN/>
        <w:bidi w:val="0"/>
        <w:adjustRightInd/>
        <w:snapToGrid/>
        <w:spacing w:line="560" w:lineRule="exact"/>
        <w:ind w:firstLine="640"/>
        <w:rPr>
          <w:rStyle w:val="13"/>
          <w:rFonts w:ascii="黑体" w:hAnsi="黑体" w:eastAsia="黑体"/>
          <w:bCs w:val="0"/>
          <w:color w:val="auto"/>
          <w:spacing w:val="-4"/>
          <w:sz w:val="32"/>
          <w:szCs w:val="32"/>
        </w:rPr>
      </w:pPr>
    </w:p>
    <w:p>
      <w:pPr>
        <w:pageBreakBefore w:val="0"/>
        <w:kinsoku/>
        <w:wordWrap/>
        <w:overflowPunct/>
        <w:topLinePunct w:val="0"/>
        <w:autoSpaceDE/>
        <w:autoSpaceDN/>
        <w:bidi w:val="0"/>
        <w:adjustRightInd/>
        <w:snapToGrid/>
        <w:spacing w:line="560" w:lineRule="exact"/>
        <w:ind w:firstLine="640"/>
        <w:rPr>
          <w:rStyle w:val="13"/>
          <w:rFonts w:ascii="黑体" w:hAnsi="黑体" w:eastAsia="黑体"/>
          <w:bCs w:val="0"/>
          <w:color w:val="auto"/>
          <w:spacing w:val="-4"/>
          <w:sz w:val="32"/>
          <w:szCs w:val="32"/>
        </w:rPr>
      </w:pPr>
    </w:p>
    <w:p>
      <w:pPr>
        <w:pageBreakBefore w:val="0"/>
        <w:kinsoku/>
        <w:wordWrap/>
        <w:overflowPunct/>
        <w:topLinePunct w:val="0"/>
        <w:autoSpaceDE/>
        <w:autoSpaceDN/>
        <w:bidi w:val="0"/>
        <w:adjustRightInd/>
        <w:snapToGrid/>
        <w:spacing w:line="560" w:lineRule="exact"/>
        <w:ind w:firstLine="640"/>
        <w:rPr>
          <w:rStyle w:val="13"/>
          <w:rFonts w:ascii="黑体" w:hAnsi="黑体" w:eastAsia="黑体"/>
          <w:bCs w:val="0"/>
          <w:color w:val="auto"/>
          <w:spacing w:val="-4"/>
          <w:sz w:val="32"/>
          <w:szCs w:val="32"/>
        </w:rPr>
      </w:pPr>
    </w:p>
    <w:p>
      <w:pPr>
        <w:pageBreakBefore w:val="0"/>
        <w:kinsoku/>
        <w:wordWrap/>
        <w:overflowPunct/>
        <w:topLinePunct w:val="0"/>
        <w:autoSpaceDE/>
        <w:autoSpaceDN/>
        <w:bidi w:val="0"/>
        <w:adjustRightInd/>
        <w:snapToGrid/>
        <w:spacing w:line="560" w:lineRule="exact"/>
        <w:rPr>
          <w:rStyle w:val="13"/>
          <w:rFonts w:ascii="仿宋" w:hAnsi="仿宋" w:eastAsia="仿宋"/>
          <w:b w:val="0"/>
          <w:color w:val="auto"/>
          <w:spacing w:val="-4"/>
          <w:sz w:val="32"/>
          <w:szCs w:val="32"/>
        </w:rPr>
      </w:pPr>
    </w:p>
    <w:p>
      <w:pPr>
        <w:pageBreakBefore w:val="0"/>
        <w:kinsoku/>
        <w:wordWrap/>
        <w:overflowPunct/>
        <w:topLinePunct w:val="0"/>
        <w:autoSpaceDE/>
        <w:autoSpaceDN/>
        <w:bidi w:val="0"/>
        <w:adjustRightInd/>
        <w:snapToGrid/>
        <w:spacing w:line="560" w:lineRule="exact"/>
        <w:contextualSpacing/>
        <w:rPr>
          <w:rFonts w:ascii="仿宋_GB2312" w:hAnsi="仿宋_GB2312" w:eastAsia="仿宋_GB2312" w:cs="仿宋_GB2312"/>
          <w:color w:val="auto"/>
          <w:sz w:val="30"/>
          <w:szCs w:val="30"/>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eastAsia="宋体"/>
                            </w:rPr>
                          </w:pPr>
                          <w:r>
                            <w:rPr>
                              <w:rFonts w:hint="eastAsia"/>
                            </w:rPr>
                            <w:fldChar w:fldCharType="begin"/>
                          </w:r>
                          <w:r>
                            <w:rPr>
                              <w:rFonts w:hint="eastAsia"/>
                            </w:rPr>
                            <w:instrText xml:space="preserve"> PAGE  \* MERGEFORMAT </w:instrText>
                          </w:r>
                          <w:r>
                            <w:rPr>
                              <w:rFonts w:hint="eastAsia"/>
                            </w:rPr>
                            <w:fldChar w:fldCharType="separate"/>
                          </w:r>
                          <w:r>
                            <w:t>- 0 -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7"/>
                      <w:rPr>
                        <w:rFonts w:eastAsia="宋体"/>
                      </w:rPr>
                    </w:pPr>
                    <w:r>
                      <w:rPr>
                        <w:rFonts w:hint="eastAsia"/>
                      </w:rPr>
                      <w:fldChar w:fldCharType="begin"/>
                    </w:r>
                    <w:r>
                      <w:rPr>
                        <w:rFonts w:hint="eastAsia"/>
                      </w:rPr>
                      <w:instrText xml:space="preserve"> PAGE  \* MERGEFORMAT </w:instrText>
                    </w:r>
                    <w:r>
                      <w:rPr>
                        <w:rFonts w:hint="eastAsia"/>
                      </w:rPr>
                      <w:fldChar w:fldCharType="separate"/>
                    </w:r>
                    <w:r>
                      <w:t>- 0 -</w:t>
                    </w:r>
                    <w:r>
                      <w:rPr>
                        <w:rFonts w:hint="eastAsia"/>
                      </w:rPr>
                      <w:fldChar w:fldCharType="end"/>
                    </w:r>
                  </w:p>
                </w:txbxContent>
              </v:textbox>
            </v:shape>
          </w:pict>
        </mc:Fallback>
      </mc:AlternateContent>
    </w:r>
  </w:p>
  <w:p>
    <w:pPr>
      <w:pStyle w:val="7"/>
      <w:ind w:right="360"/>
      <w:jc w:val="center"/>
      <w:rPr>
        <w:rFonts w:ascii="宋体" w:hAnsi="宋体" w:eastAsia="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eastAsia="宋体"/>
                            </w:rPr>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7"/>
                      <w:rPr>
                        <w:rFonts w:eastAsia="宋体"/>
                      </w:rPr>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eastAsia="宋体"/>
                            </w:rPr>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7"/>
                      <w:rPr>
                        <w:rFonts w:eastAsia="宋体"/>
                      </w:rPr>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v:textbox>
            </v:shape>
          </w:pict>
        </mc:Fallback>
      </mc:AlternateContent>
    </w:r>
  </w:p>
  <w:p>
    <w:pPr>
      <w:pStyle w:val="7"/>
      <w:ind w:right="360"/>
      <w:jc w:val="center"/>
      <w:rPr>
        <w:rFonts w:ascii="宋体" w:hAnsi="宋体" w:eastAsia="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7D328"/>
    <w:multiLevelType w:val="singleLevel"/>
    <w:tmpl w:val="B767D328"/>
    <w:lvl w:ilvl="0" w:tentative="0">
      <w:start w:val="1"/>
      <w:numFmt w:val="decimal"/>
      <w:suff w:val="nothing"/>
      <w:lvlText w:val="（%1）"/>
      <w:lvlJc w:val="left"/>
    </w:lvl>
  </w:abstractNum>
  <w:abstractNum w:abstractNumId="1">
    <w:nsid w:val="D2E7478A"/>
    <w:multiLevelType w:val="singleLevel"/>
    <w:tmpl w:val="D2E7478A"/>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documentProtection w:enforcement="0"/>
  <w:defaultTabStop w:val="420"/>
  <w:evenAndOddHeaders w:val="1"/>
  <w:drawingGridHorizontalSpacing w:val="101"/>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058"/>
    <w:rsid w:val="00092390"/>
    <w:rsid w:val="000E3729"/>
    <w:rsid w:val="000F4112"/>
    <w:rsid w:val="000F4655"/>
    <w:rsid w:val="001B2EA9"/>
    <w:rsid w:val="002A7207"/>
    <w:rsid w:val="002A77DA"/>
    <w:rsid w:val="002B4C5C"/>
    <w:rsid w:val="00331A8D"/>
    <w:rsid w:val="003A4A46"/>
    <w:rsid w:val="003F29C1"/>
    <w:rsid w:val="004179D5"/>
    <w:rsid w:val="00442473"/>
    <w:rsid w:val="00454000"/>
    <w:rsid w:val="004B36DB"/>
    <w:rsid w:val="00513AE4"/>
    <w:rsid w:val="00514A5E"/>
    <w:rsid w:val="00564CBE"/>
    <w:rsid w:val="0060668E"/>
    <w:rsid w:val="00607357"/>
    <w:rsid w:val="00627F92"/>
    <w:rsid w:val="006700C2"/>
    <w:rsid w:val="006B55BD"/>
    <w:rsid w:val="006B786A"/>
    <w:rsid w:val="006C323A"/>
    <w:rsid w:val="006D0058"/>
    <w:rsid w:val="006D391A"/>
    <w:rsid w:val="006D654E"/>
    <w:rsid w:val="00711352"/>
    <w:rsid w:val="00714386"/>
    <w:rsid w:val="00725034"/>
    <w:rsid w:val="007565E9"/>
    <w:rsid w:val="007C3E67"/>
    <w:rsid w:val="007D0528"/>
    <w:rsid w:val="00814029"/>
    <w:rsid w:val="008750B2"/>
    <w:rsid w:val="008771E2"/>
    <w:rsid w:val="008C1578"/>
    <w:rsid w:val="008F6E3C"/>
    <w:rsid w:val="00913A39"/>
    <w:rsid w:val="009853D6"/>
    <w:rsid w:val="009A16C4"/>
    <w:rsid w:val="009A79DA"/>
    <w:rsid w:val="00A6579F"/>
    <w:rsid w:val="00AB48DA"/>
    <w:rsid w:val="00AE7904"/>
    <w:rsid w:val="00B128D2"/>
    <w:rsid w:val="00B27295"/>
    <w:rsid w:val="00C02A83"/>
    <w:rsid w:val="00C13FD2"/>
    <w:rsid w:val="00C80AD2"/>
    <w:rsid w:val="00C97E19"/>
    <w:rsid w:val="00CC319C"/>
    <w:rsid w:val="00D21981"/>
    <w:rsid w:val="00D86537"/>
    <w:rsid w:val="00DA046F"/>
    <w:rsid w:val="00EF7D8C"/>
    <w:rsid w:val="00F3176F"/>
    <w:rsid w:val="00F93D47"/>
    <w:rsid w:val="00FA6BAA"/>
    <w:rsid w:val="00FD0443"/>
    <w:rsid w:val="01784A05"/>
    <w:rsid w:val="01914558"/>
    <w:rsid w:val="01CF00D6"/>
    <w:rsid w:val="025B3BE8"/>
    <w:rsid w:val="031E36AF"/>
    <w:rsid w:val="038A6EDE"/>
    <w:rsid w:val="0399685F"/>
    <w:rsid w:val="03E6400C"/>
    <w:rsid w:val="04554A98"/>
    <w:rsid w:val="055139A5"/>
    <w:rsid w:val="067F4943"/>
    <w:rsid w:val="06F0607A"/>
    <w:rsid w:val="070C54E0"/>
    <w:rsid w:val="070D0DDE"/>
    <w:rsid w:val="07552D6A"/>
    <w:rsid w:val="08F0670F"/>
    <w:rsid w:val="0939518B"/>
    <w:rsid w:val="0B2001CC"/>
    <w:rsid w:val="0B893605"/>
    <w:rsid w:val="0C135457"/>
    <w:rsid w:val="0C141BBC"/>
    <w:rsid w:val="0C5D51E5"/>
    <w:rsid w:val="0C6A7EF8"/>
    <w:rsid w:val="0D29368F"/>
    <w:rsid w:val="0F7530D6"/>
    <w:rsid w:val="0F8E064B"/>
    <w:rsid w:val="10581E1B"/>
    <w:rsid w:val="11FD6573"/>
    <w:rsid w:val="13ED34A5"/>
    <w:rsid w:val="15DF59D6"/>
    <w:rsid w:val="15F85BAC"/>
    <w:rsid w:val="16554DB2"/>
    <w:rsid w:val="178E06CA"/>
    <w:rsid w:val="18026839"/>
    <w:rsid w:val="183703D5"/>
    <w:rsid w:val="19242CB5"/>
    <w:rsid w:val="19733339"/>
    <w:rsid w:val="1A75199D"/>
    <w:rsid w:val="1D2C6782"/>
    <w:rsid w:val="1D684560"/>
    <w:rsid w:val="1DFA21B9"/>
    <w:rsid w:val="1F642450"/>
    <w:rsid w:val="1FD17C0C"/>
    <w:rsid w:val="201A665E"/>
    <w:rsid w:val="20411580"/>
    <w:rsid w:val="20747316"/>
    <w:rsid w:val="20820D71"/>
    <w:rsid w:val="20C54D12"/>
    <w:rsid w:val="20CF45F1"/>
    <w:rsid w:val="21172E4E"/>
    <w:rsid w:val="235653BC"/>
    <w:rsid w:val="23710AB2"/>
    <w:rsid w:val="23D6312B"/>
    <w:rsid w:val="2542567F"/>
    <w:rsid w:val="27B97C29"/>
    <w:rsid w:val="286B6DC0"/>
    <w:rsid w:val="290D7C8B"/>
    <w:rsid w:val="299440C2"/>
    <w:rsid w:val="29B55817"/>
    <w:rsid w:val="2C0C688E"/>
    <w:rsid w:val="2D8B7FBE"/>
    <w:rsid w:val="2D8E7843"/>
    <w:rsid w:val="2DAC5CC0"/>
    <w:rsid w:val="2DC16599"/>
    <w:rsid w:val="2E163768"/>
    <w:rsid w:val="2E75095B"/>
    <w:rsid w:val="301F6672"/>
    <w:rsid w:val="302D1B85"/>
    <w:rsid w:val="30EA7E32"/>
    <w:rsid w:val="32AA61FC"/>
    <w:rsid w:val="32D65183"/>
    <w:rsid w:val="32F52106"/>
    <w:rsid w:val="33172B0D"/>
    <w:rsid w:val="33433B3D"/>
    <w:rsid w:val="33D51CDD"/>
    <w:rsid w:val="34800692"/>
    <w:rsid w:val="35182190"/>
    <w:rsid w:val="36562918"/>
    <w:rsid w:val="36E64691"/>
    <w:rsid w:val="36F30C4A"/>
    <w:rsid w:val="37140406"/>
    <w:rsid w:val="394028F2"/>
    <w:rsid w:val="3AB4330E"/>
    <w:rsid w:val="3AC500C9"/>
    <w:rsid w:val="3B2C2449"/>
    <w:rsid w:val="3C1B3EE5"/>
    <w:rsid w:val="3C2B6C5E"/>
    <w:rsid w:val="3C916D75"/>
    <w:rsid w:val="3CA059BD"/>
    <w:rsid w:val="3CF92CAE"/>
    <w:rsid w:val="3D755E2F"/>
    <w:rsid w:val="3DBB6713"/>
    <w:rsid w:val="3F077EFC"/>
    <w:rsid w:val="3FD44BC9"/>
    <w:rsid w:val="3FDA4CE3"/>
    <w:rsid w:val="40D31C69"/>
    <w:rsid w:val="41196C54"/>
    <w:rsid w:val="415005F1"/>
    <w:rsid w:val="42021ED3"/>
    <w:rsid w:val="429E23B0"/>
    <w:rsid w:val="42FE7077"/>
    <w:rsid w:val="4312091A"/>
    <w:rsid w:val="445874D8"/>
    <w:rsid w:val="44B107B8"/>
    <w:rsid w:val="44F02B2E"/>
    <w:rsid w:val="450B57D4"/>
    <w:rsid w:val="4547788F"/>
    <w:rsid w:val="456742AD"/>
    <w:rsid w:val="45B67C28"/>
    <w:rsid w:val="484676D5"/>
    <w:rsid w:val="486661A3"/>
    <w:rsid w:val="48E43BA8"/>
    <w:rsid w:val="49F671AB"/>
    <w:rsid w:val="4A390D66"/>
    <w:rsid w:val="4BCC6442"/>
    <w:rsid w:val="4BEA7161"/>
    <w:rsid w:val="4C9318D1"/>
    <w:rsid w:val="4C962BB0"/>
    <w:rsid w:val="4CA85B75"/>
    <w:rsid w:val="4DE73A20"/>
    <w:rsid w:val="4DF900C9"/>
    <w:rsid w:val="4E033EF0"/>
    <w:rsid w:val="4E4310CC"/>
    <w:rsid w:val="4F777F61"/>
    <w:rsid w:val="50262313"/>
    <w:rsid w:val="516959CF"/>
    <w:rsid w:val="51E46BF3"/>
    <w:rsid w:val="522C5A2D"/>
    <w:rsid w:val="52310B39"/>
    <w:rsid w:val="52C215DB"/>
    <w:rsid w:val="52C87B95"/>
    <w:rsid w:val="54636DD4"/>
    <w:rsid w:val="55000196"/>
    <w:rsid w:val="5742436A"/>
    <w:rsid w:val="57472B42"/>
    <w:rsid w:val="57D35B06"/>
    <w:rsid w:val="57DD7104"/>
    <w:rsid w:val="588A234B"/>
    <w:rsid w:val="58BC2193"/>
    <w:rsid w:val="59133268"/>
    <w:rsid w:val="598D63D7"/>
    <w:rsid w:val="59E536A4"/>
    <w:rsid w:val="5A2F6340"/>
    <w:rsid w:val="5A313F0D"/>
    <w:rsid w:val="5A3A6E93"/>
    <w:rsid w:val="5A893083"/>
    <w:rsid w:val="5AB31D12"/>
    <w:rsid w:val="5B561D0E"/>
    <w:rsid w:val="5C0A733F"/>
    <w:rsid w:val="5C1B2810"/>
    <w:rsid w:val="5C415C39"/>
    <w:rsid w:val="5D480EBA"/>
    <w:rsid w:val="5DAB2317"/>
    <w:rsid w:val="5DEE35CE"/>
    <w:rsid w:val="5EF16B2E"/>
    <w:rsid w:val="5F5711C4"/>
    <w:rsid w:val="5FAD31C1"/>
    <w:rsid w:val="5FE67149"/>
    <w:rsid w:val="5FF85BDA"/>
    <w:rsid w:val="60A277B2"/>
    <w:rsid w:val="60C02DB6"/>
    <w:rsid w:val="60F50300"/>
    <w:rsid w:val="613F7866"/>
    <w:rsid w:val="617B3601"/>
    <w:rsid w:val="61B53D20"/>
    <w:rsid w:val="61E53B58"/>
    <w:rsid w:val="62066949"/>
    <w:rsid w:val="626A07E8"/>
    <w:rsid w:val="626F22F4"/>
    <w:rsid w:val="634E63B2"/>
    <w:rsid w:val="63960F93"/>
    <w:rsid w:val="649051ED"/>
    <w:rsid w:val="65234EF5"/>
    <w:rsid w:val="654C596A"/>
    <w:rsid w:val="659C2052"/>
    <w:rsid w:val="66231AAF"/>
    <w:rsid w:val="66547576"/>
    <w:rsid w:val="670B15D1"/>
    <w:rsid w:val="680C425C"/>
    <w:rsid w:val="6A2724B2"/>
    <w:rsid w:val="6B025D87"/>
    <w:rsid w:val="6B1D30DA"/>
    <w:rsid w:val="6CBA30C2"/>
    <w:rsid w:val="6D8A3547"/>
    <w:rsid w:val="6DCC6C28"/>
    <w:rsid w:val="6E280F49"/>
    <w:rsid w:val="6F6B08DC"/>
    <w:rsid w:val="6FD71991"/>
    <w:rsid w:val="70013CD1"/>
    <w:rsid w:val="702C1DD5"/>
    <w:rsid w:val="711516D2"/>
    <w:rsid w:val="71233C7C"/>
    <w:rsid w:val="71C12BD4"/>
    <w:rsid w:val="72ED352B"/>
    <w:rsid w:val="734E6B09"/>
    <w:rsid w:val="73A31393"/>
    <w:rsid w:val="73D25B3D"/>
    <w:rsid w:val="744D2B22"/>
    <w:rsid w:val="763F446A"/>
    <w:rsid w:val="7679400C"/>
    <w:rsid w:val="769C7A31"/>
    <w:rsid w:val="779B0063"/>
    <w:rsid w:val="78C666E6"/>
    <w:rsid w:val="78FA0E91"/>
    <w:rsid w:val="79D82916"/>
    <w:rsid w:val="7A043E51"/>
    <w:rsid w:val="7A38036B"/>
    <w:rsid w:val="7AC272A8"/>
    <w:rsid w:val="7B26755D"/>
    <w:rsid w:val="7CC3540F"/>
    <w:rsid w:val="7CFF243F"/>
    <w:rsid w:val="7D9A5C8C"/>
    <w:rsid w:val="7EEC36DC"/>
    <w:rsid w:val="7F8F35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99"/>
    <w:pPr>
      <w:keepNext/>
      <w:keepLines/>
      <w:spacing w:before="260" w:after="260" w:line="416" w:lineRule="auto"/>
      <w:outlineLvl w:val="2"/>
    </w:pPr>
    <w:rPr>
      <w:rFonts w:ascii="Times New Roman"/>
      <w:b/>
      <w:bCs/>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annotation text"/>
    <w:basedOn w:val="1"/>
    <w:link w:val="24"/>
    <w:semiHidden/>
    <w:unhideWhenUsed/>
    <w:qFormat/>
    <w:uiPriority w:val="99"/>
    <w:pPr>
      <w:jc w:val="left"/>
    </w:pPr>
  </w:style>
  <w:style w:type="paragraph" w:styleId="6">
    <w:name w:val="Balloon Text"/>
    <w:basedOn w:val="1"/>
    <w:link w:val="22"/>
    <w:semiHidden/>
    <w:unhideWhenUsed/>
    <w:qFormat/>
    <w:uiPriority w:val="99"/>
    <w:rPr>
      <w:sz w:val="18"/>
      <w:szCs w:val="18"/>
    </w:rPr>
  </w:style>
  <w:style w:type="paragraph" w:styleId="7">
    <w:name w:val="footer"/>
    <w:basedOn w:val="1"/>
    <w:link w:val="16"/>
    <w:qFormat/>
    <w:uiPriority w:val="99"/>
    <w:pPr>
      <w:tabs>
        <w:tab w:val="center" w:pos="4153"/>
        <w:tab w:val="right" w:pos="8306"/>
      </w:tabs>
      <w:snapToGrid w:val="0"/>
      <w:jc w:val="left"/>
    </w:pPr>
    <w:rPr>
      <w:rFonts w:eastAsia="黑体" w:asciiTheme="minorHAnsi" w:hAnsiTheme="minorHAnsi" w:cstheme="minorBidi"/>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jc w:val="left"/>
    </w:pPr>
    <w:rPr>
      <w:kern w:val="0"/>
      <w:sz w:val="24"/>
    </w:rPr>
  </w:style>
  <w:style w:type="paragraph" w:styleId="10">
    <w:name w:val="annotation subject"/>
    <w:basedOn w:val="5"/>
    <w:next w:val="5"/>
    <w:link w:val="25"/>
    <w:semiHidden/>
    <w:unhideWhenUsed/>
    <w:qFormat/>
    <w:uiPriority w:val="99"/>
    <w:rPr>
      <w:b/>
      <w:bCs/>
    </w:rPr>
  </w:style>
  <w:style w:type="character" w:styleId="13">
    <w:name w:val="Strong"/>
    <w:basedOn w:val="12"/>
    <w:qFormat/>
    <w:uiPriority w:val="0"/>
    <w:rPr>
      <w:b/>
      <w:bCs/>
    </w:rPr>
  </w:style>
  <w:style w:type="character" w:styleId="14">
    <w:name w:val="annotation reference"/>
    <w:basedOn w:val="12"/>
    <w:semiHidden/>
    <w:unhideWhenUsed/>
    <w:qFormat/>
    <w:uiPriority w:val="99"/>
    <w:rPr>
      <w:sz w:val="21"/>
      <w:szCs w:val="21"/>
    </w:rPr>
  </w:style>
  <w:style w:type="character" w:customStyle="1" w:styleId="15">
    <w:name w:val="页脚 Char"/>
    <w:qFormat/>
    <w:uiPriority w:val="99"/>
    <w:rPr>
      <w:rFonts w:eastAsia="黑体"/>
      <w:sz w:val="18"/>
      <w:szCs w:val="18"/>
    </w:rPr>
  </w:style>
  <w:style w:type="character" w:customStyle="1" w:styleId="16">
    <w:name w:val="页脚 字符"/>
    <w:basedOn w:val="12"/>
    <w:link w:val="7"/>
    <w:semiHidden/>
    <w:qFormat/>
    <w:uiPriority w:val="99"/>
    <w:rPr>
      <w:rFonts w:ascii="Calibri" w:hAnsi="Calibri" w:eastAsia="宋体" w:cs="Times New Roman"/>
      <w:sz w:val="18"/>
      <w:szCs w:val="18"/>
    </w:rPr>
  </w:style>
  <w:style w:type="paragraph" w:styleId="17">
    <w:name w:val="List Paragraph"/>
    <w:basedOn w:val="1"/>
    <w:link w:val="20"/>
    <w:qFormat/>
    <w:uiPriority w:val="99"/>
    <w:pPr>
      <w:ind w:firstLine="420" w:firstLineChars="200"/>
    </w:pPr>
  </w:style>
  <w:style w:type="character" w:customStyle="1" w:styleId="18">
    <w:name w:val="页眉 字符"/>
    <w:basedOn w:val="12"/>
    <w:link w:val="8"/>
    <w:semiHidden/>
    <w:qFormat/>
    <w:uiPriority w:val="99"/>
    <w:rPr>
      <w:rFonts w:ascii="Calibri" w:hAnsi="Calibri" w:eastAsia="宋体" w:cs="Times New Roman"/>
      <w:kern w:val="2"/>
      <w:sz w:val="18"/>
      <w:szCs w:val="18"/>
    </w:rPr>
  </w:style>
  <w:style w:type="character" w:customStyle="1" w:styleId="19">
    <w:name w:val="标题 2 字符"/>
    <w:basedOn w:val="12"/>
    <w:link w:val="3"/>
    <w:qFormat/>
    <w:uiPriority w:val="9"/>
    <w:rPr>
      <w:rFonts w:asciiTheme="majorHAnsi" w:hAnsiTheme="majorHAnsi" w:eastAsiaTheme="majorEastAsia" w:cstheme="majorBidi"/>
      <w:b/>
      <w:bCs/>
      <w:kern w:val="2"/>
      <w:sz w:val="32"/>
      <w:szCs w:val="32"/>
    </w:rPr>
  </w:style>
  <w:style w:type="character" w:customStyle="1" w:styleId="20">
    <w:name w:val="列出段落 字符"/>
    <w:link w:val="17"/>
    <w:qFormat/>
    <w:locked/>
    <w:uiPriority w:val="99"/>
    <w:rPr>
      <w:rFonts w:ascii="Calibri" w:hAnsi="Calibri" w:eastAsia="宋体" w:cs="Times New Roman"/>
      <w:kern w:val="2"/>
      <w:sz w:val="21"/>
      <w:szCs w:val="24"/>
    </w:rPr>
  </w:style>
  <w:style w:type="paragraph" w:customStyle="1" w:styleId="21">
    <w:name w:val="闻政-正文段落文字"/>
    <w:basedOn w:val="1"/>
    <w:qFormat/>
    <w:uiPriority w:val="3"/>
    <w:pPr>
      <w:spacing w:line="500" w:lineRule="exact"/>
      <w:ind w:firstLine="200"/>
    </w:pPr>
    <w:rPr>
      <w:rFonts w:ascii="Times New Roman" w:hAnsi="Times New Roman" w:eastAsiaTheme="minorEastAsia"/>
      <w:kern w:val="0"/>
      <w:szCs w:val="28"/>
    </w:rPr>
  </w:style>
  <w:style w:type="character" w:customStyle="1" w:styleId="22">
    <w:name w:val="批注框文本 字符"/>
    <w:basedOn w:val="12"/>
    <w:link w:val="6"/>
    <w:semiHidden/>
    <w:qFormat/>
    <w:uiPriority w:val="99"/>
    <w:rPr>
      <w:rFonts w:ascii="Calibri" w:hAnsi="Calibri" w:eastAsia="宋体" w:cs="Times New Roman"/>
      <w:kern w:val="2"/>
      <w:sz w:val="18"/>
      <w:szCs w:val="18"/>
    </w:rPr>
  </w:style>
  <w:style w:type="paragraph" w:customStyle="1" w:styleId="23">
    <w:name w:val="WPSOffice手动目录 1"/>
    <w:qFormat/>
    <w:uiPriority w:val="0"/>
    <w:rPr>
      <w:rFonts w:ascii="Times New Roman" w:hAnsi="Times New Roman" w:eastAsia="宋体" w:cs="Times New Roman"/>
      <w:lang w:val="en-US" w:eastAsia="zh-CN" w:bidi="ar-SA"/>
    </w:rPr>
  </w:style>
  <w:style w:type="character" w:customStyle="1" w:styleId="24">
    <w:name w:val="批注文字 字符"/>
    <w:basedOn w:val="12"/>
    <w:link w:val="5"/>
    <w:semiHidden/>
    <w:qFormat/>
    <w:uiPriority w:val="99"/>
    <w:rPr>
      <w:rFonts w:ascii="Calibri" w:hAnsi="Calibri" w:eastAsia="宋体" w:cs="Times New Roman"/>
      <w:kern w:val="2"/>
      <w:sz w:val="21"/>
      <w:szCs w:val="24"/>
    </w:rPr>
  </w:style>
  <w:style w:type="character" w:customStyle="1" w:styleId="25">
    <w:name w:val="批注主题 字符"/>
    <w:basedOn w:val="24"/>
    <w:link w:val="10"/>
    <w:semiHidden/>
    <w:uiPriority w:val="99"/>
    <w:rPr>
      <w:rFonts w:ascii="Calibri" w:hAnsi="Calibri"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glossaryDocument" Target="glossary/document.xml"/><Relationship Id="rId10" Type="http://schemas.openxmlformats.org/officeDocument/2006/relationships/fontTable" Target="fontTable.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14ea160-77bf-4b21-8345-f3b84b5afe7b}"/>
        <w:style w:val=""/>
        <w:category>
          <w:name w:val="常规"/>
          <w:gallery w:val="placeholder"/>
        </w:category>
        <w:types>
          <w:type w:val="bbPlcHdr"/>
        </w:types>
        <w:behaviors>
          <w:behavior w:val="content"/>
        </w:behaviors>
        <w:description w:val=""/>
        <w:guid w:val="{714EA160-77BF-4B21-8345-F3B84B5AFE7B}"/>
      </w:docPartPr>
      <w:docPartBody>
        <w:p>
          <w:r>
            <w:rPr>
              <w:color w:val="808080"/>
            </w:rPr>
            <w:t>单击此处输入文字。</w:t>
          </w:r>
        </w:p>
      </w:docPartBody>
    </w:docPart>
    <w:docPart>
      <w:docPartPr>
        <w:name w:val="{69aa6814-cd28-4cf4-908d-2a97aa389962}"/>
        <w:style w:val=""/>
        <w:category>
          <w:name w:val="常规"/>
          <w:gallery w:val="placeholder"/>
        </w:category>
        <w:types>
          <w:type w:val="bbPlcHdr"/>
        </w:types>
        <w:behaviors>
          <w:behavior w:val="content"/>
        </w:behaviors>
        <w:description w:val=""/>
        <w:guid w:val="{69AA6814-CD28-4CF4-908D-2A97AA389962}"/>
      </w:docPartPr>
      <w:docPartBody>
        <w:p>
          <w:r>
            <w:rPr>
              <w:color w:val="808080"/>
            </w:rPr>
            <w:t>单击此处输入文字。</w:t>
          </w:r>
        </w:p>
      </w:docPartBody>
    </w:docPart>
    <w:docPart>
      <w:docPartPr>
        <w:name w:val="{17f62115-e352-49b0-911a-0940bc9c9c49}"/>
        <w:style w:val=""/>
        <w:category>
          <w:name w:val="常规"/>
          <w:gallery w:val="placeholder"/>
        </w:category>
        <w:types>
          <w:type w:val="bbPlcHdr"/>
        </w:types>
        <w:behaviors>
          <w:behavior w:val="content"/>
        </w:behaviors>
        <w:description w:val=""/>
        <w:guid w:val="{17F62115-E352-49B0-911A-0940BC9C9C49}"/>
      </w:docPartPr>
      <w:docPartBody>
        <w:p>
          <w:r>
            <w:rPr>
              <w:color w:val="808080"/>
            </w:rPr>
            <w:t>单击此处输入文字。</w:t>
          </w:r>
        </w:p>
      </w:docPartBody>
    </w:docPart>
    <w:docPart>
      <w:docPartPr>
        <w:name w:val="{4f258cf5-3548-4528-875c-1e4b67763d06}"/>
        <w:style w:val=""/>
        <w:category>
          <w:name w:val="常规"/>
          <w:gallery w:val="placeholder"/>
        </w:category>
        <w:types>
          <w:type w:val="bbPlcHdr"/>
        </w:types>
        <w:behaviors>
          <w:behavior w:val="content"/>
        </w:behaviors>
        <w:description w:val=""/>
        <w:guid w:val="{4F258CF5-3548-4528-875C-1E4B67763D06}"/>
      </w:docPartPr>
      <w:docPartBody>
        <w:p>
          <w:r>
            <w:rPr>
              <w:color w:val="808080"/>
            </w:rPr>
            <w:t>单击此处输入文字。</w:t>
          </w:r>
        </w:p>
      </w:docPartBody>
    </w:docPart>
    <w:docPart>
      <w:docPartPr>
        <w:name w:val="{211679c4-dbdf-47e1-b5ab-1d9b5864b60b}"/>
        <w:style w:val=""/>
        <w:category>
          <w:name w:val="常规"/>
          <w:gallery w:val="placeholder"/>
        </w:category>
        <w:types>
          <w:type w:val="bbPlcHdr"/>
        </w:types>
        <w:behaviors>
          <w:behavior w:val="content"/>
        </w:behaviors>
        <w:description w:val=""/>
        <w:guid w:val="{211679C4-DBDF-47E1-B5AB-1D9B5864B60B}"/>
      </w:docPartPr>
      <w:docPartBody>
        <w:p>
          <w:r>
            <w:rPr>
              <w:color w:val="808080"/>
            </w:rPr>
            <w:t>单击此处输入文字。</w:t>
          </w:r>
        </w:p>
      </w:docPartBody>
    </w:docPart>
    <w:docPart>
      <w:docPartPr>
        <w:name w:val="{bc2dcf30-d5c6-4ea4-aa33-da4744a5446d}"/>
        <w:style w:val=""/>
        <w:category>
          <w:name w:val="常规"/>
          <w:gallery w:val="placeholder"/>
        </w:category>
        <w:types>
          <w:type w:val="bbPlcHdr"/>
        </w:types>
        <w:behaviors>
          <w:behavior w:val="content"/>
        </w:behaviors>
        <w:description w:val=""/>
        <w:guid w:val="{BC2DCF30-D5C6-4EA4-AA33-DA4744A5446D}"/>
      </w:docPartPr>
      <w:docPartBody>
        <w:p>
          <w:r>
            <w:rPr>
              <w:color w:val="808080"/>
            </w:rPr>
            <w:t>单击此处输入文字。</w:t>
          </w:r>
        </w:p>
      </w:docPartBody>
    </w:docPart>
    <w:docPart>
      <w:docPartPr>
        <w:name w:val="{4a21a7cd-2d93-41c0-be48-8b866c5d9248}"/>
        <w:style w:val=""/>
        <w:category>
          <w:name w:val="常规"/>
          <w:gallery w:val="placeholder"/>
        </w:category>
        <w:types>
          <w:type w:val="bbPlcHdr"/>
        </w:types>
        <w:behaviors>
          <w:behavior w:val="content"/>
        </w:behaviors>
        <w:description w:val=""/>
        <w:guid w:val="{4A21A7CD-2D93-41C0-BE48-8B866C5D9248}"/>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4659B"/>
    <w:rsid w:val="0094659B"/>
    <w:rsid w:val="009B6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1501</Words>
  <Characters>8558</Characters>
  <Lines>71</Lines>
  <Paragraphs>20</Paragraphs>
  <TotalTime>6</TotalTime>
  <ScaleCrop>false</ScaleCrop>
  <LinksUpToDate>false</LinksUpToDate>
  <CharactersWithSpaces>10039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2020-03-25T11:26:00Z</dcterms:created>
  <dc:creator>颜娜</dc:creator>
  <cp:lastModifiedBy>Administrator</cp:lastModifiedBy>
  <cp:lastPrinted>2020-04-23T05:07:00Z</cp:lastPrinted>
  <dcterms:modified xsi:type="dcterms:W3CDTF">2025-09-04T09:03:06Z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KSOSaveFontToCloudKey">
    <vt:lpwstr>0_btnclosed</vt:lpwstr>
  </property>
  <property fmtid="{D5CDD505-2E9C-101B-9397-08002B2CF9AE}" pid="4" name="ICV">
    <vt:lpwstr>75546FB88EA6494D852C0229A3EC4D58</vt:lpwstr>
  </property>
</Properties>
</file>