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480" w:lineRule="auto"/>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行政单位离休人员医药费项目支出</w:t>
      </w:r>
    </w:p>
    <w:p>
      <w:pPr>
        <w:spacing w:line="480" w:lineRule="auto"/>
        <w:jc w:val="center"/>
        <w:rPr>
          <w:rFonts w:hint="eastAsia" w:ascii="方正小标宋简体" w:hAnsi="方正小标宋简体" w:eastAsia="方正小标宋简体" w:cs="方正小标宋简体"/>
          <w:kern w:val="0"/>
          <w:sz w:val="44"/>
          <w:szCs w:val="44"/>
        </w:rPr>
      </w:pPr>
      <w:r>
        <w:rPr>
          <w:rFonts w:hint="eastAsia" w:ascii="方正小标宋简体" w:hAnsi="方正小标宋简体" w:eastAsia="方正小标宋简体" w:cs="方正小标宋简体"/>
          <w:kern w:val="0"/>
          <w:sz w:val="44"/>
          <w:szCs w:val="44"/>
        </w:rPr>
        <w:t>绩效评价报告</w:t>
      </w: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 20</w:t>
      </w:r>
      <w:r>
        <w:rPr>
          <w:rFonts w:hint="eastAsia" w:ascii="仿宋_GB2312" w:hAnsi="仿宋_GB2312" w:eastAsia="仿宋_GB2312" w:cs="仿宋_GB2312"/>
          <w:kern w:val="0"/>
          <w:sz w:val="36"/>
          <w:szCs w:val="36"/>
          <w:lang w:val="en-US" w:eastAsia="zh-CN"/>
        </w:rPr>
        <w:t>20</w:t>
      </w:r>
      <w:r>
        <w:rPr>
          <w:rFonts w:hint="eastAsia" w:ascii="仿宋_GB2312" w:hAnsi="仿宋_GB2312" w:eastAsia="仿宋_GB2312" w:cs="仿宋_GB2312"/>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480" w:lineRule="auto"/>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项目名称：行政单位离休人员医药费项目</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实施单位（公章）：</w:t>
      </w:r>
      <w:r>
        <w:rPr>
          <w:rFonts w:hint="eastAsia" w:ascii="仿宋_GB2312" w:hAnsi="仿宋_GB2312" w:eastAsia="仿宋_GB2312" w:cs="仿宋_GB2312"/>
          <w:kern w:val="0"/>
          <w:sz w:val="36"/>
          <w:szCs w:val="36"/>
          <w:lang w:val="en-US" w:eastAsia="zh-CN"/>
        </w:rPr>
        <w:t>塔城地区医疗保障局</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主管部门（公章）：</w:t>
      </w:r>
      <w:r>
        <w:rPr>
          <w:rFonts w:hint="eastAsia" w:ascii="仿宋_GB2312" w:hAnsi="仿宋_GB2312" w:eastAsia="仿宋_GB2312" w:cs="仿宋_GB2312"/>
          <w:kern w:val="0"/>
          <w:sz w:val="36"/>
          <w:szCs w:val="36"/>
          <w:lang w:val="en-US" w:eastAsia="zh-CN"/>
        </w:rPr>
        <w:t>塔城地区医疗保障局</w:t>
      </w:r>
    </w:p>
    <w:p>
      <w:pPr>
        <w:spacing w:line="700" w:lineRule="exact"/>
        <w:ind w:firstLine="720" w:firstLineChars="200"/>
        <w:jc w:val="left"/>
        <w:rPr>
          <w:rFonts w:hint="eastAsia" w:ascii="仿宋_GB2312" w:hAnsi="仿宋_GB2312" w:eastAsia="仿宋_GB2312" w:cs="仿宋_GB2312"/>
          <w:kern w:val="0"/>
          <w:sz w:val="36"/>
          <w:szCs w:val="36"/>
          <w:lang w:val="en-US" w:eastAsia="zh-CN"/>
        </w:rPr>
      </w:pPr>
      <w:r>
        <w:rPr>
          <w:rFonts w:hint="eastAsia" w:ascii="仿宋_GB2312" w:hAnsi="仿宋_GB2312" w:eastAsia="仿宋_GB2312" w:cs="仿宋_GB2312"/>
          <w:kern w:val="0"/>
          <w:sz w:val="36"/>
          <w:szCs w:val="36"/>
        </w:rPr>
        <w:t>项目负责人（签章）：</w:t>
      </w:r>
      <w:r>
        <w:rPr>
          <w:rFonts w:hint="eastAsia" w:ascii="仿宋_GB2312" w:hAnsi="仿宋_GB2312" w:eastAsia="仿宋_GB2312" w:cs="仿宋_GB2312"/>
          <w:kern w:val="0"/>
          <w:sz w:val="36"/>
          <w:szCs w:val="36"/>
          <w:lang w:val="en-US" w:eastAsia="zh-CN"/>
        </w:rPr>
        <w:t>木合塔尔·巴扎尔别克</w:t>
      </w:r>
    </w:p>
    <w:p>
      <w:pPr>
        <w:spacing w:line="700" w:lineRule="exact"/>
        <w:ind w:firstLine="720" w:firstLineChars="200"/>
        <w:jc w:val="left"/>
        <w:rPr>
          <w:rFonts w:hint="eastAsia" w:ascii="仿宋_GB2312" w:hAnsi="仿宋_GB2312" w:eastAsia="仿宋_GB2312" w:cs="仿宋_GB2312"/>
          <w:kern w:val="0"/>
          <w:sz w:val="36"/>
          <w:szCs w:val="36"/>
        </w:rPr>
      </w:pPr>
      <w:r>
        <w:rPr>
          <w:rFonts w:hint="eastAsia" w:ascii="仿宋_GB2312" w:hAnsi="仿宋_GB2312" w:eastAsia="仿宋_GB2312" w:cs="仿宋_GB2312"/>
          <w:kern w:val="0"/>
          <w:sz w:val="36"/>
          <w:szCs w:val="36"/>
        </w:rPr>
        <w:t>填报时间：</w:t>
      </w:r>
      <w:r>
        <w:rPr>
          <w:rFonts w:hint="eastAsia" w:ascii="仿宋_GB2312" w:hAnsi="仿宋_GB2312" w:eastAsia="仿宋_GB2312" w:cs="仿宋_GB2312"/>
          <w:kern w:val="0"/>
          <w:sz w:val="36"/>
          <w:szCs w:val="36"/>
          <w:lang w:val="en-US" w:eastAsia="zh-CN"/>
        </w:rPr>
        <w:t>2021</w:t>
      </w:r>
      <w:r>
        <w:rPr>
          <w:rFonts w:hint="eastAsia" w:ascii="仿宋_GB2312" w:hAnsi="仿宋_GB2312" w:eastAsia="仿宋_GB2312" w:cs="仿宋_GB2312"/>
          <w:kern w:val="0"/>
          <w:sz w:val="36"/>
          <w:szCs w:val="36"/>
        </w:rPr>
        <w:t>年</w:t>
      </w:r>
      <w:r>
        <w:rPr>
          <w:rFonts w:hint="eastAsia" w:ascii="仿宋_GB2312" w:hAnsi="仿宋_GB2312" w:eastAsia="仿宋_GB2312" w:cs="仿宋_GB2312"/>
          <w:kern w:val="0"/>
          <w:sz w:val="36"/>
          <w:szCs w:val="36"/>
          <w:lang w:val="en-US" w:eastAsia="zh-CN"/>
        </w:rPr>
        <w:t>4</w:t>
      </w:r>
      <w:r>
        <w:rPr>
          <w:rFonts w:hint="eastAsia" w:ascii="仿宋_GB2312" w:hAnsi="仿宋_GB2312" w:eastAsia="仿宋_GB2312" w:cs="仿宋_GB2312"/>
          <w:kern w:val="0"/>
          <w:sz w:val="36"/>
          <w:szCs w:val="36"/>
        </w:rPr>
        <w:t>月</w:t>
      </w:r>
      <w:r>
        <w:rPr>
          <w:rFonts w:hint="eastAsia" w:ascii="仿宋_GB2312" w:hAnsi="仿宋_GB2312" w:eastAsia="仿宋_GB2312" w:cs="仿宋_GB2312"/>
          <w:kern w:val="0"/>
          <w:sz w:val="36"/>
          <w:szCs w:val="36"/>
          <w:lang w:val="en-US" w:eastAsia="zh-CN"/>
        </w:rPr>
        <w:t>7</w:t>
      </w:r>
      <w:r>
        <w:rPr>
          <w:rFonts w:hint="eastAsia" w:ascii="仿宋_GB2312" w:hAnsi="仿宋_GB2312" w:eastAsia="仿宋_GB2312" w:cs="仿宋_GB2312"/>
          <w:kern w:val="0"/>
          <w:sz w:val="36"/>
          <w:szCs w:val="36"/>
        </w:rPr>
        <w:t>日</w:t>
      </w:r>
    </w:p>
    <w:p>
      <w:pPr>
        <w:spacing w:line="540" w:lineRule="exact"/>
        <w:jc w:val="center"/>
        <w:rPr>
          <w:rFonts w:hAnsi="宋体" w:eastAsia="仿宋_GB2312" w:cs="宋体"/>
          <w:kern w:val="0"/>
          <w:sz w:val="30"/>
          <w:szCs w:val="30"/>
        </w:rPr>
      </w:pPr>
    </w:p>
    <w:p>
      <w:pPr>
        <w:pageBreakBefore w:val="0"/>
        <w:kinsoku/>
        <w:wordWrap/>
        <w:overflowPunct/>
        <w:topLinePunct w:val="0"/>
        <w:autoSpaceDE/>
        <w:autoSpaceDN/>
        <w:bidi w:val="0"/>
        <w:adjustRightInd/>
        <w:snapToGrid/>
        <w:spacing w:line="560" w:lineRule="atLeast"/>
        <w:textAlignment w:val="auto"/>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atLeast"/>
        <w:textAlignment w:val="auto"/>
        <w:rPr>
          <w:rStyle w:val="21"/>
          <w:rFonts w:ascii="黑体" w:hAnsi="黑体" w:eastAsia="黑体"/>
          <w:b w:val="0"/>
          <w:spacing w:val="-4"/>
          <w:sz w:val="32"/>
          <w:szCs w:val="32"/>
        </w:rPr>
      </w:pPr>
    </w:p>
    <w:p>
      <w:pPr>
        <w:pageBreakBefore w:val="0"/>
        <w:kinsoku/>
        <w:wordWrap/>
        <w:overflowPunct/>
        <w:topLinePunct w:val="0"/>
        <w:autoSpaceDE/>
        <w:autoSpaceDN/>
        <w:bidi w:val="0"/>
        <w:adjustRightInd/>
        <w:snapToGrid/>
        <w:spacing w:line="560" w:lineRule="atLeast"/>
        <w:textAlignment w:val="auto"/>
        <w:rPr>
          <w:rFonts w:ascii="黑体" w:hAnsi="黑体" w:eastAsia="黑体" w:cs="黑体"/>
          <w:bCs/>
          <w:sz w:val="32"/>
          <w:szCs w:val="32"/>
        </w:rPr>
      </w:pPr>
      <w:r>
        <w:rPr>
          <w:rFonts w:hint="eastAsia" w:ascii="黑体" w:hAnsi="黑体" w:eastAsia="黑体" w:cs="黑体"/>
          <w:bCs/>
          <w:sz w:val="32"/>
          <w:szCs w:val="32"/>
        </w:rPr>
        <w:t>一、基本情况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（一）项目概况</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1、项目背景</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离休人员是党和国家的宝贵财富，他们为中国人民革命和社会主义建设事业作出过不可磨灭的贡献。今天，他们已普遍进入高龄和高发病期，实报实销医疗政策正是体现了党和国家对离休人员的关心和爱护。为了保障离休人员的医疗待遇，加强和规范离休人员医疗费管理，根据相关文件要求，保障2020年离休人员医药待遇正常支付，加强组织领导、密切部门协作，强化监督检查。严格执行年初项目预算绩效目标要求，严格项目资金管理，资金专款专用，将任务落实到具体项目，明确责任主体。</w:t>
      </w:r>
    </w:p>
    <w:p>
      <w:pPr>
        <w:pageBreakBefore w:val="0"/>
        <w:numPr>
          <w:ilvl w:val="0"/>
          <w:numId w:val="1"/>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项目主要内容及实施情况</w:t>
      </w:r>
    </w:p>
    <w:p>
      <w:pPr>
        <w:pStyle w:val="2"/>
        <w:pageBreakBefore w:val="0"/>
        <w:kinsoku/>
        <w:wordWrap/>
        <w:overflowPunct/>
        <w:topLinePunct w:val="0"/>
        <w:autoSpaceDE/>
        <w:autoSpaceDN/>
        <w:bidi w:val="0"/>
        <w:adjustRightInd/>
        <w:snapToGrid/>
        <w:spacing w:before="0" w:after="0" w:line="560" w:lineRule="atLeast"/>
        <w:ind w:firstLine="640" w:firstLineChars="200"/>
        <w:jc w:val="both"/>
        <w:textAlignment w:val="auto"/>
        <w:rPr>
          <w:b/>
          <w:bCs/>
        </w:rPr>
      </w:pPr>
      <w:r>
        <w:rPr>
          <w:rFonts w:hint="eastAsia" w:ascii="仿宋_GB2312" w:hAnsi="仿宋_GB2312" w:eastAsia="仿宋_GB2312" w:cs="仿宋_GB2312"/>
          <w:b w:val="0"/>
          <w:bCs w:val="0"/>
          <w:kern w:val="2"/>
        </w:rPr>
        <w:t>项目主要内容：</w:t>
      </w:r>
    </w:p>
    <w:p>
      <w:pPr>
        <w:keepNext w:val="0"/>
        <w:keepLines w:val="0"/>
        <w:pageBreakBefore w:val="0"/>
        <w:kinsoku/>
        <w:wordWrap/>
        <w:overflowPunct/>
        <w:topLinePunct w:val="0"/>
        <w:autoSpaceDE/>
        <w:autoSpaceDN/>
        <w:bidi w:val="0"/>
        <w:adjustRightInd/>
        <w:snapToGrid/>
        <w:spacing w:line="560" w:lineRule="atLeas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享受范围及经办机构：</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320" w:firstLineChars="100"/>
        <w:textAlignment w:val="auto"/>
        <w:rPr>
          <w:rFonts w:hint="eastAsia"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1.</w:t>
      </w:r>
      <w:r>
        <w:rPr>
          <w:rFonts w:hint="eastAsia" w:ascii="仿宋_GB2312" w:hAnsi="仿宋_GB2312" w:eastAsia="仿宋_GB2312" w:cs="仿宋_GB2312"/>
          <w:b w:val="0"/>
          <w:bCs w:val="0"/>
          <w:kern w:val="0"/>
          <w:sz w:val="32"/>
          <w:szCs w:val="32"/>
          <w:lang w:val="en-US" w:eastAsia="zh-CN" w:bidi="ar-SA"/>
        </w:rPr>
        <w:t>保障范围为塔城地区地直本级行政事业单位及企业建国前参加革命工作，并按照国家、自治区有关规定取得离休证书享受离休待遇的人员；</w:t>
      </w:r>
      <w:r>
        <w:rPr>
          <w:rFonts w:hint="eastAsia" w:ascii="仿宋_GB2312" w:hAnsi="仿宋_GB2312" w:cs="仿宋_GB2312"/>
          <w:b w:val="0"/>
          <w:bCs w:val="0"/>
          <w:kern w:val="0"/>
          <w:sz w:val="32"/>
          <w:szCs w:val="32"/>
          <w:lang w:val="en-US" w:eastAsia="zh-CN" w:bidi="ar-SA"/>
        </w:rPr>
        <w:t>建国以前参加革命工作享受原工人100%退休费的退休工人，截至2011年5月，地直本级负责报销医药费离休人员43人名，其中行政单位25人，事业单位13人，企业纳入财政及由财政缴费的5人。</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320" w:firstLineChars="100"/>
        <w:textAlignment w:val="auto"/>
        <w:rPr>
          <w:rFonts w:hint="default"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2.离休人员在本地区看病实行定点医疗制度，定点医院是地区人民医院、地区民族中医院、地区妇幼保健院。地区妇幼保健院仅限门诊就诊。</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320" w:firstLineChars="100"/>
        <w:textAlignment w:val="auto"/>
        <w:rPr>
          <w:rFonts w:hint="default"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3.地区医疗保障局负责经办离休人员医疗费报销等具体管理工作。</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320" w:firstLineChars="100"/>
        <w:textAlignment w:val="auto"/>
        <w:rPr>
          <w:rFonts w:hint="default"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4.原企业离休人员交通费、取暖费等其他费用的划拨、清算及发放工作继续由地区委老干部局负责。</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3" w:firstLineChars="200"/>
        <w:textAlignment w:val="auto"/>
        <w:rPr>
          <w:rFonts w:hint="eastAsia" w:ascii="仿宋_GB2312" w:hAnsi="仿宋_GB2312" w:cs="仿宋_GB2312"/>
          <w:b/>
          <w:bCs/>
          <w:kern w:val="0"/>
          <w:sz w:val="32"/>
          <w:szCs w:val="32"/>
          <w:lang w:val="en-US" w:eastAsia="zh-CN" w:bidi="ar-SA"/>
        </w:rPr>
      </w:pPr>
      <w:r>
        <w:rPr>
          <w:rFonts w:hint="eastAsia" w:ascii="仿宋_GB2312" w:hAnsi="仿宋_GB2312" w:cs="仿宋_GB2312"/>
          <w:b/>
          <w:bCs/>
          <w:kern w:val="0"/>
          <w:sz w:val="32"/>
          <w:szCs w:val="32"/>
          <w:lang w:val="en-US" w:eastAsia="zh-CN" w:bidi="ar-SA"/>
        </w:rPr>
        <w:t>经费来源与报销</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_GB2312" w:hAnsi="仿宋_GB2312" w:cs="仿宋_GB2312"/>
          <w:b w:val="0"/>
          <w:bCs w:val="0"/>
          <w:kern w:val="0"/>
          <w:sz w:val="32"/>
          <w:szCs w:val="32"/>
          <w:lang w:val="en-US" w:eastAsia="zh-CN" w:bidi="ar-SA"/>
        </w:rPr>
      </w:pPr>
      <w:r>
        <w:rPr>
          <w:rFonts w:hint="eastAsia" w:ascii="Calibri" w:hAnsi="Calibri" w:cs="Calibri"/>
          <w:b w:val="0"/>
          <w:bCs w:val="0"/>
          <w:kern w:val="0"/>
          <w:sz w:val="32"/>
          <w:szCs w:val="32"/>
          <w:lang w:val="en-US" w:eastAsia="zh-CN" w:bidi="ar-SA"/>
        </w:rPr>
        <w:t>1.行政单位25人，事业单位13人，企业纳入财政及由财政缴费的5人医疗费由财政承担。标准继续按照</w:t>
      </w:r>
      <w:r>
        <w:rPr>
          <w:rFonts w:hint="eastAsia" w:ascii="仿宋_GB2312" w:hAnsi="仿宋_GB2312" w:eastAsia="仿宋_GB2312" w:cs="仿宋_GB2312"/>
          <w:b w:val="0"/>
          <w:bCs w:val="0"/>
          <w:kern w:val="0"/>
          <w:sz w:val="32"/>
          <w:szCs w:val="32"/>
          <w:lang w:val="en-US" w:eastAsia="zh-CN" w:bidi="ar-SA"/>
        </w:rPr>
        <w:t>相关</w:t>
      </w:r>
      <w:r>
        <w:rPr>
          <w:rFonts w:hint="eastAsia" w:ascii="仿宋_GB2312" w:hAnsi="仿宋_GB2312" w:cs="仿宋_GB2312"/>
          <w:b w:val="0"/>
          <w:bCs w:val="0"/>
          <w:kern w:val="0"/>
          <w:sz w:val="32"/>
          <w:szCs w:val="32"/>
          <w:lang w:val="en-US" w:eastAsia="zh-CN" w:bidi="ar-SA"/>
        </w:rPr>
        <w:t>文件执行。</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2.医疗保障局按月登记离休人员医药费并上报财政，经财政审核后次月初拨付报销，医疗保障局原则上每年末不留余额。</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3.异地安置离休人员医药费随时报销。本地离休人员每星期四为医疗费登记日，月末最后一星期报销，次月初医药费打入本人银行卡。年度内的报销截至每年十二月二十日之前，未按时报销的医疗费结转下年报销。</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_GB2312" w:hAnsi="仿宋_GB2312" w:cs="仿宋_GB2312"/>
          <w:b w:val="0"/>
          <w:bCs w:val="0"/>
          <w:kern w:val="0"/>
          <w:sz w:val="32"/>
          <w:szCs w:val="32"/>
          <w:lang w:val="en-US" w:eastAsia="zh-CN" w:bidi="ar-SA"/>
        </w:rPr>
      </w:pPr>
      <w:r>
        <w:rPr>
          <w:rFonts w:hint="eastAsia" w:ascii="仿宋_GB2312" w:hAnsi="仿宋_GB2312" w:eastAsia="仿宋_GB2312" w:cs="仿宋_GB2312"/>
          <w:b w:val="0"/>
          <w:bCs w:val="0"/>
          <w:sz w:val="32"/>
          <w:szCs w:val="32"/>
        </w:rPr>
        <w:t>项目实施情况：</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eastAsia"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1.离休人员就医用药范围，原则上执行城镇职工基本医疗保险2010年版《新疆维吾尔自治区职工基本医疗保险和工伤保险药品目录》、《新疆维吾尔自治区基本医疗保险诊疗项目目录》和《新疆维吾尔自治区基本医疗保险医疗服务设施范围及标准》，目录以外的费用由个人承担。医院在使用目录范围以外的治疗性药品或诊疗项目时，应告知离休人员。</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default"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2.离休人员住院、转院前需在入（转）院前向医疗保障局登记备案，异地安置离休人员需电话告知医疗保障局。医疗保障局对离休人员住院情况进行稽核检查，对未进行登记住院人员费用不予报销。住院报销应附出入院证、住院发票、住院费用清单等。离休人员因探亲、旅游等事由短期内赴外地，应事先告知医疗保障局。在外地看病就医应首选当地医疗保险定点医院，医药发票须附清单。</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default"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3.离休人员门诊用药：一般病为一周内用药量，慢性病不超过两周用药量。出院带药控制在两周内的用药量，不得带与病情无关的药物。外购药品从严控制，原则上不允许外购药品。但对确属医疗必须外购又符合《药品目录》范围内的药品，需定点医院开具处方及本院无药证明，向医疗保障局申报登记后，可准予外购，否则不予报销。外购发票应列药品清单，与处方一致。定点医药无离休人员所必须诊疗检查项目，可向医疗保障局申报登记后，在其他医院检查。</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default"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4.确因病情需要进行器官或组织移植，安装人工器官或心脏起搏器等，其费用个人自付5%。人工器官、体内置放材料原则上按国产材料价格计算，其高出国产材料价格的部分由患者自理，对尚未有国产材料及价格的，其费用个人自付30%。</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rPr>
          <w:rFonts w:hint="default" w:ascii="仿宋_GB2312" w:hAnsi="仿宋_GB2312" w:cs="仿宋_GB2312"/>
          <w:b w:val="0"/>
          <w:bCs w:val="0"/>
          <w:kern w:val="0"/>
          <w:sz w:val="32"/>
          <w:szCs w:val="32"/>
          <w:lang w:val="en-US" w:eastAsia="zh-CN" w:bidi="ar-SA"/>
        </w:rPr>
      </w:pPr>
      <w:r>
        <w:rPr>
          <w:rFonts w:hint="eastAsia" w:ascii="仿宋_GB2312" w:hAnsi="仿宋_GB2312" w:cs="仿宋_GB2312"/>
          <w:b w:val="0"/>
          <w:bCs w:val="0"/>
          <w:kern w:val="0"/>
          <w:sz w:val="32"/>
          <w:szCs w:val="32"/>
          <w:lang w:val="en-US" w:eastAsia="zh-CN" w:bidi="ar-SA"/>
        </w:rPr>
        <w:t>5.对慢性病或危重病人、生活不能自理的离休人员，确需开设家庭病床的，定点医院根据规定的病种范围提出建议，经老干部局核实、财政局认可，由医疗保障局给予办理有关手续。</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pPr>
      <w:r>
        <w:rPr>
          <w:rFonts w:hint="eastAsia" w:ascii="仿宋_GB2312" w:hAnsi="仿宋_GB2312" w:cs="仿宋_GB2312"/>
          <w:b w:val="0"/>
          <w:bCs w:val="0"/>
          <w:kern w:val="0"/>
          <w:sz w:val="32"/>
          <w:szCs w:val="32"/>
          <w:lang w:val="en-US" w:eastAsia="zh-CN" w:bidi="ar-SA"/>
        </w:rPr>
        <w:t>6.离休人员如遇特殊情况如急诊、急救可在就近医疗单位就医购药，但须在三日内向医疗保障局申报备案。</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万元，其中：财政本级资金</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万元。项目实际支出</w:t>
      </w:r>
      <w:r>
        <w:rPr>
          <w:rFonts w:hint="eastAsia" w:ascii="仿宋_GB2312" w:hAnsi="仿宋_GB2312" w:eastAsia="仿宋_GB2312" w:cs="仿宋_GB2312"/>
          <w:sz w:val="32"/>
          <w:szCs w:val="32"/>
          <w:lang w:val="en-US" w:eastAsia="zh-CN"/>
        </w:rPr>
        <w:t>54.22</w:t>
      </w:r>
      <w:r>
        <w:rPr>
          <w:rFonts w:hint="eastAsia" w:ascii="仿宋_GB2312" w:hAnsi="仿宋_GB2312" w:eastAsia="仿宋_GB2312" w:cs="仿宋_GB2312"/>
          <w:sz w:val="32"/>
          <w:szCs w:val="32"/>
        </w:rPr>
        <w:t>万元， 支出率为</w:t>
      </w:r>
      <w:r>
        <w:rPr>
          <w:rFonts w:hint="eastAsia" w:ascii="仿宋_GB2312" w:hAnsi="仿宋_GB2312" w:eastAsia="仿宋_GB2312" w:cs="仿宋_GB2312"/>
          <w:sz w:val="32"/>
          <w:szCs w:val="32"/>
          <w:lang w:val="en-US" w:eastAsia="zh-CN"/>
        </w:rPr>
        <w:t>60.24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尽职尽责管好用好离休人员医药费厉行节约财政资金35.78万元</w:t>
      </w:r>
      <w:r>
        <w:rPr>
          <w:rFonts w:hint="eastAsia" w:ascii="仿宋_GB2312" w:hAnsi="仿宋_GB2312" w:eastAsia="仿宋_GB2312" w:cs="仿宋_GB2312"/>
          <w:sz w:val="32"/>
          <w:szCs w:val="32"/>
        </w:rPr>
        <w:t>。</w:t>
      </w:r>
    </w:p>
    <w:p>
      <w:pPr>
        <w:pageBreakBefore w:val="0"/>
        <w:kinsoku/>
        <w:wordWrap/>
        <w:overflowPunct/>
        <w:topLinePunct w:val="0"/>
        <w:autoSpaceDE/>
        <w:autoSpaceDN/>
        <w:bidi w:val="0"/>
        <w:adjustRightInd/>
        <w:snapToGrid/>
        <w:spacing w:line="560" w:lineRule="atLeast"/>
        <w:ind w:firstLine="581" w:firstLineChars="181"/>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3、资金投入和使用情况</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（1）资金安排</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项目总投资</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万元，按照《</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资金管理办法》及单位财务制度等相关规定，资金支出符合</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专项资金费用范围，做到了专款专用。在项目资金拨付和使用过程中，为确保项目资金的安全性，提高项目资金使用效率，严格遵循</w:t>
      </w:r>
      <w:r>
        <w:rPr>
          <w:rFonts w:hint="eastAsia" w:ascii="仿宋_GB2312" w:hAnsi="仿宋_GB2312" w:eastAsia="仿宋_GB2312" w:cs="仿宋_GB2312"/>
          <w:sz w:val="32"/>
          <w:szCs w:val="32"/>
          <w:lang w:val="en-US" w:eastAsia="zh-CN"/>
        </w:rPr>
        <w:t>项目</w:t>
      </w:r>
      <w:r>
        <w:rPr>
          <w:rFonts w:hint="eastAsia" w:ascii="仿宋_GB2312" w:hAnsi="仿宋_GB2312" w:eastAsia="仿宋_GB2312" w:cs="仿宋_GB2312"/>
          <w:sz w:val="32"/>
          <w:szCs w:val="32"/>
        </w:rPr>
        <w:t>资金的拨付程序，认真审核项目实施各阶段的相关材料和手续，根据项目实施进展情况拨付资金。</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（2）预算资金来源及使用情况</w:t>
      </w:r>
      <w:bookmarkStart w:id="0" w:name="page10"/>
      <w:bookmarkEnd w:id="0"/>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项目预算资金来源于</w:t>
      </w:r>
      <w:r>
        <w:rPr>
          <w:rFonts w:hint="eastAsia" w:ascii="仿宋_GB2312" w:hAnsi="仿宋_GB2312" w:eastAsia="仿宋_GB2312" w:cs="仿宋_GB2312"/>
          <w:b w:val="0"/>
          <w:bCs w:val="0"/>
          <w:kern w:val="0"/>
          <w:sz w:val="32"/>
          <w:szCs w:val="32"/>
          <w:lang w:val="en-US" w:eastAsia="zh-CN" w:bidi="ar-SA"/>
        </w:rPr>
        <w:t>相关</w:t>
      </w:r>
      <w:r>
        <w:rPr>
          <w:rFonts w:hint="eastAsia" w:ascii="仿宋_GB2312" w:hAnsi="仿宋_GB2312" w:eastAsia="仿宋_GB2312" w:cs="仿宋_GB2312"/>
          <w:sz w:val="32"/>
          <w:szCs w:val="32"/>
        </w:rPr>
        <w:t>文件中批复的资金，项目资金到位</w:t>
      </w:r>
      <w:r>
        <w:rPr>
          <w:rFonts w:hint="eastAsia" w:ascii="仿宋_GB2312" w:hAnsi="仿宋_GB2312" w:eastAsia="仿宋_GB2312" w:cs="仿宋_GB2312"/>
          <w:sz w:val="32"/>
          <w:szCs w:val="32"/>
          <w:lang w:val="en-US" w:eastAsia="zh-CN"/>
        </w:rPr>
        <w:t>90</w:t>
      </w:r>
      <w:r>
        <w:rPr>
          <w:rFonts w:hint="eastAsia" w:ascii="仿宋_GB2312" w:hAnsi="仿宋_GB2312" w:eastAsia="仿宋_GB2312" w:cs="仿宋_GB2312"/>
          <w:sz w:val="32"/>
          <w:szCs w:val="32"/>
        </w:rPr>
        <w:t>万元，用于支付项目实施进程中的各项费用。</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医保局要建立离休人员医疗费管理规章，对离休人员医疗费单独建账，单独管理，</w:t>
      </w:r>
      <w:r>
        <w:rPr>
          <w:rFonts w:hint="eastAsia" w:ascii="仿宋_GB2312" w:hAnsi="仿宋_GB2312" w:eastAsia="仿宋_GB2312" w:cs="仿宋_GB2312"/>
          <w:sz w:val="32"/>
          <w:szCs w:val="32"/>
          <w:lang w:eastAsia="zh-CN"/>
        </w:rPr>
        <w:t>专款专用</w:t>
      </w:r>
      <w:r>
        <w:rPr>
          <w:rFonts w:hint="eastAsia" w:ascii="仿宋_GB2312" w:hAnsi="仿宋_GB2312" w:eastAsia="仿宋_GB2312" w:cs="仿宋_GB2312"/>
          <w:sz w:val="32"/>
          <w:szCs w:val="32"/>
        </w:rPr>
        <w:t>，按照会计规范化要求加强会计核算，严格执行财务规章制度。同时建立离休人员医疗费个人支出台账，加强对离休人员医疗费的日常管理，控制医疗费用的不合理开支，定期向财政、劳动部门分析报告医药费支出情况，尽职尽责管好用好离休人员医疗费。</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Calibri" w:hAnsi="Calibri" w:eastAsia="仿宋_GB2312" w:cs="Calibri"/>
          <w:sz w:val="32"/>
          <w:szCs w:val="32"/>
          <w:lang w:val="en-US" w:eastAsia="zh-CN"/>
        </w:rPr>
        <w:t>2.</w:t>
      </w:r>
      <w:r>
        <w:rPr>
          <w:rFonts w:hint="eastAsia" w:ascii="仿宋_GB2312" w:hAnsi="仿宋_GB2312" w:eastAsia="仿宋_GB2312" w:cs="仿宋_GB2312"/>
          <w:sz w:val="32"/>
          <w:szCs w:val="32"/>
        </w:rPr>
        <w:t>加强对定点医院监督管理，防止和杜绝虚报冒领、不安规定报销以及重复检查、分解诊疗服务收费、开大处方、关系药、人情药等违纪行为，发现问题及时通报相关部门，并严肃处理。</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Calibri" w:hAnsi="Calibri" w:eastAsia="仿宋_GB2312" w:cs="Calibri"/>
          <w:sz w:val="32"/>
          <w:szCs w:val="32"/>
          <w:lang w:val="en-US" w:eastAsia="zh-CN"/>
        </w:rPr>
        <w:t>3.</w:t>
      </w:r>
      <w:r>
        <w:rPr>
          <w:rFonts w:hint="eastAsia" w:ascii="仿宋_GB2312" w:hAnsi="仿宋_GB2312" w:eastAsia="仿宋_GB2312" w:cs="仿宋_GB2312"/>
          <w:sz w:val="32"/>
          <w:szCs w:val="32"/>
        </w:rPr>
        <w:t>严格审核、规范票据报销。一是门诊发票要附处方，处方与门诊发票内容、时间填写相一致，不得分解大处方、不得跳号；二是报销住院医疗费，报销人有要提供有效的费用结算票据（附清单）和入、出院手续，内容填写完整。三是离休人员医药费应予时报销，不得分解发票跳月报销，对不按序时规定登记的医药费发票不予报销。</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按月登记离休人员医药费并向财政申请拨付资金，原则上每年末不留余额。及时登记审核，序时报销医药费，禁止拖欠。</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对徐矿铁煤集团13名离休人员医药费单独建账，单独管理。</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加强收缴工作，对企业缴费情况与在职医疗保险捆绑考核，对拒缴、不缴医药费企业采取有力措施督促收缴。</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建立离休人员健康档案，为广大离休人员提供优质、便捷的服务。</w:t>
      </w:r>
    </w:p>
    <w:p>
      <w:pPr>
        <w:pageBreakBefore w:val="0"/>
        <w:kinsoku/>
        <w:wordWrap/>
        <w:overflowPunct/>
        <w:topLinePunct w:val="0"/>
        <w:autoSpaceDE/>
        <w:autoSpaceDN/>
        <w:bidi w:val="0"/>
        <w:adjustRightInd/>
        <w:snapToGrid/>
        <w:spacing w:line="560" w:lineRule="atLeast"/>
        <w:ind w:firstLine="579" w:firstLineChars="181"/>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年底对其他县</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在塔城</w:t>
      </w:r>
      <w:r>
        <w:rPr>
          <w:rFonts w:hint="eastAsia" w:ascii="仿宋_GB2312" w:hAnsi="仿宋_GB2312" w:eastAsia="仿宋_GB2312" w:cs="仿宋_GB2312"/>
          <w:sz w:val="32"/>
          <w:szCs w:val="32"/>
          <w:lang w:eastAsia="zh-CN"/>
        </w:rPr>
        <w:t>安置地异</w:t>
      </w:r>
      <w:r>
        <w:rPr>
          <w:rFonts w:hint="eastAsia" w:ascii="仿宋_GB2312" w:hAnsi="仿宋_GB2312" w:eastAsia="仿宋_GB2312" w:cs="仿宋_GB2312"/>
          <w:sz w:val="32"/>
          <w:szCs w:val="32"/>
        </w:rPr>
        <w:t>地离休人员的垫付医药费及时清算。</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（二）项目绩效目标</w:t>
      </w:r>
    </w:p>
    <w:p>
      <w:pPr>
        <w:pStyle w:val="23"/>
        <w:keepNext w:val="0"/>
        <w:keepLines w:val="0"/>
        <w:pageBreakBefore w:val="0"/>
        <w:numPr>
          <w:ilvl w:val="0"/>
          <w:numId w:val="0"/>
        </w:numPr>
        <w:kinsoku/>
        <w:wordWrap/>
        <w:overflowPunct/>
        <w:topLinePunct w:val="0"/>
        <w:autoSpaceDE/>
        <w:autoSpaceDN/>
        <w:bidi w:val="0"/>
        <w:adjustRightInd/>
        <w:snapToGrid/>
        <w:spacing w:after="0" w:line="560" w:lineRule="atLeast"/>
        <w:ind w:firstLine="640" w:firstLineChars="200"/>
        <w:textAlignment w:val="auto"/>
      </w:pPr>
      <w:r>
        <w:rPr>
          <w:rFonts w:hint="eastAsia" w:ascii="仿宋_GB2312" w:hAnsi="仿宋_GB2312" w:eastAsia="仿宋_GB2312" w:cs="仿宋_GB2312"/>
          <w:sz w:val="32"/>
          <w:szCs w:val="32"/>
        </w:rPr>
        <w:t>总体目标</w:t>
      </w:r>
      <w:r>
        <w:rPr>
          <w:rFonts w:hint="eastAsia" w:ascii="仿宋_GB2312" w:hAnsi="仿宋_GB2312" w:cs="仿宋_GB2312"/>
          <w:sz w:val="32"/>
          <w:szCs w:val="32"/>
          <w:lang w:eastAsia="zh-CN"/>
        </w:rPr>
        <w:t>：</w:t>
      </w:r>
      <w:r>
        <w:rPr>
          <w:rFonts w:hint="eastAsia" w:ascii="仿宋_GB2312" w:hAnsi="仿宋_GB2312" w:eastAsia="仿宋_GB2312" w:cs="仿宋_GB2312"/>
          <w:b w:val="0"/>
          <w:bCs w:val="0"/>
          <w:kern w:val="0"/>
          <w:sz w:val="32"/>
          <w:szCs w:val="32"/>
          <w:lang w:val="en-US" w:eastAsia="zh-CN" w:bidi="ar-SA"/>
        </w:rPr>
        <w:t>保障范围为塔城地区地直本级行政事业单位及企业建国前参加革命工作，并按照国家、自治区有关规定取得离休证书享受离休待遇的人员；</w:t>
      </w:r>
      <w:r>
        <w:rPr>
          <w:rFonts w:hint="eastAsia" w:ascii="仿宋_GB2312" w:hAnsi="仿宋_GB2312" w:cs="仿宋_GB2312"/>
          <w:b w:val="0"/>
          <w:bCs w:val="0"/>
          <w:kern w:val="0"/>
          <w:sz w:val="32"/>
          <w:szCs w:val="32"/>
          <w:lang w:val="en-US" w:eastAsia="zh-CN" w:bidi="ar-SA"/>
        </w:rPr>
        <w:t>建国以前参加革命工作享受原工人100%退休费的退休工人，截至2011年5月，地直本级负责报销医药费离休人员43人名，其中行政单位25人，事业单位13人，企业纳入财政及由财政缴费的5人。</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2、阶段性目标</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（1）前期准备：离休人员在本地区看病实行定点医疗制度，定点医院是地区人民医院、地区民族中医院、地区妇幼保健院。地区妇幼保健院仅限门诊就诊。</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（2）组织实施：地区</w:t>
      </w:r>
      <w:r>
        <w:rPr>
          <w:rFonts w:hint="eastAsia" w:ascii="仿宋_GB2312" w:hAnsi="仿宋_GB2312" w:eastAsia="仿宋_GB2312" w:cs="仿宋_GB2312"/>
          <w:sz w:val="32"/>
          <w:szCs w:val="32"/>
          <w:lang w:val="en-US" w:eastAsia="zh-CN"/>
        </w:rPr>
        <w:t>医疗保障</w:t>
      </w:r>
      <w:r>
        <w:rPr>
          <w:rFonts w:hint="eastAsia" w:ascii="仿宋_GB2312" w:hAnsi="仿宋_GB2312" w:eastAsia="仿宋_GB2312" w:cs="仿宋_GB2312"/>
          <w:sz w:val="32"/>
          <w:szCs w:val="32"/>
        </w:rPr>
        <w:t>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以下简称</w:t>
      </w:r>
      <w:r>
        <w:rPr>
          <w:rFonts w:hint="eastAsia" w:ascii="仿宋_GB2312" w:hAnsi="仿宋_GB2312" w:eastAsia="仿宋_GB2312" w:cs="仿宋_GB2312"/>
          <w:sz w:val="32"/>
          <w:szCs w:val="32"/>
          <w:lang w:val="en-US" w:eastAsia="zh-CN"/>
        </w:rPr>
        <w:t>医</w:t>
      </w:r>
      <w:r>
        <w:rPr>
          <w:rFonts w:hint="eastAsia" w:ascii="仿宋_GB2312" w:hAnsi="仿宋_GB2312" w:eastAsia="仿宋_GB2312" w:cs="仿宋_GB2312"/>
          <w:sz w:val="32"/>
          <w:szCs w:val="32"/>
        </w:rPr>
        <w:t>保局</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负责经办离休人员医疗费报销等具体管理工作。</w:t>
      </w:r>
    </w:p>
    <w:p>
      <w:pPr>
        <w:pStyle w:val="52"/>
        <w:pageBreakBefore w:val="0"/>
        <w:kinsoku/>
        <w:wordWrap/>
        <w:overflowPunct/>
        <w:topLinePunct w:val="0"/>
        <w:autoSpaceDE/>
        <w:autoSpaceDN/>
        <w:bidi w:val="0"/>
        <w:adjustRightInd/>
        <w:snapToGrid/>
        <w:spacing w:line="560" w:lineRule="atLeast"/>
        <w:ind w:firstLine="944" w:firstLineChars="295"/>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1.实行专账核算，按进度合理调配资金。</w:t>
      </w:r>
    </w:p>
    <w:p>
      <w:pPr>
        <w:pStyle w:val="52"/>
        <w:pageBreakBefore w:val="0"/>
        <w:kinsoku/>
        <w:wordWrap/>
        <w:overflowPunct/>
        <w:topLinePunct w:val="0"/>
        <w:autoSpaceDE/>
        <w:autoSpaceDN/>
        <w:bidi w:val="0"/>
        <w:adjustRightInd/>
        <w:snapToGrid/>
        <w:spacing w:line="560" w:lineRule="atLeast"/>
        <w:ind w:firstLine="944" w:firstLineChars="295"/>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2.严格执行财务管理制度，所有资金流向必须按“资金使用审批程序”办理。</w:t>
      </w:r>
    </w:p>
    <w:p>
      <w:pPr>
        <w:pStyle w:val="52"/>
        <w:pageBreakBefore w:val="0"/>
        <w:kinsoku/>
        <w:wordWrap/>
        <w:overflowPunct/>
        <w:topLinePunct w:val="0"/>
        <w:autoSpaceDE/>
        <w:autoSpaceDN/>
        <w:bidi w:val="0"/>
        <w:adjustRightInd/>
        <w:snapToGrid/>
        <w:spacing w:line="560" w:lineRule="atLeast"/>
        <w:ind w:firstLine="944" w:firstLineChars="295"/>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3.实行专款专用，不得挪用、截留，杜绝单位之间互相拆借。</w:t>
      </w:r>
    </w:p>
    <w:p>
      <w:pPr>
        <w:pStyle w:val="52"/>
        <w:pageBreakBefore w:val="0"/>
        <w:kinsoku/>
        <w:wordWrap/>
        <w:overflowPunct/>
        <w:topLinePunct w:val="0"/>
        <w:autoSpaceDE/>
        <w:autoSpaceDN/>
        <w:bidi w:val="0"/>
        <w:adjustRightInd/>
        <w:snapToGrid/>
        <w:spacing w:line="560" w:lineRule="atLeast"/>
        <w:ind w:firstLine="944" w:firstLineChars="295"/>
        <w:textAlignment w:val="auto"/>
        <w:rPr>
          <w:rFonts w:hint="eastAsia"/>
        </w:rPr>
      </w:pPr>
      <w:r>
        <w:rPr>
          <w:rFonts w:hint="eastAsia" w:hAnsi="Calibri" w:eastAsia="仿宋_GB2312" w:cs="Calibri" w:asciiTheme="majorAscii"/>
          <w:kern w:val="2"/>
          <w:sz w:val="32"/>
          <w:szCs w:val="32"/>
          <w:lang w:val="en-US" w:eastAsia="zh-CN" w:bidi="ar-SA"/>
        </w:rPr>
        <w:t>4.</w:t>
      </w:r>
      <w:r>
        <w:rPr>
          <w:rFonts w:hint="eastAsia" w:ascii="仿宋_GB2312" w:hAnsi="仿宋_GB2312" w:eastAsia="仿宋_GB2312" w:cs="仿宋_GB2312"/>
          <w:kern w:val="2"/>
          <w:sz w:val="32"/>
          <w:szCs w:val="32"/>
          <w:lang w:val="en-US" w:eastAsia="zh-CN" w:bidi="ar-SA"/>
        </w:rPr>
        <w:t>加强日常财务管理，健全会计账目。</w:t>
      </w:r>
    </w:p>
    <w:p>
      <w:pPr>
        <w:pageBreakBefore w:val="0"/>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二、绩效评价工作开展情况</w:t>
      </w:r>
    </w:p>
    <w:p>
      <w:pPr>
        <w:pageBreakBefore w:val="0"/>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（一）绩效评价目的、对象和范围</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1、绩效评价的目的</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pageBreakBefore w:val="0"/>
        <w:numPr>
          <w:ilvl w:val="0"/>
          <w:numId w:val="2"/>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项目在实施前向项目负责人提供财政支出绩效方面的资金管理信息，促进项目支出严格按照资金管理规定进行。</w:t>
      </w:r>
    </w:p>
    <w:p>
      <w:pPr>
        <w:pageBreakBefore w:val="0"/>
        <w:kinsoku/>
        <w:wordWrap/>
        <w:overflowPunct/>
        <w:topLinePunct w:val="0"/>
        <w:autoSpaceDE/>
        <w:autoSpaceDN/>
        <w:bidi w:val="0"/>
        <w:adjustRightInd/>
        <w:snapToGrid/>
        <w:spacing w:line="560" w:lineRule="atLeast"/>
        <w:ind w:left="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（2）项目绩效管理财政支出运行提供及时、有效的信息。</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综合来看，通过开展有效的财政支出绩效评价管理，达到改进预算管理、控制节约成本，提高预算资金使用效益的目的。</w:t>
      </w:r>
    </w:p>
    <w:p>
      <w:pPr>
        <w:pStyle w:val="2"/>
        <w:pageBreakBefore w:val="0"/>
        <w:widowControl w:val="0"/>
        <w:numPr>
          <w:ilvl w:val="0"/>
          <w:numId w:val="0"/>
        </w:numPr>
        <w:kinsoku/>
        <w:wordWrap/>
        <w:overflowPunct/>
        <w:topLinePunct w:val="0"/>
        <w:autoSpaceDE/>
        <w:autoSpaceDN/>
        <w:bidi w:val="0"/>
        <w:adjustRightInd/>
        <w:snapToGrid/>
        <w:spacing w:before="0" w:after="0" w:line="560" w:lineRule="atLeast"/>
        <w:ind w:left="641" w:leftChars="0"/>
        <w:jc w:val="both"/>
        <w:textAlignment w:val="auto"/>
        <w:outlineLvl w:val="9"/>
        <w:rPr>
          <w:rFonts w:hint="eastAsia" w:ascii="仿宋_GB2312" w:hAnsi="仿宋_GB2312" w:eastAsia="仿宋_GB2312" w:cs="仿宋_GB2312"/>
          <w:b/>
          <w:bCs/>
          <w:lang w:eastAsia="zh-CN"/>
        </w:rPr>
      </w:pPr>
      <w:r>
        <w:rPr>
          <w:rFonts w:hint="eastAsia" w:ascii="仿宋_GB2312" w:hAnsi="仿宋_GB2312" w:eastAsia="仿宋_GB2312" w:cs="仿宋_GB2312"/>
          <w:b/>
          <w:bCs/>
          <w:lang w:val="en-US" w:eastAsia="zh-CN"/>
        </w:rPr>
        <w:t>2、</w:t>
      </w:r>
      <w:r>
        <w:rPr>
          <w:rFonts w:hint="eastAsia" w:ascii="仿宋_GB2312" w:hAnsi="仿宋_GB2312" w:eastAsia="仿宋_GB2312" w:cs="仿宋_GB2312"/>
          <w:b/>
          <w:bCs/>
        </w:rPr>
        <w:t>绩效评价的对象</w:t>
      </w:r>
      <w:r>
        <w:rPr>
          <w:rFonts w:hint="eastAsia" w:ascii="仿宋_GB2312" w:hAnsi="仿宋_GB2312" w:eastAsia="仿宋_GB2312" w:cs="仿宋_GB2312"/>
          <w:b/>
          <w:bCs/>
          <w:lang w:eastAsia="zh-CN"/>
        </w:rPr>
        <w:t>和范围</w:t>
      </w:r>
    </w:p>
    <w:p>
      <w:pPr>
        <w:pageBreakBefore w:val="0"/>
        <w:kinsoku/>
        <w:wordWrap/>
        <w:overflowPunct/>
        <w:topLinePunct w:val="0"/>
        <w:autoSpaceDE/>
        <w:autoSpaceDN/>
        <w:bidi w:val="0"/>
        <w:adjustRightInd/>
        <w:snapToGrid/>
        <w:spacing w:line="560" w:lineRule="atLeast"/>
        <w:ind w:firstLine="641"/>
        <w:textAlignment w:val="auto"/>
        <w:rPr>
          <w:rFonts w:hint="eastAsia" w:eastAsia="仿宋_GB2312"/>
          <w:lang w:val="en-US" w:eastAsia="zh-CN"/>
        </w:rPr>
      </w:pPr>
      <w:r>
        <w:rPr>
          <w:rFonts w:hint="eastAsia" w:ascii="仿宋_GB2312" w:hAnsi="仿宋_GB2312" w:eastAsia="仿宋_GB2312" w:cs="仿宋_GB2312"/>
          <w:sz w:val="32"/>
          <w:szCs w:val="32"/>
          <w:lang w:val="en-US" w:eastAsia="zh-CN"/>
        </w:rPr>
        <w:t>本次绩效评价对象为</w:t>
      </w:r>
      <w:r>
        <w:rPr>
          <w:rFonts w:hint="eastAsia" w:ascii="仿宋_GB2312" w:hAnsi="仿宋_GB2312" w:eastAsia="仿宋_GB2312" w:cs="仿宋_GB2312"/>
          <w:b w:val="0"/>
          <w:bCs w:val="0"/>
          <w:kern w:val="0"/>
          <w:sz w:val="32"/>
          <w:szCs w:val="32"/>
          <w:lang w:val="en-US" w:eastAsia="zh-CN" w:bidi="ar-SA"/>
        </w:rPr>
        <w:t>塔城地区地直本级</w:t>
      </w:r>
      <w:r>
        <w:rPr>
          <w:rFonts w:hint="eastAsia" w:ascii="仿宋_GB2312" w:hAnsi="仿宋_GB2312" w:eastAsia="仿宋_GB2312" w:cs="仿宋_GB2312"/>
          <w:sz w:val="32"/>
          <w:szCs w:val="32"/>
        </w:rPr>
        <w:t>行政单位离休人员医药费项目</w:t>
      </w:r>
      <w:r>
        <w:rPr>
          <w:rFonts w:hint="eastAsia" w:ascii="仿宋_GB2312" w:hAnsi="仿宋_GB2312" w:eastAsia="仿宋_GB2312" w:cs="仿宋_GB2312"/>
          <w:sz w:val="32"/>
          <w:szCs w:val="32"/>
          <w:lang w:eastAsia="zh-CN"/>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rPr>
      </w:pPr>
      <w:r>
        <w:rPr>
          <w:rFonts w:hint="eastAsia" w:ascii="楷体_GB2312" w:hAnsi="楷体_GB2312" w:eastAsia="楷体_GB2312" w:cs="楷体_GB2312"/>
          <w:b/>
          <w:bCs/>
          <w:sz w:val="32"/>
          <w:szCs w:val="32"/>
        </w:rPr>
        <w:t>（二）绩效评价原则、评价指标体系（详情见表1）、评价方法、评价标准。</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1、绩效评价原则</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本次项目绩效评价遵循以下基本原则：</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（1）科学公正。绩效评价应当运用科学合理的方法，按照规范的程序，对项目绩效进行客观、公正的反映。</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（3）激励约束。绩效评价结果应与预算安排、政策调整、改进管理实质性挂钩，体现奖优罚劣和激励相容导向，有效要安排、低效要压减、无效要问责。</w:t>
      </w:r>
    </w:p>
    <w:p>
      <w:pPr>
        <w:pStyle w:val="2"/>
        <w:pageBreakBefore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val="0"/>
          <w:bCs w:val="0"/>
        </w:rPr>
      </w:pPr>
      <w:r>
        <w:rPr>
          <w:rFonts w:hint="eastAsia" w:ascii="仿宋_GB2312" w:hAnsi="仿宋_GB2312" w:eastAsia="仿宋_GB2312" w:cs="仿宋_GB2312"/>
          <w:b w:val="0"/>
          <w:bCs w:val="0"/>
        </w:rPr>
        <w:t>（4）公开透明。绩效评价结果应依法依规公开，并自觉接受社会监督。</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2、评价指标体系</w:t>
      </w:r>
    </w:p>
    <w:p>
      <w:pPr>
        <w:pageBreakBefore w:val="0"/>
        <w:kinsoku/>
        <w:wordWrap/>
        <w:overflowPunct/>
        <w:topLinePunct w:val="0"/>
        <w:autoSpaceDE/>
        <w:autoSpaceDN/>
        <w:bidi w:val="0"/>
        <w:adjustRightInd/>
        <w:snapToGrid/>
        <w:spacing w:line="560" w:lineRule="atLeast"/>
        <w:ind w:firstLine="641"/>
        <w:textAlignment w:val="auto"/>
        <w:rPr>
          <w:rFonts w:ascii="宋体" w:hAnsi="宋体" w:cs="宋体"/>
          <w:color w:val="000000"/>
          <w:spacing w:val="17"/>
          <w:sz w:val="32"/>
          <w:szCs w:val="32"/>
        </w:rPr>
      </w:pPr>
      <w:r>
        <w:rPr>
          <w:rFonts w:hint="eastAsia" w:ascii="仿宋_GB2312" w:hAnsi="仿宋_GB2312" w:eastAsia="仿宋_GB2312" w:cs="仿宋_GB2312"/>
          <w:color w:val="000000"/>
          <w:spacing w:val="17"/>
          <w:sz w:val="32"/>
          <w:szCs w:val="32"/>
        </w:rPr>
        <w:t>绩效评价框架是开展绩效评价的核心。绩效评价框架包括评价准则、关键评价问题、评价指标、数据来源、数据收集方法等。指标体系建立过程如下：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（1）确定评价指标</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采用</w:t>
      </w:r>
      <w:r>
        <w:rPr>
          <w:rFonts w:hint="eastAsia" w:ascii="仿宋_GB2312" w:hAnsi="仿宋_GB2312" w:eastAsia="仿宋_GB2312" w:cs="仿宋_GB2312"/>
          <w:color w:val="000000"/>
          <w:spacing w:val="17"/>
          <w:sz w:val="32"/>
          <w:szCs w:val="32"/>
          <w:lang w:eastAsia="zh-CN"/>
        </w:rPr>
        <w:t>成分分析</w:t>
      </w:r>
      <w:r>
        <w:rPr>
          <w:rFonts w:hint="eastAsia" w:ascii="仿宋_GB2312" w:hAnsi="仿宋_GB2312" w:eastAsia="仿宋_GB2312" w:cs="仿宋_GB2312"/>
          <w:color w:val="000000"/>
          <w:spacing w:val="17"/>
          <w:sz w:val="32"/>
          <w:szCs w:val="32"/>
        </w:rPr>
        <w:t>，建立评价指标体系。绩效评价将指标分为项目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、项目产</w:t>
      </w:r>
      <w:r>
        <w:rPr>
          <w:rFonts w:hint="eastAsia" w:ascii="仿宋_GB2312" w:hAnsi="仿宋_GB2312" w:eastAsia="仿宋_GB2312" w:cs="仿宋_GB2312"/>
          <w:color w:val="000000"/>
          <w:spacing w:val="17"/>
          <w:sz w:val="32"/>
          <w:szCs w:val="32"/>
          <w:lang w:val="en-US" w:eastAsia="zh-CN"/>
        </w:rPr>
        <w:t>出</w:t>
      </w:r>
      <w:r>
        <w:rPr>
          <w:rFonts w:hint="eastAsia" w:ascii="仿宋_GB2312" w:hAnsi="仿宋_GB2312" w:eastAsia="仿宋_GB2312" w:cs="仿宋_GB2312"/>
          <w:color w:val="000000"/>
          <w:spacing w:val="17"/>
          <w:sz w:val="32"/>
          <w:szCs w:val="32"/>
        </w:rPr>
        <w:t>、项目效益、项目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指标四个维度，最终形成一个由多个相互联系的指标组成的多层次指标体系。</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（2）确定权重</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确定各个指标相对于项目总体绩效的权重分值。在绩效评价指标体系中，项目</w:t>
      </w:r>
      <w:r>
        <w:rPr>
          <w:rFonts w:hint="eastAsia" w:ascii="仿宋_GB2312" w:hAnsi="仿宋_GB2312" w:eastAsia="仿宋_GB2312" w:cs="仿宋_GB2312"/>
          <w:color w:val="000000"/>
          <w:spacing w:val="17"/>
          <w:sz w:val="32"/>
          <w:szCs w:val="32"/>
          <w:lang w:val="en-US" w:eastAsia="zh-CN"/>
        </w:rPr>
        <w:t>决策</w:t>
      </w:r>
      <w:r>
        <w:rPr>
          <w:rFonts w:hint="eastAsia" w:ascii="仿宋_GB2312" w:hAnsi="仿宋_GB2312" w:eastAsia="仿宋_GB2312" w:cs="仿宋_GB2312"/>
          <w:color w:val="000000"/>
          <w:spacing w:val="17"/>
          <w:sz w:val="32"/>
          <w:szCs w:val="32"/>
        </w:rPr>
        <w:t>权重为</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w:t>
      </w:r>
      <w:r>
        <w:rPr>
          <w:rFonts w:hint="eastAsia" w:ascii="仿宋_GB2312" w:hAnsi="仿宋_GB2312" w:eastAsia="仿宋_GB2312" w:cs="仿宋_GB2312"/>
          <w:color w:val="000000"/>
          <w:spacing w:val="17"/>
          <w:sz w:val="32"/>
          <w:szCs w:val="32"/>
          <w:lang w:val="en-US" w:eastAsia="zh-CN"/>
        </w:rPr>
        <w:t>过程</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lang w:val="en-US" w:eastAsia="zh-CN"/>
        </w:rPr>
        <w:t>5分</w:t>
      </w:r>
      <w:r>
        <w:rPr>
          <w:rFonts w:hint="eastAsia" w:ascii="仿宋_GB2312" w:hAnsi="仿宋_GB2312" w:eastAsia="仿宋_GB2312" w:cs="仿宋_GB2312"/>
          <w:color w:val="000000"/>
          <w:spacing w:val="17"/>
          <w:sz w:val="32"/>
          <w:szCs w:val="32"/>
        </w:rPr>
        <w:t>，项目产</w:t>
      </w:r>
      <w:r>
        <w:rPr>
          <w:rFonts w:hint="eastAsia" w:ascii="仿宋_GB2312" w:hAnsi="仿宋_GB2312" w:eastAsia="仿宋_GB2312" w:cs="仿宋_GB2312"/>
          <w:color w:val="000000"/>
          <w:spacing w:val="17"/>
          <w:sz w:val="32"/>
          <w:szCs w:val="32"/>
          <w:lang w:val="en-US" w:eastAsia="zh-CN"/>
        </w:rPr>
        <w:t>出</w:t>
      </w:r>
      <w:r>
        <w:rPr>
          <w:rFonts w:hint="eastAsia" w:ascii="仿宋_GB2312" w:hAnsi="仿宋_GB2312" w:eastAsia="仿宋_GB2312" w:cs="仿宋_GB2312"/>
          <w:color w:val="000000"/>
          <w:spacing w:val="17"/>
          <w:sz w:val="32"/>
          <w:szCs w:val="32"/>
        </w:rPr>
        <w:t>权重值占</w:t>
      </w:r>
      <w:r>
        <w:rPr>
          <w:rFonts w:hint="eastAsia" w:ascii="仿宋_GB2312" w:hAnsi="仿宋_GB2312" w:eastAsia="仿宋_GB2312" w:cs="仿宋_GB2312"/>
          <w:color w:val="000000"/>
          <w:spacing w:val="17"/>
          <w:sz w:val="32"/>
          <w:szCs w:val="32"/>
          <w:lang w:val="en-US" w:eastAsia="zh-CN"/>
        </w:rPr>
        <w:t>50分</w:t>
      </w:r>
      <w:r>
        <w:rPr>
          <w:rFonts w:hint="eastAsia" w:ascii="仿宋_GB2312" w:hAnsi="仿宋_GB2312" w:eastAsia="仿宋_GB2312" w:cs="仿宋_GB2312"/>
          <w:color w:val="000000"/>
          <w:spacing w:val="17"/>
          <w:sz w:val="32"/>
          <w:szCs w:val="32"/>
        </w:rPr>
        <w:t>，项目效益权重占</w:t>
      </w:r>
      <w:r>
        <w:rPr>
          <w:rFonts w:hint="eastAsia" w:ascii="仿宋_GB2312" w:hAnsi="仿宋_GB2312" w:eastAsia="仿宋_GB2312" w:cs="仿宋_GB2312"/>
          <w:color w:val="000000"/>
          <w:spacing w:val="17"/>
          <w:sz w:val="32"/>
          <w:szCs w:val="32"/>
          <w:lang w:val="en-US" w:eastAsia="zh-CN"/>
        </w:rPr>
        <w:t>40分</w:t>
      </w:r>
      <w:r>
        <w:rPr>
          <w:rFonts w:hint="eastAsia" w:ascii="仿宋_GB2312" w:hAnsi="仿宋_GB2312" w:eastAsia="仿宋_GB2312" w:cs="仿宋_GB2312"/>
          <w:color w:val="000000"/>
          <w:spacing w:val="17"/>
          <w:sz w:val="32"/>
          <w:szCs w:val="32"/>
        </w:rPr>
        <w:t>。</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（3）确定指标标准值</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pageBreakBefore w:val="0"/>
        <w:kinsoku/>
        <w:wordWrap/>
        <w:overflowPunct/>
        <w:topLinePunct w:val="0"/>
        <w:autoSpaceDE/>
        <w:autoSpaceDN/>
        <w:bidi w:val="0"/>
        <w:adjustRightInd/>
        <w:snapToGrid/>
        <w:spacing w:before="0" w:after="0" w:line="560" w:lineRule="atLeast"/>
        <w:ind w:firstLine="708" w:firstLineChars="200"/>
        <w:jc w:val="both"/>
        <w:textAlignment w:val="auto"/>
        <w:rPr>
          <w:rFonts w:ascii="仿宋_GB2312" w:hAnsi="仿宋_GB2312" w:eastAsia="仿宋_GB2312" w:cs="仿宋_GB2312"/>
          <w:b w:val="0"/>
          <w:bCs w:val="0"/>
          <w:color w:val="000000"/>
          <w:spacing w:val="17"/>
          <w:kern w:val="2"/>
        </w:rPr>
      </w:pPr>
      <w:r>
        <w:rPr>
          <w:rFonts w:hint="eastAsia" w:ascii="仿宋_GB2312" w:hAnsi="仿宋_GB2312" w:eastAsia="仿宋_GB2312" w:cs="仿宋_GB2312"/>
          <w:b w:val="0"/>
          <w:bCs w:val="0"/>
          <w:color w:val="000000"/>
          <w:spacing w:val="17"/>
          <w:kern w:val="2"/>
        </w:rPr>
        <w:t>绩效评价总分值100分，根据综合评分结果，评价计分90分</w:t>
      </w:r>
      <w:r>
        <w:rPr>
          <w:rFonts w:hint="eastAsia" w:ascii="仿宋_GB2312" w:hAnsi="仿宋_GB2312" w:eastAsia="仿宋_GB2312" w:cs="仿宋_GB2312"/>
          <w:b w:val="0"/>
          <w:bCs w:val="0"/>
          <w:color w:val="000000"/>
          <w:spacing w:val="17"/>
          <w:kern w:val="2"/>
          <w:lang w:eastAsia="zh-CN"/>
        </w:rPr>
        <w:t>－</w:t>
      </w:r>
      <w:r>
        <w:rPr>
          <w:rFonts w:hint="eastAsia" w:ascii="仿宋_GB2312" w:hAnsi="仿宋_GB2312" w:eastAsia="仿宋_GB2312" w:cs="仿宋_GB2312"/>
          <w:b w:val="0"/>
          <w:bCs w:val="0"/>
          <w:color w:val="000000"/>
          <w:spacing w:val="17"/>
          <w:kern w:val="2"/>
        </w:rPr>
        <w:t>100分（含90分）对应的评分结果级别为优，80-90分（含80分）对应的评分结果级别为良，60-80分（含60分）对应的评分结果级别为中，60分以下对应的评分结果级别为差。</w:t>
      </w:r>
    </w:p>
    <w:p>
      <w:pPr>
        <w:pStyle w:val="2"/>
        <w:pageBreakBefore w:val="0"/>
        <w:widowControl w:val="0"/>
        <w:kinsoku/>
        <w:wordWrap/>
        <w:overflowPunct/>
        <w:topLinePunct w:val="0"/>
        <w:autoSpaceDE/>
        <w:autoSpaceDN/>
        <w:bidi w:val="0"/>
        <w:adjustRightInd/>
        <w:snapToGrid/>
        <w:spacing w:before="0" w:after="0" w:line="560" w:lineRule="atLeast"/>
        <w:jc w:val="both"/>
        <w:textAlignment w:val="auto"/>
        <w:outlineLvl w:val="9"/>
        <w:rPr>
          <w:rFonts w:hint="eastAsia" w:ascii="仿宋_GB2312" w:hAnsi="仿宋_GB2312" w:eastAsia="仿宋_GB2312" w:cs="仿宋_GB2312"/>
          <w:b w:val="0"/>
          <w:bCs w:val="0"/>
          <w:color w:val="000000"/>
          <w:spacing w:val="17"/>
        </w:rPr>
      </w:pPr>
      <w:r>
        <w:rPr>
          <w:rFonts w:hint="eastAsia" w:ascii="仿宋_GB2312" w:hAnsi="仿宋_GB2312" w:eastAsia="仿宋_GB2312" w:cs="仿宋_GB2312"/>
          <w:b w:val="0"/>
          <w:bCs w:val="0"/>
          <w:color w:val="000000"/>
          <w:spacing w:val="17"/>
        </w:rPr>
        <w:t>具体评价指标体系详情见</w:t>
      </w:r>
      <w:r>
        <w:rPr>
          <w:rFonts w:hint="eastAsia" w:ascii="仿宋_GB2312" w:hAnsi="仿宋_GB2312" w:eastAsia="仿宋_GB2312" w:cs="仿宋_GB2312"/>
          <w:b w:val="0"/>
          <w:bCs w:val="0"/>
          <w:color w:val="000000"/>
          <w:spacing w:val="17"/>
          <w:lang w:val="en-US" w:eastAsia="zh-CN"/>
        </w:rPr>
        <w:t>附件</w:t>
      </w:r>
      <w:r>
        <w:rPr>
          <w:rFonts w:hint="eastAsia" w:ascii="仿宋_GB2312" w:hAnsi="仿宋_GB2312" w:eastAsia="仿宋_GB2312" w:cs="仿宋_GB2312"/>
          <w:b w:val="0"/>
          <w:bCs w:val="0"/>
          <w:color w:val="000000"/>
          <w:spacing w:val="17"/>
        </w:rPr>
        <w:t>1</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ascii="仿宋_GB2312" w:hAnsi="仿宋_GB2312" w:eastAsia="仿宋_GB2312" w:cs="仿宋_GB2312"/>
          <w:b/>
          <w:bCs/>
        </w:rPr>
      </w:pPr>
      <w:r>
        <w:rPr>
          <w:rFonts w:hint="eastAsia" w:ascii="仿宋_GB2312" w:hAnsi="仿宋_GB2312" w:eastAsia="仿宋_GB2312" w:cs="仿宋_GB2312"/>
          <w:b/>
          <w:bCs/>
        </w:rPr>
        <w:t>3、绩效评价方法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（1）比较法</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通过对绩效目标与实施效果、历史与当期情况，综合分析绩效目标实现程度。对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（2）因素分析法</w:t>
      </w:r>
    </w:p>
    <w:p>
      <w:pPr>
        <w:pageBreakBefore w:val="0"/>
        <w:kinsoku/>
        <w:wordWrap/>
        <w:overflowPunct/>
        <w:topLinePunct w:val="0"/>
        <w:autoSpaceDE/>
        <w:autoSpaceDN/>
        <w:bidi w:val="0"/>
        <w:adjustRightInd/>
        <w:snapToGrid/>
        <w:spacing w:line="560" w:lineRule="atLeast"/>
        <w:ind w:firstLine="641"/>
        <w:textAlignment w:val="auto"/>
        <w:rPr>
          <w:rFonts w:hint="eastAsia" w:ascii="仿宋_GB2312" w:hAnsi="仿宋_GB2312" w:eastAsia="仿宋_GB2312" w:cs="仿宋_GB2312"/>
          <w:color w:val="000000"/>
          <w:spacing w:val="17"/>
          <w:sz w:val="32"/>
          <w:szCs w:val="32"/>
        </w:rPr>
      </w:pPr>
      <w:r>
        <w:rPr>
          <w:rFonts w:hint="eastAsia" w:ascii="仿宋_GB2312" w:hAnsi="仿宋_GB2312" w:eastAsia="仿宋_GB2312" w:cs="仿宋_GB2312"/>
          <w:color w:val="000000"/>
          <w:spacing w:val="17"/>
          <w:sz w:val="32"/>
          <w:szCs w:val="32"/>
        </w:rPr>
        <w:t>通过综合分析影响绩效目标实现、实施效果的内外因素，评价绩效目标实现程度。通过对</w:t>
      </w:r>
      <w:r>
        <w:rPr>
          <w:rFonts w:hint="eastAsia" w:ascii="仿宋_GB2312" w:hAnsi="仿宋_GB2312" w:eastAsia="仿宋_GB2312" w:cs="仿宋_GB2312"/>
          <w:sz w:val="32"/>
          <w:szCs w:val="32"/>
        </w:rPr>
        <w:t>项目</w:t>
      </w:r>
      <w:r>
        <w:rPr>
          <w:rFonts w:hint="eastAsia" w:ascii="仿宋_GB2312" w:hAnsi="仿宋_GB2312" w:eastAsia="仿宋_GB2312" w:cs="仿宋_GB2312"/>
          <w:color w:val="000000"/>
          <w:spacing w:val="17"/>
          <w:sz w:val="32"/>
          <w:szCs w:val="32"/>
        </w:rPr>
        <w:t>的开展情况、项目产出数量、成本控制、资金拨付文件及自评报告等相关资料的收集和审核，综合分析各因素对绩效目标实现的影响。</w:t>
      </w:r>
    </w:p>
    <w:p>
      <w:pPr>
        <w:pStyle w:val="2"/>
        <w:pageBreakBefore w:val="0"/>
        <w:widowControl w:val="0"/>
        <w:kinsoku/>
        <w:wordWrap/>
        <w:overflowPunct/>
        <w:topLinePunct w:val="0"/>
        <w:autoSpaceDE/>
        <w:autoSpaceDN/>
        <w:bidi w:val="0"/>
        <w:adjustRightInd/>
        <w:snapToGrid/>
        <w:spacing w:before="0" w:after="0" w:line="560" w:lineRule="atLeast"/>
        <w:ind w:firstLine="641"/>
        <w:jc w:val="both"/>
        <w:textAlignment w:val="auto"/>
        <w:outlineLvl w:val="9"/>
        <w:rPr>
          <w:rFonts w:hint="eastAsia" w:ascii="仿宋_GB2312" w:hAnsi="仿宋_GB2312" w:eastAsia="仿宋_GB2312" w:cs="仿宋_GB2312"/>
          <w:b/>
          <w:bCs/>
          <w:lang w:val="en-US" w:eastAsia="zh-CN"/>
        </w:rPr>
      </w:pPr>
      <w:r>
        <w:rPr>
          <w:rFonts w:hint="eastAsia" w:ascii="仿宋_GB2312" w:hAnsi="仿宋_GB2312" w:eastAsia="仿宋_GB2312" w:cs="仿宋_GB2312"/>
          <w:b/>
          <w:bCs/>
          <w:lang w:val="en-US" w:eastAsia="zh-CN"/>
        </w:rPr>
        <w:t>4、评价标准</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default" w:ascii="仿宋_GB2312" w:hAnsi="仿宋_GB2312" w:eastAsia="仿宋_GB2312" w:cs="仿宋_GB2312"/>
          <w:color w:val="000000"/>
          <w:spacing w:val="17"/>
          <w:sz w:val="32"/>
          <w:szCs w:val="32"/>
          <w:lang w:val="en-US" w:eastAsia="zh-CN"/>
        </w:rPr>
        <w:t>绩效评价标准通常包括计划标准、行业标准、历史标准等，用于对绩效指标完成情况进行比较。本次评价主要采用了计划标准和行业标准。</w:t>
      </w:r>
    </w:p>
    <w:p>
      <w:pPr>
        <w:pStyle w:val="2"/>
        <w:pageBreakBefore w:val="0"/>
        <w:numPr>
          <w:ilvl w:val="0"/>
          <w:numId w:val="3"/>
        </w:numPr>
        <w:kinsoku/>
        <w:wordWrap/>
        <w:overflowPunct/>
        <w:topLinePunct w:val="0"/>
        <w:autoSpaceDE/>
        <w:autoSpaceDN/>
        <w:bidi w:val="0"/>
        <w:adjustRightInd/>
        <w:snapToGrid/>
        <w:spacing w:before="0" w:after="0" w:line="560" w:lineRule="atLeast"/>
        <w:jc w:val="both"/>
        <w:textAlignment w:val="auto"/>
        <w:rPr>
          <w:rFonts w:hint="eastAsia"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绩效评价工作过程</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前期准备。首先成立评价工作组，开展前期调研；其次明确项目绩效目标，设计绩效评价指标体系并确定绩效评价方法；接着确定现场和非现场评价范围，设计资料清单；最后制定评价实施方案并进行论证。</w:t>
      </w:r>
    </w:p>
    <w:p>
      <w:pPr>
        <w:pageBreakBefore w:val="0"/>
        <w:kinsoku/>
        <w:wordWrap/>
        <w:overflowPunct/>
        <w:topLinePunct w:val="0"/>
        <w:autoSpaceDE/>
        <w:autoSpaceDN/>
        <w:bidi w:val="0"/>
        <w:adjustRightInd/>
        <w:snapToGrid/>
        <w:spacing w:line="560" w:lineRule="atLeast"/>
        <w:ind w:firstLine="641"/>
        <w:textAlignment w:val="auto"/>
        <w:rPr>
          <w:rFonts w:hint="default" w:ascii="仿宋_GB2312" w:hAnsi="仿宋_GB2312" w:eastAsia="仿宋_GB2312" w:cs="仿宋_GB2312"/>
          <w:color w:val="000000"/>
          <w:spacing w:val="17"/>
          <w:sz w:val="32"/>
          <w:szCs w:val="32"/>
          <w:lang w:val="en-US" w:eastAsia="zh-CN"/>
        </w:rPr>
      </w:pPr>
      <w:r>
        <w:rPr>
          <w:rFonts w:hint="eastAsia" w:ascii="仿宋_GB2312" w:hAnsi="仿宋_GB2312" w:eastAsia="仿宋_GB2312" w:cs="仿宋_GB2312"/>
          <w:color w:val="000000"/>
          <w:spacing w:val="17"/>
          <w:sz w:val="32"/>
          <w:szCs w:val="32"/>
          <w:lang w:val="en-US" w:eastAsia="zh-CN"/>
        </w:rPr>
        <w:t>组织实施。制定绩效评价工作方案，具体包括项目概况、评价思路、方法手段、组织实施、进度安排等。收集项目立项依据、相关会议纪要、实施方案、财政资金分配方案、支付管理情况等相关评价资料并进行梳理。</w:t>
      </w:r>
    </w:p>
    <w:p>
      <w:pPr>
        <w:pageBreakBefore w:val="0"/>
        <w:kinsoku/>
        <w:wordWrap/>
        <w:overflowPunct/>
        <w:topLinePunct w:val="0"/>
        <w:autoSpaceDE/>
        <w:autoSpaceDN/>
        <w:bidi w:val="0"/>
        <w:adjustRightInd/>
        <w:snapToGrid/>
        <w:spacing w:line="560" w:lineRule="atLeast"/>
        <w:ind w:firstLine="641"/>
        <w:textAlignment w:val="auto"/>
      </w:pPr>
      <w:r>
        <w:rPr>
          <w:rFonts w:hint="eastAsia" w:ascii="仿宋_GB2312" w:hAnsi="仿宋_GB2312" w:eastAsia="仿宋_GB2312" w:cs="仿宋_GB2312"/>
          <w:color w:val="000000"/>
          <w:spacing w:val="17"/>
          <w:sz w:val="32"/>
          <w:szCs w:val="32"/>
          <w:lang w:val="en-US" w:eastAsia="zh-CN"/>
        </w:rPr>
        <w:t>分析评价。根据收集梳理的资料围绕项目立项、资金落实、业务管理、财务管理、项目产出、项目效益等内容，对照已确定的绩效评价指标进行详细全面的分析评价，逐项打分并形成绩效评价最终结果。</w:t>
      </w:r>
    </w:p>
    <w:p>
      <w:pPr>
        <w:pageBreakBefore w:val="0"/>
        <w:numPr>
          <w:ilvl w:val="0"/>
          <w:numId w:val="4"/>
        </w:numPr>
        <w:kinsoku/>
        <w:wordWrap/>
        <w:overflowPunct/>
        <w:topLinePunct w:val="0"/>
        <w:autoSpaceDE/>
        <w:autoSpaceDN/>
        <w:bidi w:val="0"/>
        <w:adjustRightInd/>
        <w:snapToGrid/>
        <w:spacing w:line="560" w:lineRule="atLeast"/>
        <w:ind w:firstLine="641"/>
        <w:textAlignment w:val="auto"/>
        <w:rPr>
          <w:rFonts w:ascii="黑体" w:hAnsi="黑体" w:eastAsia="黑体" w:cs="黑体"/>
          <w:sz w:val="32"/>
          <w:szCs w:val="32"/>
        </w:rPr>
      </w:pPr>
      <w:r>
        <w:rPr>
          <w:rFonts w:hint="eastAsia" w:ascii="黑体" w:hAnsi="黑体" w:eastAsia="黑体" w:cs="黑体"/>
          <w:sz w:val="32"/>
          <w:szCs w:val="32"/>
        </w:rPr>
        <w:t>综合评价情况及评价结论（附相关评分表）</w:t>
      </w:r>
    </w:p>
    <w:p>
      <w:pPr>
        <w:pageBreakBefore w:val="0"/>
        <w:kinsoku/>
        <w:wordWrap/>
        <w:overflowPunct/>
        <w:topLinePunct w:val="0"/>
        <w:autoSpaceDE/>
        <w:autoSpaceDN/>
        <w:bidi w:val="0"/>
        <w:adjustRightInd/>
        <w:snapToGrid/>
        <w:spacing w:line="560" w:lineRule="atLeast"/>
        <w:ind w:firstLine="720" w:firstLineChars="200"/>
        <w:jc w:val="left"/>
        <w:textAlignment w:val="auto"/>
        <w:rPr>
          <w:rFonts w:hint="eastAsia" w:hAnsi="宋体" w:eastAsia="仿宋_GB2312" w:cs="宋体"/>
          <w:kern w:val="0"/>
          <w:sz w:val="36"/>
          <w:szCs w:val="36"/>
        </w:rPr>
      </w:pPr>
      <w:r>
        <w:rPr>
          <w:rFonts w:hint="eastAsia" w:hAnsi="宋体" w:eastAsia="仿宋_GB2312" w:cs="宋体"/>
          <w:kern w:val="0"/>
          <w:sz w:val="36"/>
          <w:szCs w:val="36"/>
        </w:rPr>
        <w:t>对行政单位离休人员医药费</w:t>
      </w:r>
      <w:r>
        <w:rPr>
          <w:rFonts w:hint="eastAsia" w:hAnsi="宋体" w:eastAsia="仿宋_GB2312" w:cs="宋体"/>
          <w:kern w:val="0"/>
          <w:sz w:val="36"/>
          <w:szCs w:val="36"/>
          <w:lang w:eastAsia="zh-CN"/>
        </w:rPr>
        <w:t>项目</w:t>
      </w:r>
      <w:r>
        <w:rPr>
          <w:rFonts w:hint="eastAsia" w:hAnsi="宋体" w:eastAsia="仿宋_GB2312" w:cs="宋体"/>
          <w:kern w:val="0"/>
          <w:sz w:val="36"/>
          <w:szCs w:val="36"/>
        </w:rPr>
        <w:t xml:space="preserve">进行客观评价，最终评分结果：总得分为 </w:t>
      </w:r>
      <w:r>
        <w:rPr>
          <w:rFonts w:hint="eastAsia" w:hAnsi="宋体" w:eastAsia="仿宋_GB2312" w:cs="宋体"/>
          <w:kern w:val="0"/>
          <w:sz w:val="36"/>
          <w:szCs w:val="36"/>
          <w:lang w:val="en-US" w:eastAsia="zh-CN"/>
        </w:rPr>
        <w:t>99</w:t>
      </w:r>
      <w:r>
        <w:rPr>
          <w:rFonts w:hint="eastAsia" w:hAnsi="宋体" w:eastAsia="仿宋_GB2312" w:cs="宋体"/>
          <w:kern w:val="0"/>
          <w:sz w:val="36"/>
          <w:szCs w:val="36"/>
        </w:rPr>
        <w:t xml:space="preserve">分，属于“优”。其中，项目决策类指标权重为5分，得分为 </w:t>
      </w:r>
      <w:r>
        <w:rPr>
          <w:rFonts w:hint="eastAsia" w:hAnsi="宋体" w:eastAsia="仿宋_GB2312" w:cs="宋体"/>
          <w:kern w:val="0"/>
          <w:sz w:val="36"/>
          <w:szCs w:val="36"/>
          <w:lang w:val="en-US" w:eastAsia="zh-CN"/>
        </w:rPr>
        <w:t>4.5</w:t>
      </w:r>
      <w:r>
        <w:rPr>
          <w:rFonts w:hint="eastAsia" w:hAnsi="宋体" w:eastAsia="仿宋_GB2312" w:cs="宋体"/>
          <w:kern w:val="0"/>
          <w:sz w:val="36"/>
          <w:szCs w:val="36"/>
        </w:rPr>
        <w:t xml:space="preserve">分，得分率为 </w:t>
      </w:r>
      <w:r>
        <w:rPr>
          <w:rFonts w:hint="eastAsia" w:hAnsi="宋体" w:eastAsia="仿宋_GB2312" w:cs="宋体"/>
          <w:kern w:val="0"/>
          <w:sz w:val="36"/>
          <w:szCs w:val="36"/>
          <w:lang w:val="en-US" w:eastAsia="zh-CN"/>
        </w:rPr>
        <w:t>90</w:t>
      </w:r>
      <w:r>
        <w:rPr>
          <w:rFonts w:hint="eastAsia" w:hAnsi="宋体" w:eastAsia="仿宋_GB2312" w:cs="宋体"/>
          <w:kern w:val="0"/>
          <w:sz w:val="36"/>
          <w:szCs w:val="36"/>
        </w:rPr>
        <w:t>%。项目过程类指标权重为5分，得分为</w:t>
      </w:r>
      <w:r>
        <w:rPr>
          <w:rFonts w:hint="eastAsia" w:hAnsi="宋体" w:eastAsia="仿宋_GB2312" w:cs="宋体"/>
          <w:kern w:val="0"/>
          <w:sz w:val="36"/>
          <w:szCs w:val="36"/>
          <w:lang w:val="en-US" w:eastAsia="zh-CN"/>
        </w:rPr>
        <w:t>4.5</w:t>
      </w:r>
      <w:r>
        <w:rPr>
          <w:rFonts w:hint="eastAsia" w:hAnsi="宋体" w:eastAsia="仿宋_GB2312" w:cs="宋体"/>
          <w:kern w:val="0"/>
          <w:sz w:val="36"/>
          <w:szCs w:val="36"/>
        </w:rPr>
        <w:t xml:space="preserve"> 分，得分率为 </w:t>
      </w:r>
      <w:r>
        <w:rPr>
          <w:rFonts w:hint="eastAsia" w:hAnsi="宋体" w:eastAsia="仿宋_GB2312" w:cs="宋体"/>
          <w:kern w:val="0"/>
          <w:sz w:val="36"/>
          <w:szCs w:val="36"/>
          <w:lang w:val="en-US" w:eastAsia="zh-CN"/>
        </w:rPr>
        <w:t>90</w:t>
      </w:r>
      <w:r>
        <w:rPr>
          <w:rFonts w:hint="eastAsia" w:hAnsi="宋体" w:eastAsia="仿宋_GB2312" w:cs="宋体"/>
          <w:kern w:val="0"/>
          <w:sz w:val="36"/>
          <w:szCs w:val="36"/>
        </w:rPr>
        <w:t>%。项目产出类指标权重为</w:t>
      </w:r>
      <w:r>
        <w:rPr>
          <w:rFonts w:hint="eastAsia" w:hAnsi="宋体" w:eastAsia="仿宋_GB2312" w:cs="宋体"/>
          <w:kern w:val="0"/>
          <w:sz w:val="36"/>
          <w:szCs w:val="36"/>
          <w:lang w:val="en-US" w:eastAsia="zh-CN"/>
        </w:rPr>
        <w:t>50</w:t>
      </w:r>
      <w:r>
        <w:rPr>
          <w:rFonts w:hint="eastAsia" w:hAnsi="宋体" w:eastAsia="仿宋_GB2312" w:cs="宋体"/>
          <w:kern w:val="0"/>
          <w:sz w:val="36"/>
          <w:szCs w:val="36"/>
        </w:rPr>
        <w:t>分，得分为</w:t>
      </w:r>
      <w:r>
        <w:rPr>
          <w:rFonts w:hint="eastAsia" w:hAnsi="宋体" w:eastAsia="仿宋_GB2312" w:cs="宋体"/>
          <w:kern w:val="0"/>
          <w:sz w:val="36"/>
          <w:szCs w:val="36"/>
          <w:lang w:val="en-US" w:eastAsia="zh-CN"/>
        </w:rPr>
        <w:t>50</w:t>
      </w:r>
      <w:r>
        <w:rPr>
          <w:rFonts w:hint="eastAsia" w:hAnsi="宋体" w:eastAsia="仿宋_GB2312" w:cs="宋体"/>
          <w:kern w:val="0"/>
          <w:sz w:val="36"/>
          <w:szCs w:val="36"/>
        </w:rPr>
        <w:t xml:space="preserve">分，得分率为 </w:t>
      </w:r>
      <w:r>
        <w:rPr>
          <w:rFonts w:hint="eastAsia" w:hAnsi="宋体" w:eastAsia="仿宋_GB2312" w:cs="宋体"/>
          <w:kern w:val="0"/>
          <w:sz w:val="36"/>
          <w:szCs w:val="36"/>
          <w:lang w:val="en-US" w:eastAsia="zh-CN"/>
        </w:rPr>
        <w:t>100</w:t>
      </w:r>
      <w:r>
        <w:rPr>
          <w:rFonts w:hint="eastAsia" w:hAnsi="宋体" w:eastAsia="仿宋_GB2312" w:cs="宋体"/>
          <w:kern w:val="0"/>
          <w:sz w:val="36"/>
          <w:szCs w:val="36"/>
        </w:rPr>
        <w:t>%。项目效益类指标权重为40分，得分为</w:t>
      </w:r>
      <w:r>
        <w:rPr>
          <w:rFonts w:hint="eastAsia" w:hAnsi="宋体" w:eastAsia="仿宋_GB2312" w:cs="宋体"/>
          <w:kern w:val="0"/>
          <w:sz w:val="36"/>
          <w:szCs w:val="36"/>
          <w:lang w:val="en-US" w:eastAsia="zh-CN"/>
        </w:rPr>
        <w:t>40</w:t>
      </w:r>
      <w:r>
        <w:rPr>
          <w:rFonts w:hint="eastAsia" w:hAnsi="宋体" w:eastAsia="仿宋_GB2312" w:cs="宋体"/>
          <w:kern w:val="0"/>
          <w:sz w:val="36"/>
          <w:szCs w:val="36"/>
        </w:rPr>
        <w:t xml:space="preserve">分，得分率为 </w:t>
      </w:r>
      <w:r>
        <w:rPr>
          <w:rFonts w:hint="eastAsia" w:hAnsi="宋体" w:eastAsia="仿宋_GB2312" w:cs="宋体"/>
          <w:kern w:val="0"/>
          <w:sz w:val="36"/>
          <w:szCs w:val="36"/>
          <w:lang w:val="en-US" w:eastAsia="zh-CN"/>
        </w:rPr>
        <w:t>100</w:t>
      </w:r>
      <w:r>
        <w:rPr>
          <w:rFonts w:hint="eastAsia" w:hAnsi="宋体" w:eastAsia="仿宋_GB2312" w:cs="宋体"/>
          <w:kern w:val="0"/>
          <w:sz w:val="36"/>
          <w:szCs w:val="36"/>
        </w:rPr>
        <w:t>%。</w:t>
      </w:r>
    </w:p>
    <w:p>
      <w:pPr>
        <w:pStyle w:val="2"/>
        <w:pageBreakBefore w:val="0"/>
        <w:kinsoku/>
        <w:wordWrap/>
        <w:overflowPunct/>
        <w:topLinePunct w:val="0"/>
        <w:autoSpaceDE/>
        <w:autoSpaceDN/>
        <w:bidi w:val="0"/>
        <w:adjustRightInd/>
        <w:snapToGrid/>
        <w:spacing w:before="0" w:after="0" w:line="560" w:lineRule="atLeast"/>
        <w:textAlignment w:val="auto"/>
        <w:rPr>
          <w:rFonts w:hint="eastAsia" w:ascii="仿宋_GB2312" w:hAnsi="仿宋_GB2312" w:eastAsia="仿宋_GB2312" w:cs="仿宋_GB2312"/>
          <w:sz w:val="30"/>
          <w:szCs w:val="30"/>
        </w:rPr>
      </w:pPr>
    </w:p>
    <w:p>
      <w:pPr>
        <w:pStyle w:val="2"/>
        <w:pageBreakBefore w:val="0"/>
        <w:kinsoku/>
        <w:wordWrap/>
        <w:overflowPunct/>
        <w:topLinePunct w:val="0"/>
        <w:autoSpaceDE/>
        <w:autoSpaceDN/>
        <w:bidi w:val="0"/>
        <w:adjustRightInd/>
        <w:snapToGrid/>
        <w:spacing w:before="0" w:after="0" w:line="560" w:lineRule="atLeast"/>
        <w:textAlignment w:val="auto"/>
        <w:rPr>
          <w:rFonts w:hint="eastAsia" w:ascii="仿宋_GB2312" w:hAnsi="仿宋_GB2312" w:eastAsia="仿宋_GB2312" w:cs="仿宋_GB2312"/>
          <w:sz w:val="30"/>
          <w:szCs w:val="30"/>
        </w:rPr>
      </w:pPr>
    </w:p>
    <w:p>
      <w:pPr>
        <w:pStyle w:val="2"/>
        <w:pageBreakBefore w:val="0"/>
        <w:kinsoku/>
        <w:wordWrap/>
        <w:overflowPunct/>
        <w:topLinePunct w:val="0"/>
        <w:autoSpaceDE/>
        <w:autoSpaceDN/>
        <w:bidi w:val="0"/>
        <w:adjustRightInd/>
        <w:snapToGrid/>
        <w:spacing w:before="0" w:after="0" w:line="560" w:lineRule="atLeast"/>
        <w:textAlignment w:val="auto"/>
        <w:rPr>
          <w:rFonts w:ascii="仿宋_GB2312" w:hAnsi="仿宋_GB2312" w:eastAsia="仿宋_GB2312" w:cs="仿宋_GB2312"/>
          <w:sz w:val="30"/>
          <w:szCs w:val="30"/>
        </w:rPr>
      </w:pPr>
      <w:r>
        <w:rPr>
          <w:rFonts w:hint="eastAsia" w:ascii="仿宋_GB2312" w:hAnsi="仿宋_GB2312" w:eastAsia="仿宋_GB2312" w:cs="仿宋_GB2312"/>
          <w:sz w:val="30"/>
          <w:szCs w:val="30"/>
        </w:rPr>
        <w:t>表</w:t>
      </w:r>
      <w:r>
        <w:rPr>
          <w:rFonts w:hint="eastAsia" w:ascii="仿宋_GB2312" w:hAnsi="仿宋_GB2312" w:eastAsia="仿宋_GB2312" w:cs="仿宋_GB2312"/>
          <w:sz w:val="30"/>
          <w:szCs w:val="30"/>
          <w:lang w:val="en-US" w:eastAsia="zh-CN"/>
        </w:rPr>
        <w:t>1</w:t>
      </w:r>
      <w:r>
        <w:rPr>
          <w:rFonts w:hint="eastAsia" w:ascii="仿宋_GB2312" w:hAnsi="仿宋_GB2312" w:eastAsia="仿宋_GB2312" w:cs="仿宋_GB2312"/>
          <w:sz w:val="30"/>
          <w:szCs w:val="30"/>
        </w:rPr>
        <w:t>综合评分表</w:t>
      </w:r>
    </w:p>
    <w:p>
      <w:pPr>
        <w:pageBreakBefore w:val="0"/>
        <w:kinsoku/>
        <w:wordWrap/>
        <w:overflowPunct/>
        <w:topLinePunct w:val="0"/>
        <w:autoSpaceDE/>
        <w:autoSpaceDN/>
        <w:bidi w:val="0"/>
        <w:adjustRightInd/>
        <w:snapToGrid/>
        <w:spacing w:line="560" w:lineRule="atLeast"/>
        <w:textAlignment w:val="auto"/>
      </w:pPr>
    </w:p>
    <w:p>
      <w:pPr>
        <w:pageBreakBefore w:val="0"/>
        <w:kinsoku/>
        <w:wordWrap/>
        <w:overflowPunct/>
        <w:topLinePunct w:val="0"/>
        <w:autoSpaceDE/>
        <w:autoSpaceDN/>
        <w:bidi w:val="0"/>
        <w:adjustRightInd/>
        <w:snapToGrid/>
        <w:spacing w:line="560" w:lineRule="atLeast"/>
        <w:textAlignment w:val="auto"/>
      </w:pPr>
    </w:p>
    <w:tbl>
      <w:tblPr>
        <w:tblStyle w:val="19"/>
        <w:tblpPr w:leftFromText="180" w:rightFromText="180" w:vertAnchor="text" w:horzAnchor="page" w:tblpX="1016" w:tblpY="-67"/>
        <w:tblOverlap w:val="never"/>
        <w:tblW w:w="9954"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04"/>
        <w:gridCol w:w="990"/>
        <w:gridCol w:w="1283"/>
        <w:gridCol w:w="1707"/>
        <w:gridCol w:w="727"/>
        <w:gridCol w:w="1044"/>
        <w:gridCol w:w="924"/>
        <w:gridCol w:w="1215"/>
        <w:gridCol w:w="96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0" w:hRule="atLeast"/>
          <w:tblHeader/>
        </w:trPr>
        <w:tc>
          <w:tcPr>
            <w:tcW w:w="1104" w:type="dxa"/>
            <w:shd w:val="clear" w:color="auto" w:fill="BFBFBF"/>
            <w:vAlign w:val="center"/>
          </w:tcPr>
          <w:p>
            <w:pPr>
              <w:pageBreakBefore w:val="0"/>
              <w:widowControl/>
              <w:kinsoku/>
              <w:wordWrap/>
              <w:overflowPunct/>
              <w:topLinePunct w:val="0"/>
              <w:autoSpaceDE/>
              <w:autoSpaceDN/>
              <w:bidi w:val="0"/>
              <w:adjustRightInd/>
              <w:snapToGrid/>
              <w:spacing w:line="560" w:lineRule="atLeast"/>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一级指标</w:t>
            </w:r>
          </w:p>
        </w:tc>
        <w:tc>
          <w:tcPr>
            <w:tcW w:w="990"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分值</w:t>
            </w:r>
          </w:p>
        </w:tc>
        <w:tc>
          <w:tcPr>
            <w:tcW w:w="1283"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二级指标</w:t>
            </w:r>
          </w:p>
        </w:tc>
        <w:tc>
          <w:tcPr>
            <w:tcW w:w="170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三级指标</w:t>
            </w:r>
          </w:p>
        </w:tc>
        <w:tc>
          <w:tcPr>
            <w:tcW w:w="727" w:type="dxa"/>
            <w:shd w:val="clear" w:color="auto" w:fill="BFBFB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权重</w:t>
            </w:r>
          </w:p>
        </w:tc>
        <w:tc>
          <w:tcPr>
            <w:tcW w:w="104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目标值</w:t>
            </w:r>
          </w:p>
        </w:tc>
        <w:tc>
          <w:tcPr>
            <w:tcW w:w="924"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业绩值</w:t>
            </w:r>
          </w:p>
        </w:tc>
        <w:tc>
          <w:tcPr>
            <w:tcW w:w="1215"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得分率</w:t>
            </w:r>
          </w:p>
        </w:tc>
        <w:tc>
          <w:tcPr>
            <w:tcW w:w="960" w:type="dxa"/>
            <w:shd w:val="clear" w:color="auto" w:fill="BFBFBF"/>
            <w:vAlign w:val="center"/>
          </w:tcPr>
          <w:p>
            <w:pPr>
              <w:pageBreakBefore w:val="0"/>
              <w:widowControl/>
              <w:tabs>
                <w:tab w:val="left" w:pos="1333"/>
                <w:tab w:val="center" w:pos="3623"/>
              </w:tabs>
              <w:kinsoku/>
              <w:wordWrap/>
              <w:overflowPunct/>
              <w:topLinePunct w:val="0"/>
              <w:autoSpaceDE/>
              <w:autoSpaceDN/>
              <w:bidi w:val="0"/>
              <w:adjustRightInd/>
              <w:snapToGrid/>
              <w:spacing w:line="560" w:lineRule="atLeast"/>
              <w:jc w:val="center"/>
              <w:textAlignment w:val="auto"/>
              <w:rPr>
                <w:rFonts w:ascii="宋体" w:hAnsi="宋体" w:cs="宋体"/>
                <w:b/>
                <w:bCs/>
                <w:color w:val="000000"/>
                <w:kern w:val="0"/>
                <w:sz w:val="22"/>
                <w:szCs w:val="22"/>
              </w:rPr>
            </w:pPr>
            <w:r>
              <w:rPr>
                <w:rFonts w:hint="eastAsia" w:ascii="宋体" w:hAnsi="宋体" w:cs="宋体"/>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决策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项目立项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立项依据</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充分性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立项程序</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规范性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绩效目标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绩效指标</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明确性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资金投入</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预算编制</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科学性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50%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资金分配</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合理性</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过程</w:t>
            </w:r>
          </w:p>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资金到位率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预算执行率</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0.5</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50%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cs="宋体"/>
                <w:color w:val="000000"/>
                <w:kern w:val="0"/>
                <w:sz w:val="22"/>
                <w:szCs w:val="22"/>
                <w:lang w:val="en-US"/>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资金管理</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资金使用</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合规性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组织实施</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管理制度</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健全性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制度执行</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有效性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kern w:val="0"/>
                <w:sz w:val="22"/>
                <w:szCs w:val="22"/>
              </w:rPr>
              <w:t>50分</w:t>
            </w: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产出数量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实际完成率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产出质量</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质量达标率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产出时效</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完成及时性</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产出成本</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成本节约率</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效益　</w:t>
            </w:r>
          </w:p>
        </w:tc>
        <w:tc>
          <w:tcPr>
            <w:tcW w:w="990"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40分</w:t>
            </w:r>
          </w:p>
        </w:tc>
        <w:tc>
          <w:tcPr>
            <w:tcW w:w="1283" w:type="dxa"/>
            <w:vMerge w:val="restart"/>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项目效益　</w:t>
            </w: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实施效益</w:t>
            </w:r>
          </w:p>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（社会效益、经济效益、可持续效益）</w:t>
            </w:r>
          </w:p>
        </w:tc>
        <w:tc>
          <w:tcPr>
            <w:tcW w:w="72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04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924"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c>
          <w:tcPr>
            <w:tcW w:w="1215"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67" w:hRule="atLeast"/>
        </w:trPr>
        <w:tc>
          <w:tcPr>
            <w:tcW w:w="1104"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990"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283" w:type="dxa"/>
            <w:vMerge w:val="continue"/>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p>
        </w:tc>
        <w:tc>
          <w:tcPr>
            <w:tcW w:w="1707" w:type="dxa"/>
            <w:shd w:val="clear" w:color="auto"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满意度</w:t>
            </w:r>
          </w:p>
        </w:tc>
        <w:tc>
          <w:tcPr>
            <w:tcW w:w="727"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04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924"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c>
          <w:tcPr>
            <w:tcW w:w="1215"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lang w:val="en-US" w:eastAsia="zh-CN"/>
              </w:rPr>
              <w:t>100%</w:t>
            </w:r>
          </w:p>
        </w:tc>
        <w:tc>
          <w:tcPr>
            <w:tcW w:w="960" w:type="dxa"/>
            <w:shd w:val="clear" w:color="000000" w:fill="FFFFFF"/>
            <w:vAlign w:val="center"/>
          </w:tcPr>
          <w:p>
            <w:pPr>
              <w:pageBreakBefore w:val="0"/>
              <w:widowControl/>
              <w:kinsoku/>
              <w:wordWrap/>
              <w:overflowPunct/>
              <w:topLinePunct w:val="0"/>
              <w:autoSpaceDE/>
              <w:autoSpaceDN/>
              <w:bidi w:val="0"/>
              <w:adjustRightInd/>
              <w:snapToGrid/>
              <w:spacing w:line="560" w:lineRule="atLeast"/>
              <w:jc w:val="center"/>
              <w:textAlignment w:val="auto"/>
              <w:rPr>
                <w:rFonts w:ascii="宋体" w:hAnsi="宋体" w:cs="宋体"/>
                <w:color w:val="000000"/>
                <w:kern w:val="0"/>
                <w:sz w:val="22"/>
                <w:szCs w:val="22"/>
              </w:rPr>
            </w:pPr>
            <w:r>
              <w:rPr>
                <w:rFonts w:hint="eastAsia" w:ascii="宋体" w:hAnsi="宋体" w:cs="宋体"/>
                <w:color w:val="000000"/>
                <w:kern w:val="0"/>
                <w:sz w:val="22"/>
                <w:szCs w:val="22"/>
              </w:rPr>
              <w:t>10</w:t>
            </w:r>
          </w:p>
        </w:tc>
      </w:tr>
    </w:tbl>
    <w:p>
      <w:pPr>
        <w:pageBreakBefore w:val="0"/>
        <w:kinsoku/>
        <w:wordWrap/>
        <w:overflowPunct/>
        <w:topLinePunct w:val="0"/>
        <w:autoSpaceDE/>
        <w:autoSpaceDN/>
        <w:bidi w:val="0"/>
        <w:adjustRightInd/>
        <w:snapToGrid/>
        <w:spacing w:line="560" w:lineRule="atLeast"/>
        <w:ind w:firstLine="320" w:firstLineChars="100"/>
        <w:textAlignment w:val="auto"/>
        <w:rPr>
          <w:rFonts w:ascii="黑体" w:hAnsi="黑体" w:eastAsia="黑体"/>
          <w:sz w:val="32"/>
          <w:szCs w:val="32"/>
        </w:rPr>
      </w:pPr>
      <w:r>
        <w:rPr>
          <w:rFonts w:hint="eastAsia" w:ascii="黑体" w:hAnsi="黑体" w:eastAsia="黑体"/>
          <w:sz w:val="32"/>
          <w:szCs w:val="32"/>
        </w:rPr>
        <w:t>四、绩效评价指标分析</w:t>
      </w:r>
    </w:p>
    <w:p>
      <w:pPr>
        <w:pStyle w:val="2"/>
        <w:pageBreakBefore w:val="0"/>
        <w:kinsoku/>
        <w:wordWrap/>
        <w:overflowPunct/>
        <w:topLinePunct w:val="0"/>
        <w:autoSpaceDE/>
        <w:autoSpaceDN/>
        <w:bidi w:val="0"/>
        <w:adjustRightInd/>
        <w:snapToGrid/>
        <w:spacing w:before="0" w:after="0" w:line="560" w:lineRule="atLeast"/>
        <w:ind w:firstLine="321" w:firstLineChars="100"/>
        <w:jc w:val="both"/>
        <w:textAlignment w:val="auto"/>
        <w:rPr>
          <w:rFonts w:hint="eastAsia" w:ascii="楷体_GB2312" w:hAnsi="楷体_GB2312" w:eastAsia="楷体_GB2312" w:cs="楷体_GB2312"/>
        </w:rPr>
      </w:pPr>
      <w:r>
        <w:rPr>
          <w:rFonts w:hint="eastAsia" w:ascii="楷体_GB2312" w:hAnsi="楷体_GB2312" w:eastAsia="楷体_GB2312" w:cs="楷体_GB2312"/>
        </w:rPr>
        <w:t>（一）项目决策情况</w:t>
      </w:r>
    </w:p>
    <w:p>
      <w:pPr>
        <w:pageBreakBefore w:val="0"/>
        <w:kinsoku/>
        <w:wordWrap/>
        <w:overflowPunct/>
        <w:topLinePunct w:val="0"/>
        <w:autoSpaceDE/>
        <w:autoSpaceDN/>
        <w:bidi w:val="0"/>
        <w:adjustRightInd/>
        <w:snapToGrid/>
        <w:spacing w:line="560" w:lineRule="atLeast"/>
        <w:ind w:firstLine="624" w:firstLineChars="200"/>
        <w:textAlignment w:val="auto"/>
        <w:rPr>
          <w:rStyle w:val="21"/>
          <w:rFonts w:hint="eastAsia" w:ascii="仿宋" w:hAnsi="仿宋" w:eastAsia="仿宋" w:cs="仿宋"/>
          <w:b w:val="0"/>
          <w:spacing w:val="-4"/>
          <w:kern w:val="2"/>
          <w:sz w:val="32"/>
          <w:szCs w:val="32"/>
          <w:lang w:val="en-US" w:eastAsia="zh-CN" w:bidi="ar-SA"/>
        </w:rPr>
      </w:pPr>
      <w:r>
        <w:rPr>
          <w:rStyle w:val="21"/>
          <w:rFonts w:hint="eastAsia" w:ascii="仿宋" w:hAnsi="仿宋" w:eastAsia="仿宋" w:cs="仿宋"/>
          <w:b w:val="0"/>
          <w:spacing w:val="-4"/>
          <w:kern w:val="2"/>
          <w:sz w:val="32"/>
          <w:szCs w:val="32"/>
          <w:lang w:val="en-US" w:eastAsia="zh-CN" w:bidi="ar-SA"/>
        </w:rPr>
        <w:t>项目决策1、项目立项依据充分权重为0.5分，得分0.5分，项目立项程序规范权重为0.5分，得分0.5分；</w:t>
      </w:r>
    </w:p>
    <w:p>
      <w:pPr>
        <w:pStyle w:val="2"/>
        <w:pageBreakBefore w:val="0"/>
        <w:numPr>
          <w:ilvl w:val="0"/>
          <w:numId w:val="0"/>
        </w:numPr>
        <w:kinsoku/>
        <w:wordWrap/>
        <w:overflowPunct/>
        <w:topLinePunct w:val="0"/>
        <w:autoSpaceDE/>
        <w:autoSpaceDN/>
        <w:bidi w:val="0"/>
        <w:adjustRightInd/>
        <w:snapToGrid/>
        <w:spacing w:before="0" w:after="0" w:line="560" w:lineRule="atLeast"/>
        <w:ind w:firstLine="624" w:firstLineChars="200"/>
        <w:jc w:val="both"/>
        <w:textAlignment w:val="auto"/>
        <w:rPr>
          <w:rStyle w:val="21"/>
          <w:rFonts w:hint="eastAsia" w:ascii="仿宋" w:hAnsi="仿宋" w:eastAsia="仿宋" w:cs="仿宋"/>
          <w:b w:val="0"/>
          <w:bCs/>
          <w:spacing w:val="-4"/>
          <w:kern w:val="2"/>
          <w:sz w:val="32"/>
          <w:szCs w:val="32"/>
          <w:lang w:val="en-US" w:eastAsia="zh-CN" w:bidi="ar-SA"/>
        </w:rPr>
      </w:pPr>
      <w:r>
        <w:rPr>
          <w:rStyle w:val="21"/>
          <w:rFonts w:hint="eastAsia" w:ascii="仿宋" w:hAnsi="仿宋" w:eastAsia="仿宋" w:cs="仿宋"/>
          <w:b w:val="0"/>
          <w:bCs/>
          <w:spacing w:val="-4"/>
          <w:kern w:val="2"/>
          <w:sz w:val="32"/>
          <w:szCs w:val="32"/>
          <w:lang w:val="en-US" w:eastAsia="zh-CN" w:bidi="ar-SA"/>
        </w:rPr>
        <w:t>2、绩效目标合理权重为1分，得分1分，绩效目标指标明确权重为1分，得分1分；</w:t>
      </w:r>
    </w:p>
    <w:p>
      <w:pPr>
        <w:pageBreakBefore w:val="0"/>
        <w:numPr>
          <w:ilvl w:val="0"/>
          <w:numId w:val="0"/>
        </w:numPr>
        <w:kinsoku/>
        <w:wordWrap/>
        <w:overflowPunct/>
        <w:topLinePunct w:val="0"/>
        <w:autoSpaceDE/>
        <w:autoSpaceDN/>
        <w:bidi w:val="0"/>
        <w:adjustRightInd/>
        <w:snapToGrid/>
        <w:spacing w:line="560" w:lineRule="atLeast"/>
        <w:ind w:firstLine="624" w:firstLineChars="200"/>
        <w:textAlignment w:val="auto"/>
        <w:rPr>
          <w:rFonts w:hint="default" w:ascii="Times New Roman" w:hAnsi="Times New Roman" w:eastAsia="楷体_GB2312" w:cs="Times New Roman"/>
          <w:b w:val="0"/>
          <w:bCs w:val="0"/>
          <w:kern w:val="2"/>
          <w:sz w:val="36"/>
          <w:szCs w:val="44"/>
          <w:highlight w:val="yellow"/>
          <w:lang w:val="en-US" w:eastAsia="zh-CN" w:bidi="ar-SA"/>
        </w:rPr>
      </w:pPr>
      <w:r>
        <w:rPr>
          <w:rStyle w:val="21"/>
          <w:rFonts w:hint="eastAsia" w:ascii="仿宋" w:hAnsi="仿宋" w:eastAsia="仿宋" w:cs="仿宋"/>
          <w:b w:val="0"/>
          <w:spacing w:val="-4"/>
          <w:kern w:val="2"/>
          <w:sz w:val="32"/>
          <w:szCs w:val="32"/>
          <w:lang w:val="en-US" w:eastAsia="zh-CN" w:bidi="ar-SA"/>
        </w:rPr>
        <w:t>3、资金投入预算编制科学权重1分，得分0.5分，资金分配合理权重为1分，得分1分。</w:t>
      </w:r>
    </w:p>
    <w:p>
      <w:pPr>
        <w:pStyle w:val="2"/>
        <w:pageBreakBefore w:val="0"/>
        <w:numPr>
          <w:ilvl w:val="0"/>
          <w:numId w:val="5"/>
        </w:numPr>
        <w:kinsoku/>
        <w:wordWrap/>
        <w:overflowPunct/>
        <w:topLinePunct w:val="0"/>
        <w:autoSpaceDE/>
        <w:autoSpaceDN/>
        <w:bidi w:val="0"/>
        <w:adjustRightInd/>
        <w:snapToGrid/>
        <w:spacing w:before="0" w:after="0" w:line="560" w:lineRule="atLeast"/>
        <w:ind w:firstLine="321" w:firstLineChars="100"/>
        <w:jc w:val="both"/>
        <w:textAlignment w:val="auto"/>
      </w:pPr>
      <w:r>
        <w:rPr>
          <w:rFonts w:hint="eastAsia" w:ascii="楷体_GB2312" w:hAnsi="楷体_GB2312" w:eastAsia="楷体_GB2312" w:cs="楷体_GB2312"/>
        </w:rPr>
        <w:t>项目过程情况</w:t>
      </w:r>
    </w:p>
    <w:p>
      <w:pPr>
        <w:pageBreakBefore w:val="0"/>
        <w:kinsoku/>
        <w:wordWrap/>
        <w:overflowPunct/>
        <w:topLinePunct w:val="0"/>
        <w:autoSpaceDE/>
        <w:autoSpaceDN/>
        <w:bidi w:val="0"/>
        <w:adjustRightInd/>
        <w:snapToGrid/>
        <w:spacing w:line="560" w:lineRule="atLeast"/>
        <w:textAlignment w:val="auto"/>
        <w:rPr>
          <w:rStyle w:val="21"/>
          <w:rFonts w:hint="default" w:ascii="仿宋" w:hAnsi="仿宋" w:eastAsia="仿宋" w:cs="仿宋"/>
          <w:b w:val="0"/>
          <w:spacing w:val="-4"/>
          <w:kern w:val="2"/>
          <w:sz w:val="32"/>
          <w:szCs w:val="32"/>
          <w:lang w:val="en-US" w:eastAsia="zh-CN" w:bidi="ar-SA"/>
        </w:rPr>
      </w:pPr>
      <w:r>
        <w:rPr>
          <w:rStyle w:val="21"/>
          <w:rFonts w:hint="eastAsia" w:ascii="仿宋" w:hAnsi="仿宋" w:eastAsia="仿宋" w:cs="仿宋"/>
          <w:b w:val="0"/>
          <w:spacing w:val="-4"/>
          <w:kern w:val="2"/>
          <w:sz w:val="32"/>
          <w:szCs w:val="32"/>
          <w:lang w:val="en-US" w:eastAsia="zh-CN" w:bidi="ar-SA"/>
        </w:rPr>
        <w:t>本项目资金的到位率100%，执行率60.24%，严格按照严格按照预期绩效目标执行预算资金。项目资金使用符合相关的财务管理制度规定，能够反映和考核项目资金的规范运行情况；项目实施单位的财务和业务管理制度健全，能够反映和考核财务和业务管理制度对项目顺利实施的保障情况。</w:t>
      </w:r>
    </w:p>
    <w:p>
      <w:pPr>
        <w:pStyle w:val="18"/>
        <w:pageBreakBefore w:val="0"/>
        <w:numPr>
          <w:ilvl w:val="0"/>
          <w:numId w:val="5"/>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项目产出</w:t>
      </w:r>
    </w:p>
    <w:p>
      <w:pPr>
        <w:pageBreakBefore w:val="0"/>
        <w:kinsoku/>
        <w:wordWrap/>
        <w:overflowPunct/>
        <w:topLinePunct w:val="0"/>
        <w:autoSpaceDE/>
        <w:autoSpaceDN/>
        <w:bidi w:val="0"/>
        <w:adjustRightInd/>
        <w:snapToGrid/>
        <w:spacing w:line="560" w:lineRule="atLeast"/>
        <w:ind w:firstLine="640"/>
        <w:textAlignment w:val="auto"/>
        <w:rPr>
          <w:rStyle w:val="21"/>
          <w:rFonts w:hint="default" w:ascii="仿宋" w:hAnsi="仿宋" w:eastAsia="仿宋" w:cs="仿宋"/>
          <w:b w:val="0"/>
          <w:bCs/>
          <w:spacing w:val="-4"/>
          <w:sz w:val="32"/>
          <w:szCs w:val="32"/>
          <w:lang w:val="en-US" w:eastAsia="zh-CN"/>
        </w:rPr>
      </w:pPr>
      <w:r>
        <w:rPr>
          <w:rStyle w:val="21"/>
          <w:rFonts w:hint="eastAsia" w:ascii="仿宋" w:hAnsi="仿宋" w:eastAsia="仿宋" w:cs="仿宋"/>
          <w:b w:val="0"/>
          <w:bCs/>
          <w:spacing w:val="-4"/>
          <w:sz w:val="32"/>
          <w:szCs w:val="32"/>
        </w:rPr>
        <w:t>数量指标方面：</w:t>
      </w:r>
      <w:r>
        <w:rPr>
          <w:rStyle w:val="21"/>
          <w:rFonts w:hint="eastAsia" w:ascii="仿宋" w:hAnsi="仿宋" w:eastAsia="仿宋" w:cs="仿宋"/>
          <w:b w:val="0"/>
          <w:bCs/>
          <w:spacing w:val="-4"/>
          <w:sz w:val="32"/>
          <w:szCs w:val="32"/>
          <w:lang w:val="en-US" w:eastAsia="zh-CN"/>
        </w:rPr>
        <w:t>待遇支付人数</w:t>
      </w:r>
      <w:r>
        <w:rPr>
          <w:rFonts w:hint="eastAsia" w:ascii="仿宋_GB2312" w:hAnsi="仿宋_GB2312" w:eastAsia="仿宋_GB2312" w:cs="仿宋_GB2312"/>
          <w:color w:val="000000"/>
          <w:spacing w:val="17"/>
          <w:kern w:val="2"/>
          <w:sz w:val="32"/>
          <w:szCs w:val="32"/>
          <w:lang w:val="en-US" w:eastAsia="zh-CN" w:bidi="ar-SA"/>
        </w:rPr>
        <w:t>预，期指标值</w:t>
      </w:r>
      <w:r>
        <w:rPr>
          <w:rStyle w:val="21"/>
          <w:rFonts w:hint="eastAsia" w:ascii="宋体" w:hAnsi="宋体" w:eastAsia="宋体" w:cs="宋体"/>
          <w:b w:val="0"/>
          <w:bCs/>
          <w:spacing w:val="-4"/>
          <w:sz w:val="32"/>
          <w:szCs w:val="32"/>
          <w:lang w:val="en-US" w:eastAsia="zh-CN"/>
        </w:rPr>
        <w:t>≤</w:t>
      </w:r>
      <w:r>
        <w:rPr>
          <w:rStyle w:val="21"/>
          <w:rFonts w:hint="eastAsia" w:ascii="仿宋" w:hAnsi="仿宋" w:eastAsia="仿宋" w:cs="仿宋"/>
          <w:b w:val="0"/>
          <w:bCs/>
          <w:spacing w:val="-4"/>
          <w:sz w:val="32"/>
          <w:szCs w:val="32"/>
          <w:lang w:val="en-US" w:eastAsia="zh-CN"/>
        </w:rPr>
        <w:t>51人</w:t>
      </w:r>
      <w:r>
        <w:rPr>
          <w:rFonts w:hint="eastAsia" w:ascii="仿宋_GB2312" w:hAnsi="仿宋_GB2312" w:eastAsia="仿宋_GB2312" w:cs="仿宋_GB2312"/>
          <w:color w:val="000000"/>
          <w:spacing w:val="17"/>
          <w:kern w:val="2"/>
          <w:sz w:val="32"/>
          <w:szCs w:val="32"/>
          <w:lang w:val="en-US" w:eastAsia="zh-CN" w:bidi="ar-SA"/>
        </w:rPr>
        <w:t>，指标完成值43人，指标完成率</w:t>
      </w:r>
      <w:r>
        <w:rPr>
          <w:rStyle w:val="21"/>
          <w:rFonts w:hint="eastAsia" w:ascii="宋体" w:hAnsi="宋体" w:eastAsia="宋体" w:cs="宋体"/>
          <w:b w:val="0"/>
          <w:bCs/>
          <w:spacing w:val="-4"/>
          <w:sz w:val="32"/>
          <w:szCs w:val="32"/>
          <w:lang w:val="en-US" w:eastAsia="zh-CN"/>
        </w:rPr>
        <w:t>≤</w:t>
      </w:r>
      <w:r>
        <w:rPr>
          <w:rFonts w:hint="eastAsia" w:ascii="仿宋_GB2312" w:hAnsi="仿宋_GB2312" w:eastAsia="仿宋_GB2312" w:cs="仿宋_GB2312"/>
          <w:color w:val="000000"/>
          <w:spacing w:val="17"/>
          <w:kern w:val="2"/>
          <w:sz w:val="32"/>
          <w:szCs w:val="32"/>
          <w:lang w:val="en-US" w:eastAsia="zh-CN" w:bidi="ar-SA"/>
        </w:rPr>
        <w:t>84.3%；</w:t>
      </w:r>
    </w:p>
    <w:p>
      <w:pPr>
        <w:pageBreakBefore w:val="0"/>
        <w:kinsoku/>
        <w:wordWrap/>
        <w:overflowPunct/>
        <w:topLinePunct w:val="0"/>
        <w:autoSpaceDE/>
        <w:autoSpaceDN/>
        <w:bidi w:val="0"/>
        <w:adjustRightInd/>
        <w:snapToGrid/>
        <w:spacing w:line="560" w:lineRule="atLeast"/>
        <w:ind w:firstLine="640"/>
        <w:textAlignment w:val="auto"/>
        <w:rPr>
          <w:rStyle w:val="51"/>
          <w:rFonts w:hint="default" w:eastAsia="仿宋"/>
          <w:color w:val="auto"/>
          <w:lang w:val="en-US" w:eastAsia="zh-CN"/>
        </w:rPr>
      </w:pPr>
      <w:r>
        <w:rPr>
          <w:rStyle w:val="21"/>
          <w:rFonts w:hint="eastAsia" w:ascii="仿宋" w:hAnsi="仿宋" w:eastAsia="仿宋" w:cs="仿宋"/>
          <w:b w:val="0"/>
          <w:bCs/>
          <w:spacing w:val="-4"/>
          <w:sz w:val="32"/>
          <w:szCs w:val="32"/>
        </w:rPr>
        <w:t>数量指标方面：</w:t>
      </w:r>
      <w:r>
        <w:rPr>
          <w:rStyle w:val="21"/>
          <w:rFonts w:hint="eastAsia" w:ascii="仿宋" w:hAnsi="仿宋" w:eastAsia="仿宋" w:cs="仿宋"/>
          <w:b w:val="0"/>
          <w:bCs/>
          <w:spacing w:val="-4"/>
          <w:sz w:val="32"/>
          <w:szCs w:val="32"/>
          <w:lang w:val="en-US" w:eastAsia="zh-CN"/>
        </w:rPr>
        <w:t>开展政策宣传，</w:t>
      </w:r>
      <w:r>
        <w:rPr>
          <w:rFonts w:hint="eastAsia" w:ascii="仿宋_GB2312" w:hAnsi="仿宋_GB2312" w:eastAsia="仿宋_GB2312" w:cs="仿宋_GB2312"/>
          <w:color w:val="000000"/>
          <w:spacing w:val="17"/>
          <w:kern w:val="2"/>
          <w:sz w:val="32"/>
          <w:szCs w:val="32"/>
          <w:lang w:val="en-US" w:eastAsia="zh-CN" w:bidi="ar-SA"/>
        </w:rPr>
        <w:t>预期指标值</w:t>
      </w:r>
      <w:r>
        <w:rPr>
          <w:rStyle w:val="21"/>
          <w:rFonts w:hint="eastAsia" w:ascii="宋体" w:hAnsi="宋体" w:eastAsia="宋体" w:cs="宋体"/>
          <w:b w:val="0"/>
          <w:bCs/>
          <w:spacing w:val="-4"/>
          <w:sz w:val="32"/>
          <w:szCs w:val="32"/>
          <w:lang w:val="en-US" w:eastAsia="zh-CN"/>
        </w:rPr>
        <w:t>≤</w:t>
      </w:r>
      <w:r>
        <w:rPr>
          <w:rStyle w:val="21"/>
          <w:rFonts w:hint="eastAsia" w:ascii="仿宋" w:hAnsi="仿宋" w:eastAsia="仿宋" w:cs="仿宋"/>
          <w:b w:val="0"/>
          <w:bCs/>
          <w:spacing w:val="-4"/>
          <w:sz w:val="32"/>
          <w:szCs w:val="32"/>
          <w:lang w:val="en-US" w:eastAsia="zh-CN"/>
        </w:rPr>
        <w:t>4次</w:t>
      </w:r>
      <w:r>
        <w:rPr>
          <w:rFonts w:hint="eastAsia" w:ascii="仿宋_GB2312" w:hAnsi="仿宋_GB2312" w:eastAsia="仿宋_GB2312" w:cs="仿宋_GB2312"/>
          <w:color w:val="000000"/>
          <w:spacing w:val="17"/>
          <w:kern w:val="2"/>
          <w:sz w:val="32"/>
          <w:szCs w:val="32"/>
          <w:lang w:val="en-US" w:eastAsia="zh-CN" w:bidi="ar-SA"/>
        </w:rPr>
        <w:t>，指标完成值4次，指标完成率</w:t>
      </w:r>
      <w:r>
        <w:rPr>
          <w:rStyle w:val="21"/>
          <w:rFonts w:hint="eastAsia" w:ascii="宋体" w:hAnsi="宋体" w:eastAsia="宋体" w:cs="宋体"/>
          <w:b w:val="0"/>
          <w:bCs/>
          <w:spacing w:val="-4"/>
          <w:sz w:val="32"/>
          <w:szCs w:val="32"/>
          <w:lang w:val="en-US" w:eastAsia="zh-CN"/>
        </w:rPr>
        <w:t>≤</w:t>
      </w:r>
      <w:r>
        <w:rPr>
          <w:rFonts w:hint="eastAsia" w:ascii="仿宋_GB2312" w:hAnsi="仿宋_GB2312" w:eastAsia="仿宋_GB2312" w:cs="仿宋_GB2312"/>
          <w:color w:val="000000"/>
          <w:spacing w:val="17"/>
          <w:kern w:val="2"/>
          <w:sz w:val="32"/>
          <w:szCs w:val="32"/>
          <w:lang w:val="en-US" w:eastAsia="zh-CN" w:bidi="ar-SA"/>
        </w:rPr>
        <w:t>100%；</w:t>
      </w:r>
    </w:p>
    <w:p>
      <w:pPr>
        <w:pageBreakBefore w:val="0"/>
        <w:kinsoku/>
        <w:wordWrap/>
        <w:overflowPunct/>
        <w:topLinePunct w:val="0"/>
        <w:autoSpaceDE/>
        <w:autoSpaceDN/>
        <w:bidi w:val="0"/>
        <w:adjustRightInd/>
        <w:snapToGrid/>
        <w:spacing w:line="560" w:lineRule="atLeast"/>
        <w:ind w:firstLine="640"/>
        <w:textAlignment w:val="auto"/>
        <w:rPr>
          <w:rStyle w:val="51"/>
          <w:rFonts w:hint="default" w:eastAsia="仿宋_GB2312"/>
          <w:color w:val="auto"/>
          <w:lang w:val="en-US" w:eastAsia="zh-CN"/>
        </w:rPr>
      </w:pPr>
      <w:r>
        <w:rPr>
          <w:rStyle w:val="51"/>
          <w:rFonts w:hint="eastAsia"/>
          <w:color w:val="auto"/>
        </w:rPr>
        <w:t>质量指标方面：</w:t>
      </w:r>
      <w:r>
        <w:rPr>
          <w:rStyle w:val="51"/>
          <w:rFonts w:hint="eastAsia" w:eastAsia="仿宋_GB2312"/>
          <w:color w:val="auto"/>
          <w:lang w:val="en-US" w:eastAsia="zh-CN"/>
        </w:rPr>
        <w:t>离休医药费报销比率，</w:t>
      </w:r>
      <w:r>
        <w:rPr>
          <w:rFonts w:hint="eastAsia" w:ascii="仿宋_GB2312" w:hAnsi="仿宋_GB2312" w:eastAsia="仿宋_GB2312" w:cs="仿宋_GB2312"/>
          <w:color w:val="000000"/>
          <w:spacing w:val="17"/>
          <w:kern w:val="2"/>
          <w:sz w:val="32"/>
          <w:szCs w:val="32"/>
          <w:lang w:val="en-US" w:eastAsia="zh-CN" w:bidi="ar-SA"/>
        </w:rPr>
        <w:t>预期指标值</w:t>
      </w:r>
      <w:r>
        <w:rPr>
          <w:rStyle w:val="21"/>
          <w:rFonts w:hint="eastAsia" w:ascii="宋体" w:hAnsi="宋体" w:eastAsia="宋体" w:cs="宋体"/>
          <w:b w:val="0"/>
          <w:bCs/>
          <w:spacing w:val="-4"/>
          <w:sz w:val="32"/>
          <w:szCs w:val="32"/>
          <w:lang w:val="en-US" w:eastAsia="zh-CN"/>
        </w:rPr>
        <w:t>≤</w:t>
      </w:r>
      <w:r>
        <w:rPr>
          <w:rFonts w:hint="eastAsia" w:ascii="仿宋_GB2312" w:hAnsi="仿宋_GB2312" w:eastAsia="仿宋_GB2312" w:cs="仿宋_GB2312"/>
          <w:color w:val="000000"/>
          <w:spacing w:val="17"/>
          <w:kern w:val="2"/>
          <w:sz w:val="32"/>
          <w:szCs w:val="32"/>
          <w:lang w:val="en-US" w:eastAsia="zh-CN" w:bidi="ar-SA"/>
        </w:rPr>
        <w:t>100%，指标完成值100，指标完成率</w:t>
      </w:r>
      <w:r>
        <w:rPr>
          <w:rStyle w:val="51"/>
          <w:rFonts w:hint="eastAsia" w:eastAsia="仿宋_GB2312"/>
          <w:color w:val="auto"/>
          <w:lang w:val="en-US" w:eastAsia="zh-CN"/>
        </w:rPr>
        <w:t>=100%；</w:t>
      </w:r>
    </w:p>
    <w:p>
      <w:pPr>
        <w:pStyle w:val="17"/>
        <w:pageBreakBefore w:val="0"/>
        <w:widowControl/>
        <w:kinsoku/>
        <w:wordWrap/>
        <w:overflowPunct/>
        <w:topLinePunct w:val="0"/>
        <w:autoSpaceDE/>
        <w:autoSpaceDN/>
        <w:bidi w:val="0"/>
        <w:adjustRightInd/>
        <w:snapToGrid/>
        <w:spacing w:before="0" w:beforeAutospacing="0" w:after="0" w:afterAutospacing="0" w:line="560" w:lineRule="atLeast"/>
        <w:ind w:firstLine="320" w:firstLineChars="100"/>
        <w:jc w:val="both"/>
        <w:textAlignment w:val="auto"/>
        <w:rPr>
          <w:rFonts w:hint="default" w:ascii="仿宋_GB2312" w:hAnsi="仿宋_GB2312" w:eastAsia="仿宋_GB2312" w:cs="仿宋_GB2312"/>
          <w:sz w:val="32"/>
          <w:szCs w:val="32"/>
          <w:lang w:val="en-US"/>
        </w:rPr>
      </w:pPr>
      <w:r>
        <w:rPr>
          <w:rStyle w:val="51"/>
          <w:rFonts w:hint="eastAsia"/>
          <w:b w:val="0"/>
          <w:bCs w:val="0"/>
          <w:color w:val="auto"/>
          <w:lang w:val="en-US" w:eastAsia="zh-CN"/>
        </w:rPr>
        <w:t>成本指标方面：离休干部医药费成本，</w:t>
      </w:r>
      <w:r>
        <w:rPr>
          <w:rFonts w:hint="eastAsia" w:ascii="仿宋_GB2312" w:hAnsi="仿宋_GB2312" w:eastAsia="仿宋_GB2312" w:cs="仿宋_GB2312"/>
          <w:sz w:val="32"/>
          <w:szCs w:val="32"/>
        </w:rPr>
        <w:t>预期指标值</w:t>
      </w:r>
      <w:r>
        <w:rPr>
          <w:rStyle w:val="21"/>
          <w:rFonts w:hint="eastAsia" w:ascii="宋体" w:hAnsi="宋体" w:eastAsia="宋体" w:cs="宋体"/>
          <w:b w:val="0"/>
          <w:bCs/>
          <w:spacing w:val="-4"/>
          <w:sz w:val="32"/>
          <w:szCs w:val="32"/>
          <w:lang w:val="en-US" w:eastAsia="zh-CN"/>
        </w:rPr>
        <w:t>≤90</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，指标完成值</w:t>
      </w:r>
      <w:r>
        <w:rPr>
          <w:rStyle w:val="21"/>
          <w:rFonts w:hint="eastAsia" w:ascii="宋体" w:hAnsi="宋体" w:eastAsia="宋体" w:cs="宋体"/>
          <w:b w:val="0"/>
          <w:bCs/>
          <w:spacing w:val="-4"/>
          <w:sz w:val="32"/>
          <w:szCs w:val="32"/>
          <w:lang w:val="en-US" w:eastAsia="zh-CN"/>
        </w:rPr>
        <w:t>≤54.22</w:t>
      </w:r>
      <w:r>
        <w:rPr>
          <w:rFonts w:hint="eastAsia" w:ascii="仿宋_GB2312" w:hAnsi="仿宋_GB2312" w:eastAsia="仿宋_GB2312" w:cs="仿宋_GB2312"/>
          <w:sz w:val="32"/>
          <w:szCs w:val="32"/>
          <w:lang w:val="en-US" w:eastAsia="zh-CN"/>
        </w:rPr>
        <w:t>万元</w:t>
      </w:r>
      <w:r>
        <w:rPr>
          <w:rFonts w:hint="eastAsia" w:ascii="仿宋_GB2312" w:hAnsi="仿宋_GB2312" w:eastAsia="仿宋_GB2312" w:cs="仿宋_GB2312"/>
          <w:sz w:val="32"/>
          <w:szCs w:val="32"/>
        </w:rPr>
        <w:t>，指标完成率</w:t>
      </w:r>
      <w:r>
        <w:rPr>
          <w:rStyle w:val="21"/>
          <w:rFonts w:hint="eastAsia" w:ascii="宋体" w:hAnsi="宋体" w:eastAsia="宋体" w:cs="宋体"/>
          <w:b w:val="0"/>
          <w:bCs/>
          <w:spacing w:val="-4"/>
          <w:sz w:val="32"/>
          <w:szCs w:val="32"/>
          <w:lang w:val="en-US" w:eastAsia="zh-CN"/>
        </w:rPr>
        <w:t>≤</w:t>
      </w:r>
      <w:r>
        <w:rPr>
          <w:rFonts w:hint="eastAsia" w:ascii="仿宋_GB2312" w:hAnsi="仿宋_GB2312" w:eastAsia="仿宋_GB2312" w:cs="仿宋_GB2312"/>
          <w:sz w:val="32"/>
          <w:szCs w:val="32"/>
          <w:lang w:val="en-US" w:eastAsia="zh-CN"/>
        </w:rPr>
        <w:t>60.24%，节约财政资金；</w:t>
      </w:r>
    </w:p>
    <w:p>
      <w:pPr>
        <w:pageBreakBefore w:val="0"/>
        <w:kinsoku/>
        <w:wordWrap/>
        <w:overflowPunct/>
        <w:topLinePunct w:val="0"/>
        <w:autoSpaceDE/>
        <w:autoSpaceDN/>
        <w:bidi w:val="0"/>
        <w:adjustRightInd/>
        <w:snapToGrid/>
        <w:spacing w:line="560" w:lineRule="atLeast"/>
        <w:ind w:firstLine="640" w:firstLineChars="200"/>
        <w:textAlignment w:val="auto"/>
        <w:rPr>
          <w:rFonts w:hint="eastAsia" w:ascii="仿宋" w:hAnsi="仿宋" w:eastAsia="仿宋" w:cs="仿宋"/>
          <w:sz w:val="32"/>
          <w:szCs w:val="32"/>
        </w:rPr>
      </w:pPr>
      <w:r>
        <w:rPr>
          <w:rStyle w:val="51"/>
          <w:rFonts w:hint="eastAsia"/>
          <w:color w:val="auto"/>
          <w:lang w:val="en-US" w:eastAsia="zh-CN"/>
        </w:rPr>
        <w:t>时效指标方面：</w:t>
      </w:r>
      <w:r>
        <w:rPr>
          <w:rFonts w:hint="eastAsia" w:ascii="仿宋" w:hAnsi="仿宋" w:eastAsia="仿宋" w:cs="仿宋"/>
          <w:sz w:val="32"/>
          <w:szCs w:val="32"/>
        </w:rPr>
        <w:t>在2020年完成时限度各项资金支出进度要求，保障医保局各项工作顺利开展，预期指标值按计划完成，指标完成值按计划完成，指标完成率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pPr>
        <w:pageBreakBefore w:val="0"/>
        <w:kinsoku/>
        <w:wordWrap/>
        <w:overflowPunct/>
        <w:topLinePunct w:val="0"/>
        <w:autoSpaceDE/>
        <w:autoSpaceDN/>
        <w:bidi w:val="0"/>
        <w:adjustRightInd/>
        <w:snapToGrid/>
        <w:spacing w:line="560" w:lineRule="atLeast"/>
        <w:ind w:firstLine="640" w:firstLineChars="200"/>
        <w:textAlignment w:val="auto"/>
        <w:rPr>
          <w:rStyle w:val="51"/>
          <w:rFonts w:hint="default"/>
          <w:b w:val="0"/>
          <w:bCs w:val="0"/>
          <w:color w:val="auto"/>
          <w:kern w:val="2"/>
          <w:lang w:val="en-US" w:eastAsia="zh-CN" w:bidi="ar-SA"/>
        </w:rPr>
      </w:pPr>
      <w:r>
        <w:rPr>
          <w:rStyle w:val="51"/>
          <w:rFonts w:hint="eastAsia"/>
          <w:b w:val="0"/>
          <w:bCs w:val="0"/>
          <w:color w:val="auto"/>
          <w:kern w:val="2"/>
          <w:lang w:val="en-US" w:eastAsia="zh-CN" w:bidi="ar-SA"/>
        </w:rPr>
        <w:t>时效指标方面：待遇支付完时间，</w:t>
      </w:r>
      <w:r>
        <w:rPr>
          <w:rFonts w:hint="eastAsia" w:ascii="仿宋_GB2312" w:hAnsi="仿宋_GB2312" w:eastAsia="仿宋_GB2312" w:cs="仿宋_GB2312"/>
          <w:sz w:val="32"/>
          <w:szCs w:val="32"/>
        </w:rPr>
        <w:t>预期指标值</w:t>
      </w:r>
      <w:r>
        <w:rPr>
          <w:rStyle w:val="21"/>
          <w:rFonts w:hint="eastAsia" w:ascii="宋体" w:hAnsi="宋体" w:eastAsia="宋体" w:cs="宋体"/>
          <w:b w:val="0"/>
          <w:bCs/>
          <w:spacing w:val="-4"/>
          <w:sz w:val="32"/>
          <w:szCs w:val="32"/>
          <w:lang w:val="en-US" w:eastAsia="zh-CN"/>
        </w:rPr>
        <w:t>=12月</w:t>
      </w:r>
      <w:r>
        <w:rPr>
          <w:rFonts w:hint="eastAsia" w:ascii="仿宋_GB2312" w:hAnsi="仿宋_GB2312" w:eastAsia="仿宋_GB2312" w:cs="仿宋_GB2312"/>
          <w:sz w:val="32"/>
          <w:szCs w:val="32"/>
        </w:rPr>
        <w:t>，指标完成值</w:t>
      </w:r>
      <w:r>
        <w:rPr>
          <w:rStyle w:val="21"/>
          <w:rFonts w:hint="eastAsia" w:ascii="宋体" w:hAnsi="宋体" w:eastAsia="宋体" w:cs="宋体"/>
          <w:b w:val="0"/>
          <w:bCs/>
          <w:spacing w:val="-4"/>
          <w:sz w:val="32"/>
          <w:szCs w:val="32"/>
          <w:lang w:val="en-US" w:eastAsia="zh-CN"/>
        </w:rPr>
        <w:t>12月</w:t>
      </w:r>
      <w:r>
        <w:rPr>
          <w:rFonts w:hint="eastAsia" w:ascii="仿宋_GB2312" w:hAnsi="仿宋_GB2312" w:eastAsia="仿宋_GB2312" w:cs="仿宋_GB2312"/>
          <w:sz w:val="32"/>
          <w:szCs w:val="32"/>
        </w:rPr>
        <w:t>，指标完成率</w:t>
      </w:r>
      <w:r>
        <w:rPr>
          <w:rFonts w:hint="eastAsia" w:ascii="仿宋_GB2312" w:hAnsi="仿宋_GB2312" w:eastAsia="仿宋_GB2312" w:cs="仿宋_GB2312"/>
          <w:sz w:val="32"/>
          <w:szCs w:val="32"/>
          <w:lang w:val="en-US" w:eastAsia="zh-CN"/>
        </w:rPr>
        <w:t>100%。</w:t>
      </w:r>
    </w:p>
    <w:p>
      <w:pPr>
        <w:pStyle w:val="18"/>
        <w:pageBreakBefore w:val="0"/>
        <w:numPr>
          <w:ilvl w:val="0"/>
          <w:numId w:val="5"/>
        </w:numPr>
        <w:kinsoku/>
        <w:wordWrap/>
        <w:overflowPunct/>
        <w:topLinePunct w:val="0"/>
        <w:autoSpaceDE/>
        <w:autoSpaceDN/>
        <w:bidi w:val="0"/>
        <w:adjustRightInd/>
        <w:snapToGrid/>
        <w:spacing w:after="0" w:line="560" w:lineRule="atLeast"/>
        <w:ind w:firstLine="321" w:firstLineChars="1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效益情况</w:t>
      </w:r>
    </w:p>
    <w:p>
      <w:pPr>
        <w:pageBreakBefore w:val="0"/>
        <w:kinsoku/>
        <w:wordWrap/>
        <w:overflowPunct/>
        <w:topLinePunct w:val="0"/>
        <w:autoSpaceDE/>
        <w:autoSpaceDN/>
        <w:bidi w:val="0"/>
        <w:adjustRightInd/>
        <w:snapToGrid/>
        <w:spacing w:line="560" w:lineRule="atLeast"/>
        <w:ind w:firstLine="640"/>
        <w:textAlignment w:val="auto"/>
        <w:rPr>
          <w:rStyle w:val="51"/>
          <w:rFonts w:hint="default" w:eastAsia="仿宋_GB2312"/>
          <w:color w:val="auto"/>
          <w:lang w:val="en-US" w:eastAsia="zh-CN"/>
        </w:rPr>
      </w:pPr>
      <w:r>
        <w:rPr>
          <w:rStyle w:val="51"/>
          <w:rFonts w:hint="eastAsia"/>
          <w:color w:val="auto"/>
        </w:rPr>
        <w:t>经济效益指标方面：</w:t>
      </w:r>
      <w:r>
        <w:rPr>
          <w:rStyle w:val="51"/>
          <w:rFonts w:hint="eastAsia" w:eastAsia="仿宋_GB2312"/>
          <w:color w:val="auto"/>
          <w:lang w:val="en-US" w:eastAsia="zh-CN"/>
        </w:rPr>
        <w:t>离休干部生活情况，</w:t>
      </w:r>
      <w:r>
        <w:rPr>
          <w:rFonts w:hint="eastAsia" w:ascii="仿宋_GB2312" w:hAnsi="仿宋_GB2312" w:eastAsia="仿宋_GB2312" w:cs="仿宋_GB2312"/>
          <w:sz w:val="32"/>
          <w:szCs w:val="32"/>
          <w:lang w:val="en-US" w:eastAsia="zh-CN"/>
        </w:rPr>
        <w:t>预期指标值</w:t>
      </w:r>
      <w:r>
        <w:rPr>
          <w:rFonts w:hint="eastAsia" w:ascii="仿宋" w:hAnsi="仿宋" w:eastAsia="仿宋" w:cs="仿宋"/>
          <w:sz w:val="32"/>
          <w:szCs w:val="32"/>
        </w:rPr>
        <w:t>不断提高</w:t>
      </w:r>
      <w:r>
        <w:rPr>
          <w:rFonts w:hint="eastAsia" w:ascii="仿宋_GB2312" w:hAnsi="仿宋_GB2312" w:eastAsia="仿宋_GB2312" w:cs="仿宋_GB2312"/>
          <w:sz w:val="32"/>
          <w:szCs w:val="32"/>
          <w:lang w:val="en-US" w:eastAsia="zh-CN"/>
        </w:rPr>
        <w:t>，指标完成</w:t>
      </w:r>
      <w:r>
        <w:rPr>
          <w:rFonts w:hint="eastAsia" w:ascii="仿宋" w:hAnsi="仿宋" w:eastAsia="仿宋" w:cs="仿宋"/>
          <w:sz w:val="32"/>
          <w:szCs w:val="32"/>
        </w:rPr>
        <w:t>明显提高</w:t>
      </w:r>
      <w:r>
        <w:rPr>
          <w:rFonts w:hint="eastAsia" w:ascii="仿宋_GB2312" w:hAnsi="仿宋_GB2312" w:eastAsia="仿宋_GB2312" w:cs="仿宋_GB2312"/>
          <w:sz w:val="32"/>
          <w:szCs w:val="32"/>
          <w:lang w:val="en-US" w:eastAsia="zh-CN"/>
        </w:rPr>
        <w:t>，指标完成率100%；</w:t>
      </w:r>
    </w:p>
    <w:p>
      <w:pPr>
        <w:pageBreakBefore w:val="0"/>
        <w:kinsoku/>
        <w:wordWrap/>
        <w:overflowPunct/>
        <w:topLinePunct w:val="0"/>
        <w:autoSpaceDE/>
        <w:autoSpaceDN/>
        <w:bidi w:val="0"/>
        <w:adjustRightInd/>
        <w:snapToGrid/>
        <w:spacing w:line="560" w:lineRule="atLeast"/>
        <w:ind w:firstLine="640"/>
        <w:textAlignment w:val="auto"/>
        <w:rPr>
          <w:rFonts w:hint="eastAsia" w:ascii="仿宋_GB2312" w:hAnsi="仿宋_GB2312" w:eastAsia="仿宋_GB2312" w:cs="仿宋_GB2312"/>
          <w:sz w:val="32"/>
          <w:szCs w:val="32"/>
          <w:lang w:val="en-US" w:eastAsia="zh-CN"/>
        </w:rPr>
      </w:pPr>
      <w:r>
        <w:rPr>
          <w:rStyle w:val="51"/>
          <w:rFonts w:hint="eastAsia"/>
          <w:color w:val="auto"/>
        </w:rPr>
        <w:t>社会效益指标方面：</w:t>
      </w:r>
      <w:r>
        <w:rPr>
          <w:rStyle w:val="51"/>
          <w:rFonts w:hint="eastAsia" w:eastAsia="仿宋_GB2312"/>
          <w:color w:val="auto"/>
          <w:lang w:val="en-US" w:eastAsia="zh-CN"/>
        </w:rPr>
        <w:t>离休人员生活水平，</w:t>
      </w:r>
      <w:r>
        <w:rPr>
          <w:rFonts w:hint="eastAsia" w:ascii="仿宋_GB2312" w:hAnsi="仿宋_GB2312" w:eastAsia="仿宋_GB2312" w:cs="仿宋_GB2312"/>
          <w:sz w:val="32"/>
          <w:szCs w:val="32"/>
          <w:lang w:val="en-US" w:eastAsia="zh-CN"/>
        </w:rPr>
        <w:t>预期指标值</w:t>
      </w:r>
      <w:r>
        <w:rPr>
          <w:rFonts w:hint="eastAsia" w:ascii="仿宋" w:hAnsi="仿宋" w:eastAsia="仿宋" w:cs="仿宋"/>
          <w:sz w:val="32"/>
          <w:szCs w:val="32"/>
        </w:rPr>
        <w:t>显著提高</w:t>
      </w:r>
      <w:r>
        <w:rPr>
          <w:rFonts w:hint="eastAsia" w:ascii="仿宋_GB2312" w:hAnsi="仿宋_GB2312" w:eastAsia="仿宋_GB2312" w:cs="仿宋_GB2312"/>
          <w:sz w:val="32"/>
          <w:szCs w:val="32"/>
          <w:lang w:val="en-US" w:eastAsia="zh-CN"/>
        </w:rPr>
        <w:t>，指标完成</w:t>
      </w:r>
      <w:r>
        <w:rPr>
          <w:rFonts w:hint="eastAsia" w:ascii="仿宋" w:hAnsi="仿宋" w:eastAsia="仿宋" w:cs="仿宋"/>
          <w:sz w:val="32"/>
          <w:szCs w:val="32"/>
        </w:rPr>
        <w:t>显著提高</w:t>
      </w:r>
      <w:r>
        <w:rPr>
          <w:rFonts w:hint="eastAsia" w:ascii="仿宋_GB2312" w:hAnsi="仿宋_GB2312" w:eastAsia="仿宋_GB2312" w:cs="仿宋_GB2312"/>
          <w:sz w:val="32"/>
          <w:szCs w:val="32"/>
          <w:lang w:val="en-US" w:eastAsia="zh-CN"/>
        </w:rPr>
        <w:t>，指标完成率100%；</w:t>
      </w:r>
    </w:p>
    <w:p>
      <w:pPr>
        <w:pageBreakBefore w:val="0"/>
        <w:kinsoku/>
        <w:wordWrap/>
        <w:overflowPunct/>
        <w:topLinePunct w:val="0"/>
        <w:autoSpaceDE/>
        <w:autoSpaceDN/>
        <w:bidi w:val="0"/>
        <w:adjustRightInd/>
        <w:snapToGrid/>
        <w:spacing w:line="560" w:lineRule="atLeast"/>
        <w:ind w:firstLine="640"/>
        <w:textAlignment w:val="auto"/>
        <w:rPr>
          <w:rStyle w:val="51"/>
          <w:rFonts w:hint="default"/>
          <w:color w:val="auto"/>
          <w:lang w:val="en-US" w:eastAsia="zh-CN"/>
        </w:rPr>
      </w:pPr>
      <w:r>
        <w:rPr>
          <w:rStyle w:val="51"/>
          <w:rFonts w:hint="eastAsia"/>
          <w:color w:val="auto"/>
          <w:lang w:val="en-US" w:eastAsia="zh-CN"/>
        </w:rPr>
        <w:t>离休干部生活质量，预期指标值</w:t>
      </w:r>
      <w:r>
        <w:rPr>
          <w:rStyle w:val="51"/>
          <w:rFonts w:hint="eastAsia" w:eastAsia="仿宋_GB2312"/>
          <w:color w:val="auto"/>
          <w:lang w:eastAsia="zh-CN"/>
        </w:rPr>
        <w:t>不断改善</w:t>
      </w:r>
      <w:r>
        <w:rPr>
          <w:rStyle w:val="51"/>
          <w:rFonts w:hint="eastAsia"/>
          <w:color w:val="auto"/>
          <w:lang w:val="en-US" w:eastAsia="zh-CN"/>
        </w:rPr>
        <w:t>，指标完成</w:t>
      </w:r>
      <w:r>
        <w:rPr>
          <w:rStyle w:val="51"/>
          <w:rFonts w:hint="eastAsia" w:eastAsia="仿宋_GB2312"/>
          <w:color w:val="auto"/>
          <w:lang w:eastAsia="zh-CN"/>
        </w:rPr>
        <w:t>不断改善</w:t>
      </w:r>
      <w:r>
        <w:rPr>
          <w:rStyle w:val="51"/>
          <w:rFonts w:hint="eastAsia"/>
          <w:color w:val="auto"/>
          <w:lang w:val="en-US" w:eastAsia="zh-CN"/>
        </w:rPr>
        <w:t>，指标完成率100%；</w:t>
      </w:r>
    </w:p>
    <w:p>
      <w:pPr>
        <w:pageBreakBefore w:val="0"/>
        <w:kinsoku/>
        <w:wordWrap/>
        <w:overflowPunct/>
        <w:topLinePunct w:val="0"/>
        <w:autoSpaceDE/>
        <w:autoSpaceDN/>
        <w:bidi w:val="0"/>
        <w:adjustRightInd/>
        <w:snapToGrid/>
        <w:spacing w:line="560" w:lineRule="atLeast"/>
        <w:ind w:firstLine="640"/>
        <w:textAlignment w:val="auto"/>
        <w:rPr>
          <w:rStyle w:val="51"/>
          <w:rFonts w:hint="default"/>
          <w:color w:val="auto"/>
          <w:lang w:val="en-US" w:eastAsia="zh-CN"/>
        </w:rPr>
      </w:pPr>
      <w:r>
        <w:rPr>
          <w:rStyle w:val="51"/>
          <w:rFonts w:hint="eastAsia"/>
          <w:color w:val="auto"/>
        </w:rPr>
        <w:t>可持续影响指标方面：</w:t>
      </w:r>
      <w:r>
        <w:rPr>
          <w:rStyle w:val="51"/>
          <w:rFonts w:hint="eastAsia"/>
          <w:color w:val="auto"/>
          <w:lang w:val="en-US" w:eastAsia="zh-CN"/>
        </w:rPr>
        <w:t>离休干部因病致贫人数，预期指标值</w:t>
      </w:r>
      <w:r>
        <w:rPr>
          <w:rStyle w:val="51"/>
          <w:rFonts w:hint="eastAsia"/>
          <w:color w:val="auto"/>
        </w:rPr>
        <w:t>=0人</w:t>
      </w:r>
      <w:r>
        <w:rPr>
          <w:rStyle w:val="51"/>
          <w:rFonts w:hint="eastAsia"/>
          <w:color w:val="auto"/>
          <w:lang w:val="en-US" w:eastAsia="zh-CN"/>
        </w:rPr>
        <w:t>，指标完成</w:t>
      </w:r>
      <w:r>
        <w:rPr>
          <w:rStyle w:val="51"/>
          <w:rFonts w:hint="eastAsia"/>
          <w:color w:val="auto"/>
        </w:rPr>
        <w:t>0人</w:t>
      </w:r>
      <w:r>
        <w:rPr>
          <w:rStyle w:val="51"/>
          <w:rFonts w:hint="eastAsia"/>
          <w:color w:val="auto"/>
          <w:lang w:val="en-US" w:eastAsia="zh-CN"/>
        </w:rPr>
        <w:t>，指标完成率100%；</w:t>
      </w:r>
    </w:p>
    <w:p>
      <w:pPr>
        <w:pageBreakBefore w:val="0"/>
        <w:kinsoku/>
        <w:wordWrap/>
        <w:overflowPunct/>
        <w:topLinePunct w:val="0"/>
        <w:autoSpaceDE/>
        <w:autoSpaceDN/>
        <w:bidi w:val="0"/>
        <w:adjustRightInd/>
        <w:snapToGrid/>
        <w:spacing w:line="560" w:lineRule="atLeast"/>
        <w:ind w:firstLine="640" w:firstLineChars="200"/>
        <w:textAlignment w:val="auto"/>
        <w:rPr>
          <w:rFonts w:hint="default" w:ascii="仿宋_GB2312" w:hAnsi="仿宋_GB2312" w:eastAsia="仿宋_GB2312" w:cs="仿宋_GB2312"/>
          <w:sz w:val="32"/>
          <w:szCs w:val="32"/>
          <w:lang w:val="en-US" w:eastAsia="zh-CN"/>
        </w:rPr>
      </w:pPr>
      <w:r>
        <w:rPr>
          <w:rStyle w:val="51"/>
          <w:color w:val="auto"/>
        </w:rPr>
        <w:t>满意度指标</w:t>
      </w:r>
      <w:r>
        <w:rPr>
          <w:rStyle w:val="51"/>
          <w:rFonts w:hint="eastAsia"/>
          <w:color w:val="auto"/>
        </w:rPr>
        <w:t>方面：</w:t>
      </w:r>
      <w:r>
        <w:rPr>
          <w:rStyle w:val="51"/>
          <w:rFonts w:hint="eastAsia" w:eastAsia="仿宋_GB2312"/>
          <w:color w:val="auto"/>
          <w:lang w:val="en-US" w:eastAsia="zh-CN"/>
        </w:rPr>
        <w:t>离休人员满意度，</w:t>
      </w:r>
      <w:r>
        <w:rPr>
          <w:rFonts w:hint="eastAsia" w:ascii="仿宋_GB2312" w:hAnsi="仿宋_GB2312" w:eastAsia="仿宋_GB2312" w:cs="仿宋_GB2312"/>
          <w:sz w:val="32"/>
          <w:szCs w:val="32"/>
          <w:lang w:val="en-US" w:eastAsia="zh-CN"/>
        </w:rPr>
        <w:t>预期指标值=</w:t>
      </w:r>
      <w:r>
        <w:rPr>
          <w:rFonts w:hint="eastAsia" w:ascii="仿宋" w:hAnsi="仿宋" w:eastAsia="仿宋" w:cs="仿宋"/>
          <w:sz w:val="32"/>
          <w:szCs w:val="32"/>
          <w:lang w:val="en-US" w:eastAsia="zh-CN"/>
        </w:rPr>
        <w:t>10</w:t>
      </w:r>
      <w:r>
        <w:rPr>
          <w:rFonts w:hint="eastAsia" w:ascii="仿宋_GB2312" w:hAnsi="仿宋_GB2312" w:eastAsia="仿宋_GB2312" w:cs="仿宋_GB2312"/>
          <w:sz w:val="32"/>
          <w:szCs w:val="32"/>
          <w:lang w:val="en-US" w:eastAsia="zh-CN"/>
        </w:rPr>
        <w:t>0%，指标完成</w:t>
      </w:r>
      <w:r>
        <w:rPr>
          <w:rFonts w:hint="eastAsia" w:ascii="仿宋" w:hAnsi="仿宋" w:eastAsia="仿宋" w:cs="仿宋"/>
          <w:sz w:val="32"/>
          <w:szCs w:val="32"/>
          <w:lang w:val="en-US" w:eastAsia="zh-CN"/>
        </w:rPr>
        <w:t>10</w:t>
      </w:r>
      <w:r>
        <w:rPr>
          <w:rFonts w:hint="eastAsia" w:ascii="仿宋_GB2312" w:hAnsi="仿宋_GB2312" w:eastAsia="仿宋_GB2312" w:cs="仿宋_GB2312"/>
          <w:sz w:val="32"/>
          <w:szCs w:val="32"/>
          <w:lang w:val="en-US" w:eastAsia="zh-CN"/>
        </w:rPr>
        <w:t>0%，指标完成率100%；</w:t>
      </w:r>
    </w:p>
    <w:p>
      <w:pPr>
        <w:pageBreakBefore w:val="0"/>
        <w:kinsoku/>
        <w:wordWrap/>
        <w:overflowPunct/>
        <w:topLinePunct w:val="0"/>
        <w:autoSpaceDE/>
        <w:autoSpaceDN/>
        <w:bidi w:val="0"/>
        <w:adjustRightInd/>
        <w:snapToGrid/>
        <w:spacing w:line="560" w:lineRule="atLeast"/>
        <w:ind w:firstLine="641"/>
        <w:textAlignment w:val="auto"/>
        <w:rPr>
          <w:rStyle w:val="51"/>
          <w:color w:val="auto"/>
        </w:rPr>
      </w:pPr>
      <w:r>
        <w:rPr>
          <w:rFonts w:hint="eastAsia" w:ascii="黑体" w:hAnsi="黑体" w:eastAsia="黑体"/>
          <w:sz w:val="32"/>
          <w:szCs w:val="32"/>
        </w:rPr>
        <w:t>五、主要经验及做法、存在的问题及原因分析</w:t>
      </w:r>
    </w:p>
    <w:p>
      <w:pPr>
        <w:pageBreakBefore w:val="0"/>
        <w:kinsoku/>
        <w:wordWrap/>
        <w:overflowPunct/>
        <w:topLinePunct w:val="0"/>
        <w:autoSpaceDE/>
        <w:autoSpaceDN/>
        <w:bidi w:val="0"/>
        <w:adjustRightInd/>
        <w:snapToGrid/>
        <w:spacing w:line="560" w:lineRule="atLeast"/>
        <w:ind w:firstLine="567" w:firstLineChars="181"/>
        <w:textAlignment w:val="auto"/>
        <w:rPr>
          <w:rFonts w:ascii="楷体" w:hAnsi="楷体" w:eastAsia="楷体"/>
          <w:b/>
          <w:spacing w:val="-4"/>
          <w:sz w:val="32"/>
          <w:szCs w:val="32"/>
        </w:rPr>
      </w:pPr>
      <w:r>
        <w:rPr>
          <w:rFonts w:hint="eastAsia" w:ascii="楷体" w:hAnsi="楷体" w:eastAsia="楷体"/>
          <w:b/>
          <w:spacing w:val="-4"/>
          <w:sz w:val="32"/>
          <w:szCs w:val="32"/>
        </w:rPr>
        <w:t>（一）主要经验及做法</w:t>
      </w:r>
    </w:p>
    <w:p>
      <w:pPr>
        <w:pageBreakBefore w:val="0"/>
        <w:kinsoku/>
        <w:wordWrap/>
        <w:overflowPunct/>
        <w:topLinePunct w:val="0"/>
        <w:autoSpaceDE/>
        <w:autoSpaceDN/>
        <w:bidi w:val="0"/>
        <w:adjustRightInd/>
        <w:snapToGrid/>
        <w:spacing w:line="560" w:lineRule="atLeast"/>
        <w:ind w:firstLine="640" w:firstLineChars="20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pageBreakBefore w:val="0"/>
        <w:kinsoku/>
        <w:wordWrap/>
        <w:overflowPunct/>
        <w:topLinePunct w:val="0"/>
        <w:autoSpaceDE/>
        <w:autoSpaceDN/>
        <w:bidi w:val="0"/>
        <w:adjustRightInd/>
        <w:snapToGrid/>
        <w:spacing w:before="0" w:after="0" w:line="560" w:lineRule="atLeast"/>
        <w:ind w:firstLine="640" w:firstLineChars="200"/>
        <w:textAlignment w:val="auto"/>
        <w:rPr>
          <w:rFonts w:ascii="仿宋_GB2312" w:hAnsi="仿宋_GB2312" w:eastAsia="仿宋_GB2312" w:cs="仿宋_GB2312"/>
          <w:b w:val="0"/>
          <w:bCs w:val="0"/>
          <w:kern w:val="2"/>
        </w:rPr>
      </w:pPr>
      <w:r>
        <w:rPr>
          <w:rFonts w:hint="eastAsia" w:ascii="仿宋_GB2312" w:hAnsi="仿宋_GB2312" w:eastAsia="仿宋_GB2312" w:cs="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pageBreakBefore w:val="0"/>
        <w:numPr>
          <w:ilvl w:val="0"/>
          <w:numId w:val="6"/>
        </w:numPr>
        <w:kinsoku/>
        <w:wordWrap/>
        <w:overflowPunct/>
        <w:topLinePunct w:val="0"/>
        <w:autoSpaceDE/>
        <w:autoSpaceDN/>
        <w:bidi w:val="0"/>
        <w:adjustRightInd/>
        <w:snapToGrid/>
        <w:spacing w:line="560" w:lineRule="atLeast"/>
        <w:ind w:firstLine="641"/>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存在的问题及原因分析</w:t>
      </w:r>
    </w:p>
    <w:p>
      <w:pPr>
        <w:pStyle w:val="2"/>
        <w:pageBreakBefore w:val="0"/>
        <w:numPr>
          <w:ilvl w:val="0"/>
          <w:numId w:val="7"/>
        </w:numPr>
        <w:kinsoku/>
        <w:wordWrap/>
        <w:overflowPunct/>
        <w:topLinePunct w:val="0"/>
        <w:autoSpaceDE/>
        <w:autoSpaceDN/>
        <w:bidi w:val="0"/>
        <w:adjustRightInd/>
        <w:snapToGrid/>
        <w:spacing w:before="0" w:after="0" w:line="560" w:lineRule="atLeast"/>
        <w:ind w:firstLine="643" w:firstLineChars="200"/>
        <w:jc w:val="both"/>
        <w:textAlignment w:val="auto"/>
        <w:rPr>
          <w:rFonts w:hint="eastAsia" w:ascii="仿宋_GB2312" w:hAnsi="仿宋_GB2312" w:eastAsia="仿宋_GB2312" w:cs="仿宋_GB2312"/>
          <w:b/>
          <w:bCs/>
          <w:kern w:val="2"/>
        </w:rPr>
      </w:pPr>
      <w:r>
        <w:rPr>
          <w:rFonts w:hint="eastAsia" w:ascii="仿宋_GB2312" w:hAnsi="仿宋_GB2312" w:eastAsia="仿宋_GB2312" w:cs="仿宋_GB2312"/>
          <w:b/>
          <w:bCs/>
          <w:kern w:val="2"/>
        </w:rPr>
        <w:t>存在的问题</w:t>
      </w:r>
    </w:p>
    <w:p>
      <w:pPr>
        <w:pStyle w:val="52"/>
        <w:pageBreakBefore w:val="0"/>
        <w:kinsoku/>
        <w:wordWrap/>
        <w:overflowPunct/>
        <w:topLinePunct w:val="0"/>
        <w:autoSpaceDE/>
        <w:autoSpaceDN/>
        <w:bidi w:val="0"/>
        <w:adjustRightInd/>
        <w:snapToGrid/>
        <w:spacing w:line="560" w:lineRule="atLeast"/>
        <w:ind w:firstLine="560"/>
        <w:textAlignment w:val="auto"/>
        <w:rPr>
          <w:rFonts w:hint="eastAsia"/>
        </w:rPr>
      </w:pPr>
      <w:r>
        <w:rPr>
          <w:rFonts w:hint="eastAsia" w:ascii="仿宋_GB2312" w:hAnsi="仿宋_GB2312" w:eastAsia="仿宋_GB2312" w:cs="仿宋_GB2312"/>
          <w:b w:val="0"/>
          <w:bCs w:val="0"/>
          <w:kern w:val="2"/>
          <w:sz w:val="32"/>
          <w:szCs w:val="32"/>
          <w:lang w:val="en-US" w:eastAsia="zh-CN" w:bidi="ar-SA"/>
        </w:rPr>
        <w:t>根据《关于印发〈地区本级离休人员医药费管理实施细则</w:t>
      </w:r>
      <w:r>
        <w:rPr>
          <w:rFonts w:hint="eastAsia" w:ascii="仿宋_GB2312" w:hAnsi="仿宋_GB2312" w:eastAsia="仿宋_GB2312" w:cs="仿宋_GB2312"/>
          <w:b w:val="0"/>
          <w:bCs w:val="0"/>
          <w:kern w:val="0"/>
          <w:sz w:val="32"/>
          <w:szCs w:val="32"/>
          <w:lang w:val="en-US" w:eastAsia="zh-CN" w:bidi="ar-SA"/>
        </w:rPr>
        <w:t>相关</w:t>
      </w:r>
      <w:r>
        <w:rPr>
          <w:rFonts w:hint="eastAsia" w:ascii="仿宋_GB2312" w:hAnsi="仿宋_GB2312" w:eastAsia="仿宋_GB2312" w:cs="仿宋_GB2312"/>
          <w:b w:val="0"/>
          <w:bCs w:val="0"/>
          <w:kern w:val="2"/>
          <w:sz w:val="32"/>
          <w:szCs w:val="32"/>
          <w:lang w:val="en-US" w:eastAsia="zh-CN" w:bidi="ar-SA"/>
        </w:rPr>
        <w:t>文件精神，离休人员的定点医疗机构是地区人民医院、地区民族中医院、地区妇幼保健院，我中心负责离休人员医疗费用的审核工作。离休干部多次向我中心提出需要在塔城市人民医院住院及门诊购药，离家近交通方便便于出行。在经办过程中已经有离休人员拿着塔城市人民医院的票据进行报销，经过与地区财政局沟通解释，老人需要到地区财政局社保科盖章后才能到我中心登记报销。根据《关于坚持传统服务方式与智能化服务创新并行进一步做好医疗保障服务工作的通知》</w:t>
      </w:r>
      <w:r>
        <w:rPr>
          <w:rFonts w:hint="eastAsia" w:ascii="仿宋_GB2312" w:hAnsi="仿宋_GB2312" w:eastAsia="仿宋_GB2312" w:cs="仿宋_GB2312"/>
          <w:b w:val="0"/>
          <w:bCs w:val="0"/>
          <w:kern w:val="0"/>
          <w:sz w:val="32"/>
          <w:szCs w:val="32"/>
          <w:lang w:val="en-US" w:eastAsia="zh-CN" w:bidi="ar-SA"/>
        </w:rPr>
        <w:t>相关</w:t>
      </w:r>
      <w:r>
        <w:rPr>
          <w:rFonts w:hint="eastAsia" w:ascii="仿宋_GB2312" w:hAnsi="仿宋_GB2312" w:eastAsia="仿宋_GB2312" w:cs="仿宋_GB2312"/>
          <w:b w:val="0"/>
          <w:bCs w:val="0"/>
          <w:kern w:val="2"/>
          <w:sz w:val="32"/>
          <w:szCs w:val="32"/>
          <w:lang w:val="en-US" w:eastAsia="zh-CN" w:bidi="ar-SA"/>
        </w:rPr>
        <w:t>文件精神，主动解决老年人群体办事难的问题，现我中心将离休人员提出的现实问题向贵局进行反馈，将塔城市人民医院纳入离休人员的定点医疗机构，方便老人就医。</w:t>
      </w:r>
    </w:p>
    <w:p>
      <w:pPr>
        <w:pageBreakBefore w:val="0"/>
        <w:numPr>
          <w:ilvl w:val="0"/>
          <w:numId w:val="0"/>
        </w:numPr>
        <w:kinsoku/>
        <w:wordWrap/>
        <w:overflowPunct/>
        <w:topLinePunct w:val="0"/>
        <w:autoSpaceDE/>
        <w:autoSpaceDN/>
        <w:bidi w:val="0"/>
        <w:adjustRightInd/>
        <w:snapToGrid/>
        <w:spacing w:line="560" w:lineRule="atLeast"/>
        <w:textAlignment w:val="auto"/>
      </w:pPr>
    </w:p>
    <w:p>
      <w:pPr>
        <w:pageBreakBefore w:val="0"/>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2、原因分析</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有关建议</w:t>
      </w:r>
    </w:p>
    <w:p>
      <w:pPr>
        <w:pageBreakBefore w:val="0"/>
        <w:numPr>
          <w:ilvl w:val="0"/>
          <w:numId w:val="9"/>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加大项目绩效管理培训力度，贯彻落实相关办法及制度。采取集中学习、讲座、专题会议等方式，加大对参与绩效管理工作的人员培训力度，进一步统一认识，充实业务知识。以提高工作人员素质，以达到预算绩效管理标准化、常态化的要求，最终实现提高绩效管理工作效率及质量的目标。 </w:t>
      </w:r>
    </w:p>
    <w:p>
      <w:pPr>
        <w:pageBreakBefore w:val="0"/>
        <w:numPr>
          <w:ilvl w:val="0"/>
          <w:numId w:val="9"/>
        </w:numPr>
        <w:kinsoku/>
        <w:wordWrap/>
        <w:overflowPunct/>
        <w:topLinePunct w:val="0"/>
        <w:autoSpaceDE/>
        <w:autoSpaceDN/>
        <w:bidi w:val="0"/>
        <w:adjustRightInd/>
        <w:snapToGrid/>
        <w:spacing w:line="560" w:lineRule="atLeast"/>
        <w:ind w:firstLine="641"/>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财政和项目实施单位严格实行“三专”管理，即设专户、建专帐、定专人。同时，资金拨付除坚持按项目计划、工程进度和质量分阶段验收拨款外，还坚持部门联审制，项目单位先做事、后</w:t>
      </w:r>
      <w:r>
        <w:rPr>
          <w:rFonts w:hint="eastAsia" w:ascii="仿宋_GB2312" w:hAnsi="仿宋_GB2312" w:eastAsia="仿宋_GB2312" w:cs="仿宋_GB2312"/>
          <w:sz w:val="32"/>
          <w:szCs w:val="32"/>
          <w:lang w:eastAsia="zh-CN"/>
        </w:rPr>
        <w:t>报账</w:t>
      </w:r>
      <w:r>
        <w:rPr>
          <w:rFonts w:hint="eastAsia" w:ascii="仿宋_GB2312" w:hAnsi="仿宋_GB2312" w:eastAsia="仿宋_GB2312" w:cs="仿宋_GB2312"/>
          <w:sz w:val="32"/>
          <w:szCs w:val="32"/>
        </w:rPr>
        <w:t>，从而确保专项资金专款专用，有效地防止了截留、挤占和挪用。</w:t>
      </w:r>
    </w:p>
    <w:p>
      <w:pPr>
        <w:pageBreakBefore w:val="0"/>
        <w:numPr>
          <w:ilvl w:val="0"/>
          <w:numId w:val="8"/>
        </w:numPr>
        <w:kinsoku/>
        <w:wordWrap/>
        <w:overflowPunct/>
        <w:topLinePunct w:val="0"/>
        <w:autoSpaceDE/>
        <w:autoSpaceDN/>
        <w:bidi w:val="0"/>
        <w:adjustRightInd/>
        <w:snapToGrid/>
        <w:spacing w:line="560" w:lineRule="atLeast"/>
        <w:ind w:firstLine="641"/>
        <w:textAlignment w:val="auto"/>
        <w:rPr>
          <w:rFonts w:ascii="黑体" w:hAnsi="黑体" w:eastAsia="黑体"/>
          <w:sz w:val="32"/>
          <w:szCs w:val="32"/>
        </w:rPr>
      </w:pPr>
      <w:r>
        <w:rPr>
          <w:rFonts w:hint="eastAsia" w:ascii="黑体" w:hAnsi="黑体" w:eastAsia="黑体"/>
          <w:sz w:val="32"/>
          <w:szCs w:val="32"/>
        </w:rPr>
        <w:t>其他需要说</w:t>
      </w:r>
      <w:bookmarkStart w:id="1" w:name="page8"/>
      <w:bookmarkEnd w:id="1"/>
      <w:r>
        <w:rPr>
          <w:rFonts w:hint="eastAsia" w:ascii="黑体" w:hAnsi="黑体" w:eastAsia="黑体"/>
          <w:sz w:val="32"/>
          <w:szCs w:val="32"/>
        </w:rPr>
        <w:t>明的问题</w:t>
      </w:r>
    </w:p>
    <w:p>
      <w:pPr>
        <w:pStyle w:val="23"/>
        <w:pageBreakBefore w:val="0"/>
        <w:kinsoku/>
        <w:wordWrap/>
        <w:overflowPunct/>
        <w:topLinePunct w:val="0"/>
        <w:autoSpaceDE/>
        <w:autoSpaceDN/>
        <w:bidi w:val="0"/>
        <w:adjustRightInd/>
        <w:snapToGrid/>
        <w:spacing w:after="0" w:line="560" w:lineRule="atLeast"/>
        <w:jc w:val="left"/>
        <w:textAlignment w:val="auto"/>
        <w:rPr>
          <w:rFonts w:hint="eastAsia" w:eastAsia="黑体"/>
          <w:lang w:val="en-US" w:eastAsia="zh-CN"/>
        </w:rPr>
      </w:pPr>
    </w:p>
    <w:p>
      <w:pPr>
        <w:pStyle w:val="23"/>
        <w:keepNext w:val="0"/>
        <w:keepLines w:val="0"/>
        <w:pageBreakBefore w:val="0"/>
        <w:widowControl/>
        <w:kinsoku/>
        <w:wordWrap/>
        <w:overflowPunct/>
        <w:topLinePunct w:val="0"/>
        <w:autoSpaceDE/>
        <w:autoSpaceDN/>
        <w:bidi w:val="0"/>
        <w:adjustRightInd/>
        <w:snapToGrid/>
        <w:spacing w:after="0" w:line="560" w:lineRule="atLeast"/>
        <w:ind w:firstLine="1280" w:firstLineChars="400"/>
        <w:jc w:val="left"/>
        <w:textAlignment w:val="auto"/>
        <w:rPr>
          <w:rFonts w:hint="default" w:eastAsia="黑体"/>
          <w:sz w:val="32"/>
          <w:szCs w:val="22"/>
          <w:lang w:val="en-US" w:eastAsia="zh-CN"/>
        </w:rPr>
      </w:pPr>
      <w:r>
        <w:rPr>
          <w:rFonts w:hint="eastAsia" w:eastAsia="黑体"/>
          <w:sz w:val="32"/>
          <w:szCs w:val="22"/>
          <w:lang w:val="en-US" w:eastAsia="zh-CN"/>
        </w:rPr>
        <w:t>无</w:t>
      </w:r>
    </w:p>
    <w:p>
      <w:pPr>
        <w:pStyle w:val="2"/>
        <w:rPr>
          <w:rFonts w:hint="eastAsia" w:ascii="黑体" w:hAnsi="黑体" w:eastAsia="黑体"/>
          <w:sz w:val="32"/>
          <w:szCs w:val="32"/>
        </w:rPr>
      </w:pPr>
    </w:p>
    <w:p>
      <w:pPr>
        <w:rPr>
          <w:rFonts w:hint="eastAsia" w:ascii="黑体" w:hAnsi="黑体" w:eastAsia="黑体"/>
          <w:sz w:val="32"/>
          <w:szCs w:val="32"/>
        </w:rPr>
      </w:pPr>
    </w:p>
    <w:p>
      <w:pPr>
        <w:pStyle w:val="2"/>
        <w:rPr>
          <w:rFonts w:hint="eastAsia" w:ascii="黑体" w:hAnsi="黑体" w:eastAsia="黑体"/>
          <w:sz w:val="32"/>
          <w:szCs w:val="32"/>
        </w:rPr>
      </w:pPr>
    </w:p>
    <w:p/>
    <w:p>
      <w:pPr>
        <w:pStyle w:val="2"/>
        <w:rPr>
          <w:rFonts w:hint="eastAsia" w:ascii="黑体" w:hAnsi="黑体" w:eastAsia="黑体"/>
          <w:sz w:val="32"/>
          <w:szCs w:val="32"/>
        </w:rPr>
      </w:pPr>
    </w:p>
    <w:p>
      <w:pPr>
        <w:rPr>
          <w:rFonts w:hint="eastAsia" w:ascii="黑体" w:hAnsi="黑体" w:eastAsia="黑体"/>
          <w:sz w:val="32"/>
          <w:szCs w:val="32"/>
        </w:rPr>
      </w:pPr>
    </w:p>
    <w:p>
      <w:pPr>
        <w:pStyle w:val="2"/>
        <w:jc w:val="both"/>
      </w:pPr>
    </w:p>
    <w:p/>
    <w:p>
      <w:pPr>
        <w:pStyle w:val="23"/>
      </w:pPr>
    </w:p>
    <w:tbl>
      <w:tblPr>
        <w:tblStyle w:val="19"/>
        <w:tblW w:w="8640" w:type="dxa"/>
        <w:tblInd w:w="96" w:type="dxa"/>
        <w:shd w:val="clear" w:color="auto" w:fill="auto"/>
        <w:tblLayout w:type="fixed"/>
        <w:tblCellMar>
          <w:top w:w="0" w:type="dxa"/>
          <w:left w:w="108" w:type="dxa"/>
          <w:bottom w:w="0" w:type="dxa"/>
          <w:right w:w="108" w:type="dxa"/>
        </w:tblCellMar>
      </w:tblPr>
      <w:tblGrid>
        <w:gridCol w:w="663"/>
        <w:gridCol w:w="664"/>
        <w:gridCol w:w="664"/>
        <w:gridCol w:w="367"/>
        <w:gridCol w:w="1260"/>
        <w:gridCol w:w="367"/>
        <w:gridCol w:w="1433"/>
        <w:gridCol w:w="1335"/>
        <w:gridCol w:w="320"/>
        <w:gridCol w:w="1567"/>
      </w:tblGrid>
      <w:tr>
        <w:tblPrEx>
          <w:shd w:val="clear" w:color="auto" w:fill="auto"/>
          <w:tblCellMar>
            <w:top w:w="0" w:type="dxa"/>
            <w:left w:w="108" w:type="dxa"/>
            <w:bottom w:w="0" w:type="dxa"/>
            <w:right w:w="108" w:type="dxa"/>
          </w:tblCellMar>
        </w:tblPrEx>
        <w:trPr>
          <w:trHeight w:val="409" w:hRule="atLeast"/>
        </w:trPr>
        <w:tc>
          <w:tcPr>
            <w:tcW w:w="864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方正小标宋简体" w:hAnsi="方正小标宋简体" w:eastAsia="方正小标宋简体" w:cs="方正小标宋简体"/>
                <w:b/>
                <w:i w:val="0"/>
                <w:color w:val="000000"/>
                <w:kern w:val="0"/>
                <w:sz w:val="44"/>
                <w:szCs w:val="44"/>
                <w:u w:val="none"/>
                <w:lang w:val="en-US" w:eastAsia="zh-CN" w:bidi="ar"/>
              </w:rPr>
              <w:t>项目支出绩效自评表</w:t>
            </w:r>
          </w:p>
        </w:tc>
      </w:tr>
      <w:tr>
        <w:tblPrEx>
          <w:shd w:val="clear" w:color="auto" w:fill="auto"/>
          <w:tblCellMar>
            <w:top w:w="0" w:type="dxa"/>
            <w:left w:w="108" w:type="dxa"/>
            <w:bottom w:w="0" w:type="dxa"/>
            <w:right w:w="108" w:type="dxa"/>
          </w:tblCellMar>
        </w:tblPrEx>
        <w:trPr>
          <w:trHeight w:val="409" w:hRule="atLeast"/>
        </w:trPr>
        <w:tc>
          <w:tcPr>
            <w:tcW w:w="8640" w:type="dxa"/>
            <w:gridSpan w:val="10"/>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32"/>
                <w:szCs w:val="32"/>
                <w:u w:val="none"/>
              </w:rPr>
            </w:pPr>
            <w:r>
              <w:rPr>
                <w:rFonts w:hint="eastAsia" w:ascii="宋体" w:hAnsi="宋体" w:eastAsia="宋体" w:cs="宋体"/>
                <w:i w:val="0"/>
                <w:color w:val="000000"/>
                <w:kern w:val="0"/>
                <w:sz w:val="32"/>
                <w:szCs w:val="32"/>
                <w:u w:val="none"/>
                <w:lang w:val="en-US" w:eastAsia="zh-CN" w:bidi="ar"/>
              </w:rPr>
              <w:t>（   2020 年度）</w:t>
            </w:r>
          </w:p>
        </w:tc>
      </w:tr>
      <w:tr>
        <w:tblPrEx>
          <w:shd w:val="clear" w:color="auto" w:fill="auto"/>
          <w:tblCellMar>
            <w:top w:w="0" w:type="dxa"/>
            <w:left w:w="108" w:type="dxa"/>
            <w:bottom w:w="0" w:type="dxa"/>
            <w:right w:w="108" w:type="dxa"/>
          </w:tblCellMar>
        </w:tblPrEx>
        <w:trPr>
          <w:trHeight w:val="270" w:hRule="atLeast"/>
        </w:trPr>
        <w:tc>
          <w:tcPr>
            <w:tcW w:w="8640" w:type="dxa"/>
            <w:gridSpan w:val="10"/>
            <w:tcBorders>
              <w:top w:val="nil"/>
              <w:left w:val="nil"/>
              <w:bottom w:val="nil"/>
              <w:right w:val="nil"/>
            </w:tcBorders>
            <w:shd w:val="clear" w:color="auto" w:fill="auto"/>
            <w:vAlign w:val="center"/>
          </w:tcPr>
          <w:p>
            <w:pPr>
              <w:jc w:val="center"/>
              <w:rPr>
                <w:rFonts w:hint="eastAsia" w:ascii="宋体" w:hAnsi="宋体" w:eastAsia="宋体" w:cs="宋体"/>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70" w:hRule="atLeast"/>
        </w:trPr>
        <w:tc>
          <w:tcPr>
            <w:tcW w:w="1327"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731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行政单位离休人员医药费项目</w:t>
            </w:r>
          </w:p>
        </w:tc>
      </w:tr>
      <w:tr>
        <w:tblPrEx>
          <w:shd w:val="clear" w:color="auto" w:fill="auto"/>
          <w:tblCellMar>
            <w:top w:w="0" w:type="dxa"/>
            <w:left w:w="108" w:type="dxa"/>
            <w:bottom w:w="0" w:type="dxa"/>
            <w:right w:w="108" w:type="dxa"/>
          </w:tblCellMar>
        </w:tblPrEx>
        <w:trPr>
          <w:trHeight w:val="270" w:hRule="atLeast"/>
        </w:trPr>
        <w:tc>
          <w:tcPr>
            <w:tcW w:w="1327" w:type="dxa"/>
            <w:gridSpan w:val="2"/>
            <w:tcBorders>
              <w:top w:val="single" w:color="000000" w:sz="4" w:space="0"/>
              <w:left w:val="single" w:color="000000"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4091" w:type="dxa"/>
            <w:gridSpan w:val="5"/>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3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1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塔城地区医疗保障局</w:t>
            </w:r>
          </w:p>
        </w:tc>
      </w:tr>
      <w:tr>
        <w:tblPrEx>
          <w:shd w:val="clear" w:color="auto" w:fill="auto"/>
          <w:tblCellMar>
            <w:top w:w="0" w:type="dxa"/>
            <w:left w:w="108" w:type="dxa"/>
            <w:bottom w:w="0" w:type="dxa"/>
            <w:right w:w="108" w:type="dxa"/>
          </w:tblCellMar>
        </w:tblPrEx>
        <w:trPr>
          <w:trHeight w:val="392" w:hRule="atLeast"/>
        </w:trPr>
        <w:tc>
          <w:tcPr>
            <w:tcW w:w="132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w:t>
            </w:r>
          </w:p>
        </w:tc>
        <w:tc>
          <w:tcPr>
            <w:tcW w:w="664" w:type="dxa"/>
            <w:tcBorders>
              <w:top w:val="single" w:color="auto" w:sz="4" w:space="0"/>
              <w:left w:val="single" w:color="auto" w:sz="4" w:space="0"/>
              <w:bottom w:val="single" w:color="auto" w:sz="4" w:space="0"/>
              <w:right w:val="nil"/>
            </w:tcBorders>
            <w:shd w:val="clear" w:color="auto" w:fill="auto"/>
            <w:noWrap/>
            <w:vAlign w:val="bottom"/>
          </w:tcPr>
          <w:p>
            <w:pPr>
              <w:rPr>
                <w:rFonts w:hint="eastAsia" w:ascii="Arial" w:hAnsi="Arial" w:cs="Arial"/>
                <w:i w:val="0"/>
                <w:iCs w:val="0"/>
                <w:color w:val="000000"/>
                <w:sz w:val="20"/>
                <w:szCs w:val="20"/>
                <w:u w:val="none"/>
              </w:rPr>
            </w:pPr>
          </w:p>
        </w:tc>
        <w:tc>
          <w:tcPr>
            <w:tcW w:w="367" w:type="dxa"/>
            <w:tcBorders>
              <w:top w:val="single" w:color="auto" w:sz="4" w:space="0"/>
              <w:left w:val="nil"/>
              <w:bottom w:val="single" w:color="auto" w:sz="4" w:space="0"/>
              <w:right w:val="single" w:color="auto" w:sz="4" w:space="0"/>
            </w:tcBorders>
            <w:shd w:val="clear" w:color="auto" w:fill="auto"/>
            <w:noWrap/>
            <w:vAlign w:val="bottom"/>
          </w:tcPr>
          <w:p>
            <w:pPr>
              <w:rPr>
                <w:rFonts w:hint="default" w:ascii="Arial" w:hAnsi="Arial" w:cs="Arial"/>
                <w:i w:val="0"/>
                <w:iCs w:val="0"/>
                <w:color w:val="000000"/>
                <w:sz w:val="20"/>
                <w:szCs w:val="20"/>
                <w:u w:val="none"/>
              </w:rPr>
            </w:pPr>
          </w:p>
        </w:tc>
        <w:tc>
          <w:tcPr>
            <w:tcW w:w="1260" w:type="dxa"/>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年初预算数</w:t>
            </w:r>
          </w:p>
        </w:tc>
        <w:tc>
          <w:tcPr>
            <w:tcW w:w="18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1335" w:type="dxa"/>
            <w:tcBorders>
              <w:top w:val="single" w:color="auto" w:sz="4" w:space="0"/>
              <w:left w:val="single" w:color="auto"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188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r>
      <w:tr>
        <w:tblPrEx>
          <w:shd w:val="clear" w:color="auto" w:fill="auto"/>
          <w:tblCellMar>
            <w:top w:w="0" w:type="dxa"/>
            <w:left w:w="108" w:type="dxa"/>
            <w:bottom w:w="0" w:type="dxa"/>
            <w:right w:w="108" w:type="dxa"/>
          </w:tblCellMar>
        </w:tblPrEx>
        <w:trPr>
          <w:trHeight w:val="270" w:hRule="atLeast"/>
        </w:trPr>
        <w:tc>
          <w:tcPr>
            <w:tcW w:w="1327"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（万元）</w:t>
            </w:r>
          </w:p>
        </w:tc>
        <w:tc>
          <w:tcPr>
            <w:tcW w:w="1031"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26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90</w:t>
            </w:r>
          </w:p>
        </w:tc>
        <w:tc>
          <w:tcPr>
            <w:tcW w:w="1800" w:type="dxa"/>
            <w:gridSpan w:val="2"/>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w:t>
            </w:r>
          </w:p>
        </w:tc>
        <w:tc>
          <w:tcPr>
            <w:tcW w:w="13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54.22</w:t>
            </w:r>
          </w:p>
        </w:tc>
        <w:tc>
          <w:tcPr>
            <w:tcW w:w="1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60.24%</w:t>
            </w:r>
          </w:p>
        </w:tc>
      </w:tr>
      <w:tr>
        <w:tblPrEx>
          <w:shd w:val="clear" w:color="auto" w:fill="auto"/>
          <w:tblCellMar>
            <w:top w:w="0" w:type="dxa"/>
            <w:left w:w="108" w:type="dxa"/>
            <w:bottom w:w="0" w:type="dxa"/>
            <w:right w:w="108" w:type="dxa"/>
          </w:tblCellMar>
        </w:tblPrEx>
        <w:trPr>
          <w:trHeight w:val="392" w:hRule="atLeast"/>
        </w:trPr>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90.00</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90.00</w:t>
            </w:r>
          </w:p>
        </w:tc>
        <w:tc>
          <w:tcPr>
            <w:tcW w:w="13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54.22</w:t>
            </w:r>
          </w:p>
        </w:tc>
        <w:tc>
          <w:tcPr>
            <w:tcW w:w="1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pPr>
            <w:r>
              <w:rPr>
                <w:rFonts w:hint="eastAsia" w:ascii="宋体" w:hAnsi="宋体" w:eastAsia="宋体" w:cs="宋体"/>
                <w:i w:val="0"/>
                <w:color w:val="000000"/>
                <w:kern w:val="0"/>
                <w:sz w:val="18"/>
                <w:szCs w:val="18"/>
                <w:u w:val="none"/>
                <w:lang w:val="en-US" w:eastAsia="zh-CN" w:bidi="ar"/>
              </w:rPr>
              <w:t>—</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335"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88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270" w:hRule="atLeast"/>
        </w:trPr>
        <w:tc>
          <w:tcPr>
            <w:tcW w:w="1327"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2"/>
                <w:szCs w:val="22"/>
                <w:u w:val="none"/>
              </w:rPr>
            </w:pPr>
          </w:p>
        </w:tc>
        <w:tc>
          <w:tcPr>
            <w:tcW w:w="1031"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18"/>
                <w:szCs w:val="18"/>
                <w:u w:val="none"/>
                <w:lang w:val="en-US" w:eastAsia="zh-CN" w:bidi="ar"/>
              </w:rPr>
              <w:t>—</w:t>
            </w:r>
          </w:p>
        </w:tc>
        <w:tc>
          <w:tcPr>
            <w:tcW w:w="180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335" w:type="dxa"/>
            <w:tcBorders>
              <w:top w:val="single" w:color="000000" w:sz="4" w:space="0"/>
              <w:left w:val="single" w:color="000000" w:sz="4" w:space="0"/>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1887"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shd w:val="clear" w:color="auto" w:fill="auto"/>
          <w:tblCellMar>
            <w:top w:w="0" w:type="dxa"/>
            <w:left w:w="108" w:type="dxa"/>
            <w:bottom w:w="0" w:type="dxa"/>
            <w:right w:w="108" w:type="dxa"/>
          </w:tblCellMar>
        </w:tblPrEx>
        <w:trPr>
          <w:trHeight w:val="433" w:hRule="atLeast"/>
        </w:trPr>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4755"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32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shd w:val="clear" w:color="auto" w:fill="auto"/>
          <w:tblCellMar>
            <w:top w:w="0" w:type="dxa"/>
            <w:left w:w="108" w:type="dxa"/>
            <w:bottom w:w="0" w:type="dxa"/>
            <w:right w:w="108" w:type="dxa"/>
          </w:tblCellMar>
        </w:tblPrEx>
        <w:trPr>
          <w:trHeight w:val="412"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4755" w:type="dxa"/>
            <w:gridSpan w:val="6"/>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按照支付进度完成2020年财政资金安排的离休人员医药费待遇支付工作</w:t>
            </w:r>
          </w:p>
        </w:tc>
        <w:tc>
          <w:tcPr>
            <w:tcW w:w="322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按照支付进度完成2020年财政资金安排的离休人员医药费待遇支付工作</w:t>
            </w:r>
          </w:p>
        </w:tc>
      </w:tr>
      <w:tr>
        <w:tblPrEx>
          <w:shd w:val="clear" w:color="auto" w:fill="auto"/>
          <w:tblCellMar>
            <w:top w:w="0" w:type="dxa"/>
            <w:left w:w="108" w:type="dxa"/>
            <w:bottom w:w="0" w:type="dxa"/>
            <w:right w:w="108" w:type="dxa"/>
          </w:tblCellMar>
        </w:tblPrEx>
        <w:trPr>
          <w:trHeight w:val="412" w:hRule="atLeast"/>
        </w:trPr>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1994"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433" w:type="dxa"/>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年度指标值</w:t>
            </w:r>
          </w:p>
        </w:tc>
        <w:tc>
          <w:tcPr>
            <w:tcW w:w="165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实际完成值</w:t>
            </w:r>
          </w:p>
        </w:tc>
        <w:tc>
          <w:tcPr>
            <w:tcW w:w="15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shd w:val="clear" w:color="auto" w:fill="auto"/>
          <w:tblCellMar>
            <w:top w:w="0" w:type="dxa"/>
            <w:left w:w="108" w:type="dxa"/>
            <w:bottom w:w="0" w:type="dxa"/>
            <w:right w:w="108" w:type="dxa"/>
          </w:tblCellMar>
        </w:tblPrEx>
        <w:trPr>
          <w:trHeight w:val="270"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4"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433" w:type="dxa"/>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65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5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1165" w:hRule="atLeast"/>
        </w:trPr>
        <w:tc>
          <w:tcPr>
            <w:tcW w:w="66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年度绩效指标完成情况</w:t>
            </w:r>
          </w:p>
        </w:tc>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待遇支付人数</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≤51人</w:t>
            </w:r>
          </w:p>
        </w:tc>
        <w:tc>
          <w:tcPr>
            <w:tcW w:w="1655" w:type="dxa"/>
            <w:gridSpan w:val="2"/>
            <w:tcBorders>
              <w:top w:val="nil"/>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43人</w:t>
            </w:r>
          </w:p>
        </w:tc>
        <w:tc>
          <w:tcPr>
            <w:tcW w:w="1567" w:type="dxa"/>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行政离休人员住院及门诊开药减少，为国家减少资金，厉行节约。</w:t>
            </w:r>
          </w:p>
        </w:tc>
      </w:tr>
      <w:tr>
        <w:tblPrEx>
          <w:shd w:val="clear" w:color="auto" w:fill="auto"/>
          <w:tblCellMar>
            <w:top w:w="0" w:type="dxa"/>
            <w:left w:w="108" w:type="dxa"/>
            <w:bottom w:w="0" w:type="dxa"/>
            <w:right w:w="108" w:type="dxa"/>
          </w:tblCellMar>
        </w:tblPrEx>
        <w:trPr>
          <w:trHeight w:val="840"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开展政策宣传</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≤4次</w:t>
            </w:r>
          </w:p>
        </w:tc>
        <w:tc>
          <w:tcPr>
            <w:tcW w:w="165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4次</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962"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离休医药费报销比率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5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报销办理时间</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≤30日</w:t>
            </w:r>
          </w:p>
        </w:tc>
        <w:tc>
          <w:tcPr>
            <w:tcW w:w="165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30日</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p>
        </w:tc>
      </w:tr>
      <w:tr>
        <w:tblPrEx>
          <w:shd w:val="clear" w:color="auto" w:fill="auto"/>
          <w:tblCellMar>
            <w:top w:w="0" w:type="dxa"/>
            <w:left w:w="108" w:type="dxa"/>
            <w:bottom w:w="0" w:type="dxa"/>
            <w:right w:w="108" w:type="dxa"/>
          </w:tblCellMar>
        </w:tblPrEx>
        <w:trPr>
          <w:trHeight w:val="840"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待遇支付完时间成</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=12月</w:t>
            </w:r>
          </w:p>
        </w:tc>
        <w:tc>
          <w:tcPr>
            <w:tcW w:w="165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12月</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18"/>
                <w:szCs w:val="18"/>
                <w:u w:val="none"/>
              </w:rPr>
            </w:pPr>
            <w:bookmarkStart w:id="2" w:name="_GoBack"/>
            <w:bookmarkEnd w:id="2"/>
          </w:p>
        </w:tc>
      </w:tr>
      <w:tr>
        <w:tblPrEx>
          <w:tblCellMar>
            <w:top w:w="0" w:type="dxa"/>
            <w:left w:w="108" w:type="dxa"/>
            <w:bottom w:w="0" w:type="dxa"/>
            <w:right w:w="108" w:type="dxa"/>
          </w:tblCellMar>
        </w:tblPrEx>
        <w:trPr>
          <w:trHeight w:val="1043"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离休干部医药费成本</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≤90万元</w:t>
            </w:r>
          </w:p>
        </w:tc>
        <w:tc>
          <w:tcPr>
            <w:tcW w:w="165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54.22万元</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因传染病防控情况行政离休人员住院及门诊开药减少，为国家减少资金，厉行节约。</w:t>
            </w:r>
          </w:p>
        </w:tc>
      </w:tr>
      <w:tr>
        <w:tblPrEx>
          <w:tblCellMar>
            <w:top w:w="0" w:type="dxa"/>
            <w:left w:w="108" w:type="dxa"/>
            <w:bottom w:w="0" w:type="dxa"/>
            <w:right w:w="108" w:type="dxa"/>
          </w:tblCellMar>
        </w:tblPrEx>
        <w:trPr>
          <w:trHeight w:val="1003"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离休干部的生活情况</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不断提高</w:t>
            </w:r>
          </w:p>
        </w:tc>
        <w:tc>
          <w:tcPr>
            <w:tcW w:w="165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明显提高</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003"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离休人员生活水平</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显著提高</w:t>
            </w:r>
          </w:p>
        </w:tc>
        <w:tc>
          <w:tcPr>
            <w:tcW w:w="165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显著提高</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003"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离休干部的生活质量</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不断改善</w:t>
            </w:r>
          </w:p>
        </w:tc>
        <w:tc>
          <w:tcPr>
            <w:tcW w:w="165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不断改善</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043"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离休干部因病致贫人数</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=0人</w:t>
            </w:r>
          </w:p>
        </w:tc>
        <w:tc>
          <w:tcPr>
            <w:tcW w:w="165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0人</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r>
        <w:tblPrEx>
          <w:tblCellMar>
            <w:top w:w="0" w:type="dxa"/>
            <w:left w:w="108" w:type="dxa"/>
            <w:bottom w:w="0" w:type="dxa"/>
            <w:right w:w="108" w:type="dxa"/>
          </w:tblCellMar>
        </w:tblPrEx>
        <w:trPr>
          <w:trHeight w:val="1124" w:hRule="atLeast"/>
        </w:trPr>
        <w:tc>
          <w:tcPr>
            <w:tcW w:w="66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6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199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离休人员满意度</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655" w:type="dxa"/>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56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18"/>
                <w:szCs w:val="18"/>
                <w:u w:val="none"/>
              </w:rPr>
            </w:pPr>
          </w:p>
        </w:tc>
      </w:tr>
    </w:tbl>
    <w:p>
      <w:pPr>
        <w:pStyle w:val="23"/>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ascii="仿宋_GB2312"/>
          <w:bCs/>
          <w:sz w:val="32"/>
          <w:szCs w:val="32"/>
          <w:lang w:val="en-US" w:eastAsia="zh-CN"/>
        </w:rPr>
      </w:pPr>
      <w:r>
        <w:rPr>
          <w:rFonts w:hint="eastAsia" w:ascii="仿宋_GB2312"/>
          <w:bCs/>
          <w:sz w:val="32"/>
          <w:szCs w:val="32"/>
          <w:lang w:val="en-US" w:eastAsia="zh-CN"/>
        </w:rPr>
        <w:t>附件1</w:t>
      </w:r>
    </w:p>
    <w:tbl>
      <w:tblPr>
        <w:tblStyle w:val="19"/>
        <w:tblW w:w="12683"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9"/>
        <w:gridCol w:w="767"/>
        <w:gridCol w:w="873"/>
        <w:gridCol w:w="2353"/>
        <w:gridCol w:w="518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839"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一级指标</w:t>
            </w:r>
          </w:p>
        </w:tc>
        <w:tc>
          <w:tcPr>
            <w:tcW w:w="767"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二级指标</w:t>
            </w:r>
          </w:p>
        </w:tc>
        <w:tc>
          <w:tcPr>
            <w:tcW w:w="87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三级指标</w:t>
            </w:r>
          </w:p>
        </w:tc>
        <w:tc>
          <w:tcPr>
            <w:tcW w:w="2353"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指标解释</w:t>
            </w:r>
          </w:p>
        </w:tc>
        <w:tc>
          <w:tcPr>
            <w:tcW w:w="5188" w:type="dxa"/>
            <w:shd w:val="clear" w:color="auto" w:fill="FFFFFF"/>
            <w:noWrap w:val="0"/>
            <w:vAlign w:val="center"/>
          </w:tcPr>
          <w:p>
            <w:pPr>
              <w:widowControl/>
              <w:spacing w:line="0" w:lineRule="atLeast"/>
              <w:jc w:val="center"/>
              <w:rPr>
                <w:rFonts w:ascii="宋体" w:hAnsi="宋体" w:eastAsia="宋体" w:cs="宋体"/>
                <w:b/>
                <w:bCs/>
                <w:color w:val="000000"/>
                <w:kern w:val="0"/>
                <w:sz w:val="22"/>
                <w:szCs w:val="22"/>
              </w:rPr>
            </w:pPr>
            <w:r>
              <w:rPr>
                <w:rFonts w:hint="eastAsia" w:ascii="宋体" w:hAnsi="宋体" w:eastAsia="宋体" w:cs="宋体"/>
                <w:b/>
                <w:bCs/>
                <w:color w:val="000000"/>
                <w:kern w:val="0"/>
                <w:sz w:val="22"/>
                <w:szCs w:val="22"/>
              </w:rPr>
              <w:t>指标说明</w:t>
            </w:r>
          </w:p>
        </w:tc>
        <w:tc>
          <w:tcPr>
            <w:tcW w:w="1300"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权重</w:t>
            </w:r>
          </w:p>
        </w:tc>
        <w:tc>
          <w:tcPr>
            <w:tcW w:w="1363" w:type="dxa"/>
            <w:shd w:val="clear" w:color="auto" w:fill="FFFFFF"/>
            <w:noWrap w:val="0"/>
            <w:vAlign w:val="center"/>
          </w:tcPr>
          <w:p>
            <w:pPr>
              <w:widowControl/>
              <w:spacing w:line="0" w:lineRule="atLeast"/>
              <w:jc w:val="center"/>
              <w:rPr>
                <w:rFonts w:hint="eastAsia" w:ascii="宋体" w:hAnsi="宋体" w:eastAsia="宋体" w:cs="宋体"/>
                <w:b/>
                <w:bCs/>
                <w:color w:val="000000"/>
                <w:kern w:val="0"/>
                <w:sz w:val="22"/>
                <w:szCs w:val="22"/>
                <w:lang w:val="en-US" w:eastAsia="zh-CN"/>
              </w:rPr>
            </w:pPr>
            <w:r>
              <w:rPr>
                <w:rFonts w:hint="eastAsia" w:ascii="宋体" w:hAnsi="宋体" w:cs="宋体"/>
                <w:b/>
                <w:bCs/>
                <w:color w:val="000000"/>
                <w:kern w:val="0"/>
                <w:sz w:val="22"/>
                <w:szCs w:val="22"/>
                <w:lang w:val="en-US"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立项依据</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充分性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项目立项是否符合法律法规、相关政策、发展规划以及部门职责，用以反映和考核项目立项依据情况。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①项目立项是否符合国家法律法规、国民经济发展规划和相关政策；</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②项目立项是否符合行业发展规划和政策要求；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③项目立项是否与部门职责范围相符，属于部门履职所需；</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④项目是否属于公共财政支持范围，是否符合中央、地方事权支出责任划分原则；</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⑤项目是否与相关部门同类项目或部门内部相关项目重复。</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立项程序</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规范性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项目申请、设立过程是否符合相关要求，用以反映和考核项目立项的规范情况。</w:t>
            </w:r>
          </w:p>
        </w:tc>
        <w:tc>
          <w:tcPr>
            <w:tcW w:w="5188"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①项目是否按照规定的程序申请设立；</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②审批文件、材料是否符合相关要求；</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③事前是否已经过必要的可行性研究、专家论证、风险评估、绩效评估、集体决策。</w:t>
            </w:r>
          </w:p>
        </w:tc>
        <w:tc>
          <w:tcPr>
            <w:tcW w:w="1300"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c>
          <w:tcPr>
            <w:tcW w:w="1363" w:type="dxa"/>
            <w:shd w:val="clear" w:color="auto" w:fill="FFFFFF"/>
            <w:noWrap w:val="0"/>
            <w:vAlign w:val="center"/>
          </w:tcPr>
          <w:p>
            <w:pPr>
              <w:widowControl/>
              <w:spacing w:line="0" w:lineRule="atLeast"/>
              <w:jc w:val="lef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绩效目标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项目所设定的绩效目标是否依据充分，是否符合客观实际，用以反映和考核项目绩效目标与项目实施的相符情况。</w:t>
            </w:r>
          </w:p>
        </w:tc>
        <w:tc>
          <w:tcPr>
            <w:tcW w:w="5188"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（如未设定预算绩效目标，也可考核其他工作任务目标）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①项目是否有绩效目标；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②项目绩效目标与实际工作内容是否具有相关性；</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③项目预期产出效益和效果是否符合正常的业绩水平；</w:t>
            </w:r>
          </w:p>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④是否与预算确定的项目投资额或资金量相匹配。</w:t>
            </w:r>
          </w:p>
        </w:tc>
        <w:tc>
          <w:tcPr>
            <w:tcW w:w="1300"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jc w:val="lef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决策　</w:t>
            </w:r>
          </w:p>
        </w:tc>
        <w:tc>
          <w:tcPr>
            <w:tcW w:w="767"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绩效目标</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绩效指标</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明确性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依据绩效目标设定的绩效指标是否清晰、细化、可衡量等，用以反映和考核项目绩效目标的明细化情况。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①是否将项目绩效目标细化分解为具体的绩效指标；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②是否通过清晰、可衡量的指标值予以体现；</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③是否与项目目标任务数或计划数相对应。</w:t>
            </w:r>
            <w:r>
              <w:rPr>
                <w:rFonts w:hint="eastAsia" w:ascii="宋体" w:hAnsi="宋体" w:eastAsia="宋体" w:cs="宋体"/>
                <w:color w:val="000000"/>
                <w:kern w:val="0"/>
                <w:sz w:val="22"/>
                <w:szCs w:val="22"/>
              </w:rPr>
              <w:br w:type="textWrapping"/>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资金投入</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预算编制</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科学性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项目预算编制是否经过科学论证、有明确标准，资金额度与年度目标是否相适应，用以反映和考核项目预算编制的科学性、合理性情况。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①预算编制是否经过科学论证；</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②预算内容与项目内容是否匹配；</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③预算额度测算依据是否充分，是否按照标准编制；</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④预算确定的项目投资额或资金量是否与工作任务相匹配。</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资金分配</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合理性</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项目预算资金分配是否有测算依据，与补助单位或地方实际是否相适应，用以反映和考核项目预算资金分配的科学性、合理性情况。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①预算资金分配依据是否充分；</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②资金分配额度是否合理，与项目单位或地方实际是否相适应。</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839" w:type="dxa"/>
            <w:vMerge w:val="restart"/>
            <w:shd w:val="clear" w:color="auto" w:fill="FFFFFF"/>
            <w:noWrap w:val="0"/>
            <w:vAlign w:val="center"/>
          </w:tcPr>
          <w:p>
            <w:pPr>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过程</w:t>
            </w:r>
          </w:p>
        </w:tc>
        <w:tc>
          <w:tcPr>
            <w:tcW w:w="767" w:type="dxa"/>
            <w:vMerge w:val="restart"/>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资金到位率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实际到位资金与预算资金的比率，用以反映和考核资金落实情况对项目实施的总体保障程度。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资金到位率=（实际到位资金/预算资金）×100%。</w:t>
            </w:r>
          </w:p>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实际到位资金：一定时期（本年度或项目期）内落实到具体项目的资金。</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预算资金：一定时期（本年度或项目期）内预算安排到具体项目的资金。</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839"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767" w:type="dxa"/>
            <w:vMerge w:val="continue"/>
            <w:shd w:val="clear" w:color="auto" w:fill="FFFFFF"/>
            <w:noWrap w:val="0"/>
            <w:vAlign w:val="center"/>
          </w:tcPr>
          <w:p>
            <w:pPr>
              <w:spacing w:line="0" w:lineRule="atLeast"/>
              <w:jc w:val="center"/>
              <w:rPr>
                <w:rFonts w:hint="eastAsia"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w:t>
            </w:r>
          </w:p>
        </w:tc>
        <w:tc>
          <w:tcPr>
            <w:tcW w:w="2353"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项目预算资金是否按照计划执行，用以反映或考核项目预算执行情况。</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预算执行率=（实际支出资金/实际到位资金）×100%。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实际支出资金：一定时期（本年度或项目期）内项目实际拨付的资金。</w:t>
            </w:r>
          </w:p>
        </w:tc>
        <w:tc>
          <w:tcPr>
            <w:tcW w:w="1300" w:type="dxa"/>
            <w:shd w:val="clear" w:color="auto"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过程　</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资金管理</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资金使用</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合规性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项目资金使用是否符合相关的财务管理制度规定，用以反映和考核项目资金的规范运行情况。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①是否符合国家财经法规和财务管理制度以及有关专项资金管理办法的规定；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②资金的拨付是否有完整的审批程序和手续；</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③是否符合项目预算批复或合同规定的用途；</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④是否存在截留、挤占、挪用、虚列支出等情况。</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组织实施</w:t>
            </w:r>
          </w:p>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　</w:t>
            </w: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管理制度</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健全性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项目实施单位的财务和业务管理制度是否健全，用以反映和考核财务和业务管理制度对项目顺利实施的保障情况。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①是否已制定或具有相应的财务和业务管理制度；</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②财务和业务管理制度是否合法、合规、完整。</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制度执行</w:t>
            </w:r>
          </w:p>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有效性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项目实施是否符合相关管理规定，用以反映和考核相关管理制度的有效执行情况。</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评价要点：</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①是否遵守相关法律法规和相关管理规定；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②项目调整及支出调整手续是否完备；</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③项目合同书、验收报告、技术鉴定等资料是否齐全并及时归档；</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④项目实施的人员条件、场地设备、信息支撑等是否落实到位。</w:t>
            </w:r>
          </w:p>
        </w:tc>
        <w:tc>
          <w:tcPr>
            <w:tcW w:w="1300"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c>
          <w:tcPr>
            <w:tcW w:w="1363" w:type="dxa"/>
            <w:shd w:val="clear" w:color="000000" w:fill="FFFFFF"/>
            <w:noWrap w:val="0"/>
            <w:vAlign w:val="center"/>
          </w:tcPr>
          <w:p>
            <w:pPr>
              <w:widowControl/>
              <w:spacing w:line="0" w:lineRule="atLeast"/>
              <w:rPr>
                <w:rFonts w:hint="eastAsia"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839"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产出数量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项目实施的实际产出数与计划产出数的比率，用以反映和考核项目产出数量目标的实现程度。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实际完成率=（实际产出数/计划产出数）×100%。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实际产出数：一定时期（本年度或项目期）内项目实际产出的产品或提供的服务数量。</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计划产出数：项目绩效目标确定的在一定时期（本年度或项目期）内计划产出的产品或提供的服务数量。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w:t>
            </w: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产出质量</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项目完成的质量达标产出数与实际产出数的比率，用以反映和考核项目产出质量目标的实现程度。</w:t>
            </w:r>
          </w:p>
        </w:tc>
        <w:tc>
          <w:tcPr>
            <w:tcW w:w="5188" w:type="dxa"/>
            <w:shd w:val="clear" w:color="000000" w:fill="FFFFFF"/>
            <w:noWrap w:val="0"/>
            <w:vAlign w:val="center"/>
          </w:tcPr>
          <w:p>
            <w:pPr>
              <w:widowControl/>
              <w:spacing w:line="0" w:lineRule="atLeast"/>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质量达标率=（质量达标产出数/实际产出数）×100%。</w:t>
            </w:r>
          </w:p>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839" w:type="dxa"/>
            <w:vMerge w:val="continue"/>
            <w:shd w:val="clear" w:color="auto" w:fill="FFFFFF"/>
            <w:noWrap w:val="0"/>
            <w:vAlign w:val="center"/>
          </w:tcPr>
          <w:p>
            <w:pPr>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产出时效</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完成及时性</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项目实际完成时间与计划完成时间的比较，用以反映和考核项目产出时效目标的实现程度。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实际完成时间：项目实施单位完成该项目实际所耗用的时间。</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计划完成时间：按照项目实施计划或相关规定完成该项目所需的时间。</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产出成本</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成本节约率</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完成项目计划工作目标的实际节约成本与计划成本的比率，用以反映和考核项目的成本节约程度。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成本节约率=[（计划成本</w:t>
            </w:r>
            <w:r>
              <w:rPr>
                <w:rFonts w:hint="eastAsia" w:ascii="宋体" w:hAnsi="宋体" w:cs="宋体"/>
                <w:color w:val="000000"/>
                <w:kern w:val="0"/>
                <w:sz w:val="22"/>
                <w:szCs w:val="22"/>
                <w:lang w:eastAsia="zh-CN"/>
              </w:rPr>
              <w:t>－</w:t>
            </w:r>
            <w:r>
              <w:rPr>
                <w:rFonts w:hint="eastAsia" w:ascii="宋体" w:hAnsi="宋体" w:eastAsia="宋体" w:cs="宋体"/>
                <w:color w:val="000000"/>
                <w:kern w:val="0"/>
                <w:sz w:val="22"/>
                <w:szCs w:val="22"/>
              </w:rPr>
              <w:t>实际成本）/计划成本]×100%。</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实际成本：项目实施单位如期、保质、保量完成既定工作目标实际所耗费的支出。</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计划成本：项目实施单位为完成工作目标计划安排的支出，一般以项目预算为参考。</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839"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效益　</w:t>
            </w:r>
          </w:p>
        </w:tc>
        <w:tc>
          <w:tcPr>
            <w:tcW w:w="767" w:type="dxa"/>
            <w:vMerge w:val="restart"/>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项目效益　</w:t>
            </w: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实施效益</w:t>
            </w:r>
          </w:p>
        </w:tc>
        <w:tc>
          <w:tcPr>
            <w:tcW w:w="2353" w:type="dxa"/>
            <w:shd w:val="clear" w:color="auto" w:fill="FFFFFF"/>
            <w:noWrap w:val="0"/>
            <w:vAlign w:val="center"/>
          </w:tcPr>
          <w:p>
            <w:pPr>
              <w:widowControl/>
              <w:spacing w:line="0" w:lineRule="atLeast"/>
              <w:jc w:val="lef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项目实施所产生的效益。</w:t>
            </w:r>
          </w:p>
        </w:tc>
        <w:tc>
          <w:tcPr>
            <w:tcW w:w="5188" w:type="dxa"/>
            <w:shd w:val="clear" w:color="auto"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项目实施所产生的社会效益、经济效益、生态效益、可持续影响等。可根据项目实际情况有选择地设置和细化。</w:t>
            </w:r>
          </w:p>
        </w:tc>
        <w:tc>
          <w:tcPr>
            <w:tcW w:w="1300"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c>
          <w:tcPr>
            <w:tcW w:w="1363" w:type="dxa"/>
            <w:shd w:val="clear" w:color="auto"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30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839"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767" w:type="dxa"/>
            <w:vMerge w:val="continue"/>
            <w:shd w:val="clear" w:color="auto" w:fill="FFFFFF"/>
            <w:noWrap w:val="0"/>
            <w:vAlign w:val="center"/>
          </w:tcPr>
          <w:p>
            <w:pPr>
              <w:widowControl/>
              <w:spacing w:line="0" w:lineRule="atLeast"/>
              <w:jc w:val="center"/>
              <w:rPr>
                <w:rFonts w:ascii="宋体" w:hAnsi="宋体" w:eastAsia="宋体" w:cs="宋体"/>
                <w:color w:val="000000"/>
                <w:kern w:val="0"/>
                <w:sz w:val="22"/>
                <w:szCs w:val="22"/>
              </w:rPr>
            </w:pPr>
          </w:p>
        </w:tc>
        <w:tc>
          <w:tcPr>
            <w:tcW w:w="873" w:type="dxa"/>
            <w:shd w:val="clear" w:color="auto" w:fill="FFFFFF"/>
            <w:noWrap w:val="0"/>
            <w:vAlign w:val="center"/>
          </w:tcPr>
          <w:p>
            <w:pPr>
              <w:widowControl/>
              <w:spacing w:line="0" w:lineRule="atLeast"/>
              <w:jc w:val="center"/>
              <w:rPr>
                <w:rFonts w:ascii="宋体" w:hAnsi="宋体" w:eastAsia="宋体" w:cs="宋体"/>
                <w:color w:val="000000"/>
                <w:kern w:val="0"/>
                <w:sz w:val="22"/>
                <w:szCs w:val="22"/>
              </w:rPr>
            </w:pPr>
            <w:r>
              <w:rPr>
                <w:rFonts w:hint="eastAsia" w:ascii="宋体" w:hAnsi="宋体" w:eastAsia="宋体" w:cs="宋体"/>
                <w:color w:val="000000"/>
                <w:kern w:val="0"/>
                <w:sz w:val="22"/>
                <w:szCs w:val="22"/>
              </w:rPr>
              <w:t>满意度</w:t>
            </w:r>
          </w:p>
        </w:tc>
        <w:tc>
          <w:tcPr>
            <w:tcW w:w="2353"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社会公众或服务对象对项目实施效果的满意程度。</w:t>
            </w:r>
          </w:p>
        </w:tc>
        <w:tc>
          <w:tcPr>
            <w:tcW w:w="5188" w:type="dxa"/>
            <w:shd w:val="clear" w:color="000000" w:fill="FFFFFF"/>
            <w:noWrap w:val="0"/>
            <w:vAlign w:val="center"/>
          </w:tcPr>
          <w:p>
            <w:pPr>
              <w:widowControl/>
              <w:spacing w:line="0" w:lineRule="atLeast"/>
              <w:rPr>
                <w:rFonts w:ascii="宋体" w:hAnsi="宋体" w:eastAsia="宋体" w:cs="宋体"/>
                <w:color w:val="000000"/>
                <w:kern w:val="0"/>
                <w:sz w:val="22"/>
                <w:szCs w:val="22"/>
              </w:rPr>
            </w:pPr>
            <w:r>
              <w:rPr>
                <w:rFonts w:hint="eastAsia" w:ascii="宋体" w:hAnsi="宋体" w:eastAsia="宋体" w:cs="宋体"/>
                <w:color w:val="000000"/>
                <w:kern w:val="0"/>
                <w:sz w:val="22"/>
                <w:szCs w:val="22"/>
              </w:rPr>
              <w:t>社会公众或服务对象是指因该项目实施而受到影响的部门（单位）、群体或个人。一般采取社会调查的方式。</w:t>
            </w:r>
          </w:p>
        </w:tc>
        <w:tc>
          <w:tcPr>
            <w:tcW w:w="1300"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c>
          <w:tcPr>
            <w:tcW w:w="1363" w:type="dxa"/>
            <w:shd w:val="clear" w:color="000000" w:fill="FFFFFF"/>
            <w:noWrap w:val="0"/>
            <w:vAlign w:val="center"/>
          </w:tcPr>
          <w:p>
            <w:pPr>
              <w:widowControl/>
              <w:spacing w:line="0" w:lineRule="atLeast"/>
              <w:rPr>
                <w:rFonts w:hint="default" w:ascii="宋体" w:hAnsi="宋体" w:eastAsia="宋体" w:cs="宋体"/>
                <w:color w:val="000000"/>
                <w:kern w:val="0"/>
                <w:sz w:val="22"/>
                <w:szCs w:val="22"/>
                <w:lang w:val="en-US" w:eastAsia="zh-CN"/>
              </w:rPr>
            </w:pPr>
            <w:r>
              <w:rPr>
                <w:rFonts w:hint="eastAsia" w:ascii="宋体" w:hAnsi="宋体" w:cs="宋体"/>
                <w:color w:val="000000"/>
                <w:kern w:val="0"/>
                <w:sz w:val="22"/>
                <w:szCs w:val="22"/>
                <w:lang w:val="en-US" w:eastAsia="zh-CN"/>
              </w:rPr>
              <w:t>10</w:t>
            </w:r>
          </w:p>
        </w:tc>
      </w:tr>
    </w:tbl>
    <w:p>
      <w:pPr>
        <w:pStyle w:val="2"/>
        <w:rPr>
          <w:rFonts w:hint="default"/>
          <w:lang w:val="en-US" w:eastAsia="zh-CN"/>
        </w:rPr>
      </w:pPr>
    </w:p>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ind w:firstLine="640"/>
        <w:rPr>
          <w:rStyle w:val="21"/>
          <w:rFonts w:ascii="黑体" w:hAnsi="黑体" w:eastAsia="黑体"/>
          <w:bCs w:val="0"/>
          <w:spacing w:val="-4"/>
          <w:sz w:val="32"/>
          <w:szCs w:val="32"/>
        </w:rPr>
      </w:pPr>
    </w:p>
    <w:p>
      <w:pPr>
        <w:spacing w:line="540" w:lineRule="exact"/>
        <w:rPr>
          <w:rStyle w:val="21"/>
          <w:rFonts w:ascii="仿宋" w:hAnsi="仿宋"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59E6DD3C-4747-4D92-8FCA-6BB00D4FD245}"/>
  </w:font>
  <w:font w:name="黑体">
    <w:panose1 w:val="02010609060101010101"/>
    <w:charset w:val="86"/>
    <w:family w:val="auto"/>
    <w:pitch w:val="default"/>
    <w:sig w:usb0="800002BF" w:usb1="38CF7CFA" w:usb2="00000016" w:usb3="00000000" w:csb0="00040001" w:csb1="00000000"/>
    <w:embedRegular r:id="rId2" w:fontKey="{22CAFF2E-638D-4B76-BEB8-7BCBB37BBCA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3" w:fontKey="{DDB91D1F-20B1-493D-A167-99E1833D2439}"/>
  </w:font>
  <w:font w:name="Cambria">
    <w:panose1 w:val="02040503050406030204"/>
    <w:charset w:val="00"/>
    <w:family w:val="roman"/>
    <w:pitch w:val="default"/>
    <w:sig w:usb0="E00002FF" w:usb1="400004FF" w:usb2="00000000" w:usb3="00000000" w:csb0="2000019F" w:csb1="00000000"/>
    <w:embedRegular r:id="rId4" w:fontKey="{FE946F11-9A5D-451E-BE01-E1A1812A6C7C}"/>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5" w:fontKey="{910E3CE8-A46E-4AAF-8360-8C467A1D30DC}"/>
  </w:font>
  <w:font w:name="华文中宋">
    <w:panose1 w:val="02010600040101010101"/>
    <w:charset w:val="86"/>
    <w:family w:val="auto"/>
    <w:pitch w:val="default"/>
    <w:sig w:usb0="00000287" w:usb1="080F0000" w:usb2="00000000" w:usb3="00000000" w:csb0="0004009F" w:csb1="DFD70000"/>
    <w:embedRegular r:id="rId6" w:fontKey="{C3BF3F26-42E2-449A-AD2D-AFD14D3F22DB}"/>
  </w:font>
  <w:font w:name="方正小标宋简体">
    <w:panose1 w:val="02000000000000000000"/>
    <w:charset w:val="86"/>
    <w:family w:val="auto"/>
    <w:pitch w:val="default"/>
    <w:sig w:usb0="00000001" w:usb1="08000000" w:usb2="00000000" w:usb3="00000000" w:csb0="00040000" w:csb1="00000000"/>
    <w:embedRegular r:id="rId7" w:fontKey="{C48832D4-B47A-4551-9234-BE82CAD5A7C0}"/>
  </w:font>
  <w:font w:name="楷体_GB2312">
    <w:altName w:val="楷体"/>
    <w:panose1 w:val="02010609030101010101"/>
    <w:charset w:val="86"/>
    <w:family w:val="auto"/>
    <w:pitch w:val="default"/>
    <w:sig w:usb0="00000000" w:usb1="00000000" w:usb2="00000000" w:usb3="00000000" w:csb0="00040000" w:csb1="00000000"/>
    <w:embedRegular r:id="rId8" w:fontKey="{CE01A234-F147-480A-9A7D-5E537E4F136A}"/>
  </w:font>
  <w:font w:name="仿宋">
    <w:panose1 w:val="02010609060101010101"/>
    <w:charset w:val="86"/>
    <w:family w:val="auto"/>
    <w:pitch w:val="default"/>
    <w:sig w:usb0="800002BF" w:usb1="38CF7CFA" w:usb2="00000016" w:usb3="00000000" w:csb0="00040001" w:csb1="00000000"/>
    <w:embedRegular r:id="rId9" w:fontKey="{C0FCB6D5-6B2F-45DC-906C-5DC786E001C0}"/>
  </w:font>
  <w:font w:name="楷体">
    <w:panose1 w:val="02010609060101010101"/>
    <w:charset w:val="86"/>
    <w:family w:val="auto"/>
    <w:pitch w:val="default"/>
    <w:sig w:usb0="800002BF" w:usb1="38CF7CFA" w:usb2="00000016" w:usb3="00000000" w:csb0="00040001" w:csb1="00000000"/>
    <w:embedRegular r:id="rId10" w:fontKey="{1C105EE2-5E70-4B68-91F4-1CB7C5FC4D7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4"/>
          <w:jc w:val="center"/>
        </w:pPr>
        <w:r>
          <w:fldChar w:fldCharType="begin"/>
        </w:r>
        <w:r>
          <w:instrText xml:space="preserve">PAGE   \* MERGEFORMAT</w:instrText>
        </w:r>
        <w:r>
          <w:fldChar w:fldCharType="separate"/>
        </w:r>
        <w:r>
          <w:rPr>
            <w:lang w:val="zh-CN"/>
          </w:rPr>
          <w:t>2</w:t>
        </w:r>
        <w:r>
          <w:fldChar w:fldCharType="end"/>
        </w:r>
      </w:p>
    </w:sdtContent>
  </w:sdt>
  <w:p>
    <w:pPr>
      <w:pStyle w:val="1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DC95F43F"/>
    <w:multiLevelType w:val="singleLevel"/>
    <w:tmpl w:val="DC95F43F"/>
    <w:lvl w:ilvl="0" w:tentative="0">
      <w:start w:val="1"/>
      <w:numFmt w:val="decimal"/>
      <w:suff w:val="nothing"/>
      <w:lvlText w:val="%1、"/>
      <w:lvlJc w:val="left"/>
    </w:lvl>
  </w:abstractNum>
  <w:abstractNum w:abstractNumId="2">
    <w:nsid w:val="DEF60FE1"/>
    <w:multiLevelType w:val="singleLevel"/>
    <w:tmpl w:val="DEF60FE1"/>
    <w:lvl w:ilvl="0" w:tentative="0">
      <w:start w:val="1"/>
      <w:numFmt w:val="decimal"/>
      <w:suff w:val="nothing"/>
      <w:lvlText w:val="（%1）"/>
      <w:lvlJc w:val="left"/>
    </w:lvl>
  </w:abstractNum>
  <w:abstractNum w:abstractNumId="3">
    <w:nsid w:val="EE5C6BF8"/>
    <w:multiLevelType w:val="singleLevel"/>
    <w:tmpl w:val="EE5C6BF8"/>
    <w:lvl w:ilvl="0" w:tentative="0">
      <w:start w:val="2"/>
      <w:numFmt w:val="decimal"/>
      <w:suff w:val="nothing"/>
      <w:lvlText w:val="%1、"/>
      <w:lvlJc w:val="left"/>
    </w:lvl>
  </w:abstractNum>
  <w:abstractNum w:abstractNumId="4">
    <w:nsid w:val="FF4BB6DE"/>
    <w:multiLevelType w:val="singleLevel"/>
    <w:tmpl w:val="FF4BB6DE"/>
    <w:lvl w:ilvl="0" w:tentative="0">
      <w:start w:val="1"/>
      <w:numFmt w:val="decimal"/>
      <w:suff w:val="nothing"/>
      <w:lvlText w:val="%1、"/>
      <w:lvlJc w:val="left"/>
    </w:lvl>
  </w:abstractNum>
  <w:abstractNum w:abstractNumId="5">
    <w:nsid w:val="FF9379A8"/>
    <w:multiLevelType w:val="singleLevel"/>
    <w:tmpl w:val="FF9379A8"/>
    <w:lvl w:ilvl="0" w:tentative="0">
      <w:start w:val="2"/>
      <w:numFmt w:val="chineseCounting"/>
      <w:suff w:val="nothing"/>
      <w:lvlText w:val="（%1）"/>
      <w:lvlJc w:val="left"/>
      <w:rPr>
        <w:rFonts w:hint="eastAsia"/>
      </w:rPr>
    </w:lvl>
  </w:abstractNum>
  <w:abstractNum w:abstractNumId="6">
    <w:nsid w:val="116B29BF"/>
    <w:multiLevelType w:val="singleLevel"/>
    <w:tmpl w:val="116B29BF"/>
    <w:lvl w:ilvl="0" w:tentative="0">
      <w:start w:val="3"/>
      <w:numFmt w:val="chineseCounting"/>
      <w:suff w:val="nothing"/>
      <w:lvlText w:val="%1、"/>
      <w:lvlJc w:val="left"/>
      <w:rPr>
        <w:rFonts w:hint="eastAsia"/>
      </w:rPr>
    </w:lvl>
  </w:abstractNum>
  <w:abstractNum w:abstractNumId="7">
    <w:nsid w:val="27813159"/>
    <w:multiLevelType w:val="singleLevel"/>
    <w:tmpl w:val="27813159"/>
    <w:lvl w:ilvl="0" w:tentative="0">
      <w:start w:val="3"/>
      <w:numFmt w:val="chineseCounting"/>
      <w:suff w:val="nothing"/>
      <w:lvlText w:val="（%1）"/>
      <w:lvlJc w:val="left"/>
      <w:rPr>
        <w:rFonts w:hint="eastAsia"/>
      </w:rPr>
    </w:lvl>
  </w:abstractNum>
  <w:abstractNum w:abstractNumId="8">
    <w:nsid w:val="6FAA0AB1"/>
    <w:multiLevelType w:val="singleLevel"/>
    <w:tmpl w:val="6FAA0AB1"/>
    <w:lvl w:ilvl="0" w:tentative="0">
      <w:start w:val="2"/>
      <w:numFmt w:val="chineseCounting"/>
      <w:suff w:val="nothing"/>
      <w:lvlText w:val="（%1）"/>
      <w:lvlJc w:val="left"/>
      <w:rPr>
        <w:rFonts w:hint="eastAsia"/>
      </w:rPr>
    </w:lvl>
  </w:abstractNum>
  <w:num w:numId="1">
    <w:abstractNumId w:val="3"/>
  </w:num>
  <w:num w:numId="2">
    <w:abstractNumId w:val="2"/>
  </w:num>
  <w:num w:numId="3">
    <w:abstractNumId w:val="7"/>
  </w:num>
  <w:num w:numId="4">
    <w:abstractNumId w:val="6"/>
  </w:num>
  <w:num w:numId="5">
    <w:abstractNumId w:val="8"/>
  </w:num>
  <w:num w:numId="6">
    <w:abstractNumId w:val="5"/>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56465"/>
    <w:rsid w:val="000E50F0"/>
    <w:rsid w:val="000E586C"/>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DF7C45"/>
    <w:rsid w:val="00E31565"/>
    <w:rsid w:val="00E46C51"/>
    <w:rsid w:val="00E769FE"/>
    <w:rsid w:val="00EA2CBE"/>
    <w:rsid w:val="00F32FEE"/>
    <w:rsid w:val="00F71278"/>
    <w:rsid w:val="00FB10BB"/>
    <w:rsid w:val="051A56F5"/>
    <w:rsid w:val="053B425E"/>
    <w:rsid w:val="066D6EAA"/>
    <w:rsid w:val="08047BE6"/>
    <w:rsid w:val="08C662D4"/>
    <w:rsid w:val="090470C5"/>
    <w:rsid w:val="09BD4D95"/>
    <w:rsid w:val="0F8D41CB"/>
    <w:rsid w:val="11C75270"/>
    <w:rsid w:val="11FE0FA9"/>
    <w:rsid w:val="12637CC3"/>
    <w:rsid w:val="12E657C5"/>
    <w:rsid w:val="167C7687"/>
    <w:rsid w:val="168B3546"/>
    <w:rsid w:val="1A0834B9"/>
    <w:rsid w:val="1A2374E0"/>
    <w:rsid w:val="1C317CE2"/>
    <w:rsid w:val="1DD45808"/>
    <w:rsid w:val="1DED42AC"/>
    <w:rsid w:val="20005763"/>
    <w:rsid w:val="20FB313D"/>
    <w:rsid w:val="21851A84"/>
    <w:rsid w:val="21DE61B4"/>
    <w:rsid w:val="220B4804"/>
    <w:rsid w:val="223054C3"/>
    <w:rsid w:val="227B5A4A"/>
    <w:rsid w:val="282475E3"/>
    <w:rsid w:val="299D69CF"/>
    <w:rsid w:val="2C6100C1"/>
    <w:rsid w:val="2CB04423"/>
    <w:rsid w:val="2D056B8A"/>
    <w:rsid w:val="3264220D"/>
    <w:rsid w:val="32D245AA"/>
    <w:rsid w:val="332C2132"/>
    <w:rsid w:val="343F0ADF"/>
    <w:rsid w:val="37793E03"/>
    <w:rsid w:val="3963178C"/>
    <w:rsid w:val="3C5A1A13"/>
    <w:rsid w:val="3E5640B0"/>
    <w:rsid w:val="419D1A7F"/>
    <w:rsid w:val="41CC2676"/>
    <w:rsid w:val="45F138E5"/>
    <w:rsid w:val="46B21672"/>
    <w:rsid w:val="4CB53E71"/>
    <w:rsid w:val="4DFF1E22"/>
    <w:rsid w:val="4F552460"/>
    <w:rsid w:val="4FCC6863"/>
    <w:rsid w:val="500A214A"/>
    <w:rsid w:val="522D604D"/>
    <w:rsid w:val="5297585E"/>
    <w:rsid w:val="52AD7D6F"/>
    <w:rsid w:val="5549519D"/>
    <w:rsid w:val="554C4A6C"/>
    <w:rsid w:val="5557596B"/>
    <w:rsid w:val="5B596DFC"/>
    <w:rsid w:val="5DF03945"/>
    <w:rsid w:val="62243E9F"/>
    <w:rsid w:val="634900B8"/>
    <w:rsid w:val="637C2815"/>
    <w:rsid w:val="648550F4"/>
    <w:rsid w:val="6654278E"/>
    <w:rsid w:val="6786412F"/>
    <w:rsid w:val="6FA3338B"/>
    <w:rsid w:val="70F26659"/>
    <w:rsid w:val="71FD5B1A"/>
    <w:rsid w:val="72DE516E"/>
    <w:rsid w:val="783112B0"/>
    <w:rsid w:val="786A74D2"/>
    <w:rsid w:val="7A353D0B"/>
    <w:rsid w:val="7C512F01"/>
    <w:rsid w:val="7D3A5E2F"/>
    <w:rsid w:val="7DAB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Body Text"/>
    <w:basedOn w:val="1"/>
    <w:qFormat/>
    <w:uiPriority w:val="0"/>
    <w:pPr>
      <w:spacing w:after="120"/>
    </w:pPr>
  </w:style>
  <w:style w:type="paragraph" w:styleId="13">
    <w:name w:val="Balloon Text"/>
    <w:basedOn w:val="1"/>
    <w:link w:val="49"/>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qFormat/>
    <w:uiPriority w:val="99"/>
    <w:pPr>
      <w:spacing w:before="100" w:beforeAutospacing="1" w:after="100" w:afterAutospacing="1"/>
      <w:jc w:val="left"/>
    </w:pPr>
    <w:rPr>
      <w:sz w:val="24"/>
      <w:lang w:bidi="ar"/>
    </w:rPr>
  </w:style>
  <w:style w:type="paragraph" w:styleId="18">
    <w:name w:val="Body Text First Indent"/>
    <w:basedOn w:val="12"/>
    <w:qFormat/>
    <w:uiPriority w:val="0"/>
    <w:pPr>
      <w:spacing w:after="0"/>
      <w:ind w:firstLine="200" w:firstLineChars="200"/>
    </w:pPr>
  </w:style>
  <w:style w:type="character" w:styleId="21">
    <w:name w:val="Strong"/>
    <w:basedOn w:val="20"/>
    <w:qFormat/>
    <w:uiPriority w:val="0"/>
    <w:rPr>
      <w:b/>
      <w:bCs/>
    </w:rPr>
  </w:style>
  <w:style w:type="character" w:styleId="22">
    <w:name w:val="Emphasis"/>
    <w:basedOn w:val="20"/>
    <w:qFormat/>
    <w:uiPriority w:val="20"/>
    <w:rPr>
      <w:rFonts w:asciiTheme="minorHAnsi" w:hAnsiTheme="minorHAnsi"/>
      <w:b/>
      <w:i/>
      <w:iCs/>
    </w:rPr>
  </w:style>
  <w:style w:type="paragraph" w:customStyle="1" w:styleId="23">
    <w:name w:val="Char"/>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4">
    <w:name w:val="标题 1 字符"/>
    <w:basedOn w:val="20"/>
    <w:link w:val="3"/>
    <w:qFormat/>
    <w:uiPriority w:val="9"/>
    <w:rPr>
      <w:rFonts w:asciiTheme="majorHAnsi" w:hAnsiTheme="majorHAnsi" w:eastAsiaTheme="majorEastAsia"/>
      <w:b/>
      <w:bCs/>
      <w:kern w:val="32"/>
      <w:sz w:val="32"/>
      <w:szCs w:val="32"/>
    </w:rPr>
  </w:style>
  <w:style w:type="character" w:customStyle="1" w:styleId="25">
    <w:name w:val="标题 2 字符"/>
    <w:basedOn w:val="20"/>
    <w:link w:val="4"/>
    <w:semiHidden/>
    <w:qFormat/>
    <w:uiPriority w:val="9"/>
    <w:rPr>
      <w:rFonts w:asciiTheme="majorHAnsi" w:hAnsiTheme="majorHAnsi" w:eastAsiaTheme="majorEastAsia"/>
      <w:b/>
      <w:bCs/>
      <w:i/>
      <w:iCs/>
      <w:sz w:val="28"/>
      <w:szCs w:val="28"/>
    </w:rPr>
  </w:style>
  <w:style w:type="character" w:customStyle="1" w:styleId="26">
    <w:name w:val="标题 3 字符"/>
    <w:basedOn w:val="20"/>
    <w:link w:val="5"/>
    <w:semiHidden/>
    <w:qFormat/>
    <w:uiPriority w:val="9"/>
    <w:rPr>
      <w:rFonts w:asciiTheme="majorHAnsi" w:hAnsiTheme="majorHAnsi" w:eastAsiaTheme="majorEastAsia"/>
      <w:b/>
      <w:bCs/>
      <w:sz w:val="26"/>
      <w:szCs w:val="26"/>
    </w:rPr>
  </w:style>
  <w:style w:type="character" w:customStyle="1" w:styleId="27">
    <w:name w:val="标题 4 字符"/>
    <w:basedOn w:val="20"/>
    <w:link w:val="6"/>
    <w:semiHidden/>
    <w:qFormat/>
    <w:uiPriority w:val="9"/>
    <w:rPr>
      <w:b/>
      <w:bCs/>
      <w:sz w:val="28"/>
      <w:szCs w:val="28"/>
    </w:rPr>
  </w:style>
  <w:style w:type="character" w:customStyle="1" w:styleId="28">
    <w:name w:val="标题 5 字符"/>
    <w:basedOn w:val="20"/>
    <w:link w:val="7"/>
    <w:semiHidden/>
    <w:qFormat/>
    <w:uiPriority w:val="9"/>
    <w:rPr>
      <w:b/>
      <w:bCs/>
      <w:i/>
      <w:iCs/>
      <w:sz w:val="26"/>
      <w:szCs w:val="26"/>
    </w:rPr>
  </w:style>
  <w:style w:type="character" w:customStyle="1" w:styleId="29">
    <w:name w:val="标题 6 字符"/>
    <w:basedOn w:val="20"/>
    <w:link w:val="8"/>
    <w:semiHidden/>
    <w:qFormat/>
    <w:uiPriority w:val="9"/>
    <w:rPr>
      <w:b/>
      <w:bCs/>
    </w:rPr>
  </w:style>
  <w:style w:type="character" w:customStyle="1" w:styleId="30">
    <w:name w:val="标题 7 字符"/>
    <w:basedOn w:val="20"/>
    <w:link w:val="9"/>
    <w:semiHidden/>
    <w:qFormat/>
    <w:uiPriority w:val="9"/>
    <w:rPr>
      <w:sz w:val="24"/>
      <w:szCs w:val="24"/>
    </w:rPr>
  </w:style>
  <w:style w:type="character" w:customStyle="1" w:styleId="31">
    <w:name w:val="标题 8 字符"/>
    <w:basedOn w:val="20"/>
    <w:link w:val="10"/>
    <w:semiHidden/>
    <w:qFormat/>
    <w:uiPriority w:val="9"/>
    <w:rPr>
      <w:i/>
      <w:iCs/>
      <w:sz w:val="24"/>
      <w:szCs w:val="24"/>
    </w:rPr>
  </w:style>
  <w:style w:type="character" w:customStyle="1" w:styleId="32">
    <w:name w:val="标题 9 字符"/>
    <w:basedOn w:val="20"/>
    <w:link w:val="11"/>
    <w:semiHidden/>
    <w:qFormat/>
    <w:uiPriority w:val="9"/>
    <w:rPr>
      <w:rFonts w:asciiTheme="majorHAnsi" w:hAnsiTheme="majorHAnsi" w:eastAsiaTheme="majorEastAsia"/>
    </w:rPr>
  </w:style>
  <w:style w:type="character" w:customStyle="1" w:styleId="33">
    <w:name w:val="标题 字符"/>
    <w:basedOn w:val="20"/>
    <w:link w:val="2"/>
    <w:qFormat/>
    <w:uiPriority w:val="10"/>
    <w:rPr>
      <w:rFonts w:asciiTheme="majorHAnsi" w:hAnsiTheme="majorHAnsi" w:eastAsiaTheme="majorEastAsia"/>
      <w:b/>
      <w:bCs/>
      <w:kern w:val="28"/>
      <w:sz w:val="32"/>
      <w:szCs w:val="32"/>
    </w:rPr>
  </w:style>
  <w:style w:type="character" w:customStyle="1" w:styleId="34">
    <w:name w:val="副标题 字符"/>
    <w:basedOn w:val="20"/>
    <w:link w:val="16"/>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字符"/>
    <w:basedOn w:val="20"/>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字符"/>
    <w:basedOn w:val="20"/>
    <w:link w:val="39"/>
    <w:qFormat/>
    <w:uiPriority w:val="30"/>
    <w:rPr>
      <w:b/>
      <w:i/>
      <w:sz w:val="24"/>
    </w:rPr>
  </w:style>
  <w:style w:type="character" w:customStyle="1" w:styleId="41">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2">
    <w:name w:val="明显强调1"/>
    <w:basedOn w:val="20"/>
    <w:qFormat/>
    <w:uiPriority w:val="21"/>
    <w:rPr>
      <w:b/>
      <w:i/>
      <w:sz w:val="24"/>
      <w:szCs w:val="24"/>
      <w:u w:val="single"/>
    </w:rPr>
  </w:style>
  <w:style w:type="character" w:customStyle="1" w:styleId="43">
    <w:name w:val="不明显参考1"/>
    <w:basedOn w:val="20"/>
    <w:qFormat/>
    <w:uiPriority w:val="31"/>
    <w:rPr>
      <w:sz w:val="24"/>
      <w:szCs w:val="24"/>
      <w:u w:val="single"/>
    </w:rPr>
  </w:style>
  <w:style w:type="character" w:customStyle="1" w:styleId="44">
    <w:name w:val="明显参考1"/>
    <w:basedOn w:val="20"/>
    <w:qFormat/>
    <w:uiPriority w:val="32"/>
    <w:rPr>
      <w:b/>
      <w:sz w:val="24"/>
      <w:u w:val="single"/>
    </w:rPr>
  </w:style>
  <w:style w:type="character" w:customStyle="1" w:styleId="45">
    <w:name w:val="书籍标题1"/>
    <w:basedOn w:val="20"/>
    <w:qFormat/>
    <w:uiPriority w:val="33"/>
    <w:rPr>
      <w:rFonts w:asciiTheme="majorHAnsi" w:hAnsiTheme="majorHAnsi" w:eastAsiaTheme="majorEastAsia"/>
      <w:b/>
      <w:i/>
      <w:sz w:val="24"/>
      <w:szCs w:val="24"/>
    </w:rPr>
  </w:style>
  <w:style w:type="paragraph" w:customStyle="1" w:styleId="46">
    <w:name w:val="TOC 标题1"/>
    <w:basedOn w:val="3"/>
    <w:next w:val="1"/>
    <w:semiHidden/>
    <w:unhideWhenUsed/>
    <w:qFormat/>
    <w:uiPriority w:val="39"/>
    <w:pPr>
      <w:outlineLvl w:val="9"/>
    </w:pPr>
    <w:rPr>
      <w:lang w:eastAsia="en-US" w:bidi="en-US"/>
    </w:rPr>
  </w:style>
  <w:style w:type="character" w:customStyle="1" w:styleId="47">
    <w:name w:val="页眉 字符"/>
    <w:basedOn w:val="20"/>
    <w:link w:val="15"/>
    <w:qFormat/>
    <w:uiPriority w:val="99"/>
    <w:rPr>
      <w:rFonts w:ascii="Calibri" w:hAnsi="Calibri" w:eastAsia="宋体"/>
      <w:kern w:val="2"/>
      <w:sz w:val="18"/>
      <w:szCs w:val="18"/>
    </w:rPr>
  </w:style>
  <w:style w:type="character" w:customStyle="1" w:styleId="48">
    <w:name w:val="页脚 字符"/>
    <w:basedOn w:val="20"/>
    <w:link w:val="14"/>
    <w:qFormat/>
    <w:uiPriority w:val="99"/>
    <w:rPr>
      <w:rFonts w:ascii="Calibri" w:hAnsi="Calibri" w:eastAsia="宋体"/>
      <w:kern w:val="2"/>
      <w:sz w:val="18"/>
      <w:szCs w:val="18"/>
    </w:rPr>
  </w:style>
  <w:style w:type="character" w:customStyle="1" w:styleId="49">
    <w:name w:val="批注框文本 字符"/>
    <w:basedOn w:val="20"/>
    <w:link w:val="13"/>
    <w:semiHidden/>
    <w:qFormat/>
    <w:uiPriority w:val="99"/>
    <w:rPr>
      <w:rFonts w:ascii="Times New Roman" w:hAnsi="Times New Roman" w:eastAsia="宋体"/>
      <w:kern w:val="2"/>
      <w:sz w:val="18"/>
      <w:szCs w:val="18"/>
    </w:rPr>
  </w:style>
  <w:style w:type="paragraph" w:customStyle="1" w:styleId="50">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1">
    <w:name w:val="fontstyle01"/>
    <w:qFormat/>
    <w:uiPriority w:val="0"/>
    <w:rPr>
      <w:rFonts w:ascii="仿宋_GB2312" w:hAnsi="仿宋_GB2312" w:eastAsia="仿宋_GB2312" w:cs="仿宋_GB2312"/>
      <w:color w:val="000000"/>
      <w:sz w:val="32"/>
      <w:szCs w:val="32"/>
    </w:rPr>
  </w:style>
  <w:style w:type="paragraph" w:customStyle="1" w:styleId="52">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2885</Words>
  <Characters>2984</Characters>
  <Lines>63</Lines>
  <Paragraphs>17</Paragraphs>
  <TotalTime>1</TotalTime>
  <ScaleCrop>false</ScaleCrop>
  <LinksUpToDate>false</LinksUpToDate>
  <CharactersWithSpaces>2987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2020-07-04T08:35:00Z</dcterms:created>
  <dc:creator>赵 恺（预算处）</dc:creator>
  <cp:lastModifiedBy>Administrator</cp:lastModifiedBy>
  <cp:lastPrinted>2019-12-31T08:02:00Z</cp:lastPrinted>
  <dcterms:modified xsi:type="dcterms:W3CDTF">2025-09-05T03:19:34Z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C172E9D50F14434697CA3995515E7402</vt:lpwstr>
  </property>
  <property fmtid="{D5CDD505-2E9C-101B-9397-08002B2CF9AE}" pid="4" name="KSOTemplateDocerSaveRecord">
    <vt:lpwstr>eyJoZGlkIjoiN2VjMGM4YTNmZTY1NDFjMWFjNmVmZmU0NDA2ZTk0ZmMiLCJ1c2VySWQiOiI4NjI1NDMxNDkifQ==</vt:lpwstr>
  </property>
</Properties>
</file>