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kern w:val="0"/>
          <w:sz w:val="48"/>
          <w:szCs w:val="48"/>
        </w:rPr>
      </w:pPr>
      <w:r>
        <w:rPr>
          <w:rFonts w:hint="eastAsia" w:ascii="方正小标宋_GBK" w:hAnsi="华文中宋" w:eastAsia="方正小标宋_GBK" w:cs="宋体"/>
          <w:kern w:val="0"/>
          <w:sz w:val="48"/>
          <w:szCs w:val="48"/>
        </w:rPr>
        <w:t>社会化服务资金项目支出绩效评价</w:t>
      </w:r>
    </w:p>
    <w:p>
      <w:pPr>
        <w:spacing w:line="540" w:lineRule="exact"/>
        <w:jc w:val="center"/>
        <w:rPr>
          <w:rFonts w:ascii="方正小标宋_GBK" w:hAnsi="华文中宋" w:eastAsia="方正小标宋_GBK" w:cs="宋体"/>
          <w:kern w:val="0"/>
          <w:sz w:val="48"/>
          <w:szCs w:val="48"/>
        </w:rPr>
      </w:pPr>
      <w:r>
        <w:rPr>
          <w:rFonts w:hint="eastAsia" w:ascii="方正小标宋_GBK" w:hAnsi="华文中宋" w:eastAsia="方正小标宋_GBK" w:cs="宋体"/>
          <w:kern w:val="0"/>
          <w:sz w:val="48"/>
          <w:szCs w:val="48"/>
        </w:rPr>
        <w:t>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2020年度）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ind w:firstLine="720" w:firstLineChars="200"/>
        <w:jc w:val="left"/>
        <w:rPr>
          <w:rFonts w:hAnsi="宋体" w:eastAsia="仿宋_GB2312" w:cs="宋体"/>
          <w:kern w:val="0"/>
          <w:sz w:val="36"/>
          <w:szCs w:val="36"/>
        </w:rPr>
      </w:pPr>
      <w:r>
        <w:rPr>
          <w:rFonts w:hint="eastAsia" w:hAnsi="宋体" w:eastAsia="仿宋_GB2312" w:cs="宋体"/>
          <w:kern w:val="0"/>
          <w:sz w:val="36"/>
          <w:szCs w:val="36"/>
        </w:rPr>
        <w:t>项目名称：社会化服务项目</w:t>
      </w:r>
    </w:p>
    <w:p>
      <w:pPr>
        <w:spacing w:line="700" w:lineRule="exact"/>
        <w:ind w:firstLine="720" w:firstLineChars="200"/>
        <w:jc w:val="left"/>
        <w:rPr>
          <w:rFonts w:hAnsi="宋体" w:eastAsia="仿宋_GB2312" w:cs="宋体"/>
          <w:kern w:val="0"/>
          <w:sz w:val="32"/>
          <w:szCs w:val="32"/>
        </w:rPr>
      </w:pPr>
      <w:r>
        <w:rPr>
          <w:rFonts w:hint="eastAsia" w:hAnsi="宋体" w:eastAsia="仿宋_GB2312" w:cs="宋体"/>
          <w:kern w:val="0"/>
          <w:sz w:val="36"/>
          <w:szCs w:val="36"/>
        </w:rPr>
        <w:t>实施单位（公章）：</w:t>
      </w:r>
      <w:r>
        <w:rPr>
          <w:rFonts w:hint="eastAsia" w:hAnsi="宋体" w:eastAsia="仿宋_GB2312" w:cs="宋体"/>
          <w:kern w:val="0"/>
          <w:sz w:val="32"/>
          <w:szCs w:val="32"/>
        </w:rPr>
        <w:t>塔城地区农村合作经济发展中心</w:t>
      </w:r>
    </w:p>
    <w:p>
      <w:pPr>
        <w:spacing w:line="700" w:lineRule="exact"/>
        <w:ind w:firstLine="720" w:firstLineChars="200"/>
        <w:jc w:val="left"/>
        <w:rPr>
          <w:rFonts w:hAnsi="宋体" w:eastAsia="仿宋_GB2312" w:cs="宋体"/>
          <w:kern w:val="0"/>
          <w:sz w:val="36"/>
          <w:szCs w:val="36"/>
        </w:rPr>
      </w:pPr>
      <w:r>
        <w:rPr>
          <w:rFonts w:hint="eastAsia" w:hAnsi="宋体" w:eastAsia="仿宋_GB2312" w:cs="宋体"/>
          <w:kern w:val="0"/>
          <w:sz w:val="36"/>
          <w:szCs w:val="36"/>
        </w:rPr>
        <w:t>主管部门（公章）：塔城地区农业农村局</w:t>
      </w:r>
    </w:p>
    <w:p>
      <w:pPr>
        <w:spacing w:line="700" w:lineRule="exact"/>
        <w:ind w:firstLine="720" w:firstLineChars="200"/>
        <w:jc w:val="left"/>
        <w:rPr>
          <w:rFonts w:hAnsi="宋体" w:eastAsia="仿宋_GB2312" w:cs="宋体"/>
          <w:kern w:val="0"/>
          <w:sz w:val="36"/>
          <w:szCs w:val="36"/>
        </w:rPr>
      </w:pPr>
      <w:r>
        <w:rPr>
          <w:rFonts w:hint="eastAsia" w:hAnsi="宋体" w:eastAsia="仿宋_GB2312" w:cs="宋体"/>
          <w:kern w:val="0"/>
          <w:sz w:val="36"/>
          <w:szCs w:val="36"/>
        </w:rPr>
        <w:t xml:space="preserve">项目负责人（签章）：嵇雪峰 </w:t>
      </w:r>
    </w:p>
    <w:p>
      <w:pPr>
        <w:spacing w:line="700" w:lineRule="exact"/>
        <w:ind w:firstLine="720" w:firstLineChars="200"/>
        <w:jc w:val="left"/>
        <w:rPr>
          <w:rFonts w:hAnsi="宋体" w:eastAsia="仿宋_GB2312" w:cs="宋体"/>
          <w:kern w:val="0"/>
          <w:sz w:val="36"/>
          <w:szCs w:val="36"/>
        </w:rPr>
      </w:pPr>
      <w:r>
        <w:rPr>
          <w:rFonts w:hint="eastAsia" w:hAnsi="宋体" w:eastAsia="仿宋_GB2312" w:cs="宋体"/>
          <w:kern w:val="0"/>
          <w:sz w:val="36"/>
          <w:szCs w:val="36"/>
        </w:rPr>
        <w:t>填报时间：2021年4月6日</w:t>
      </w:r>
    </w:p>
    <w:p>
      <w:pPr>
        <w:spacing w:line="540" w:lineRule="exact"/>
        <w:jc w:val="center"/>
        <w:rPr>
          <w:rFonts w:hAnsi="宋体" w:eastAsia="仿宋_GB2312" w:cs="宋体"/>
          <w:kern w:val="0"/>
          <w:sz w:val="30"/>
          <w:szCs w:val="30"/>
        </w:rPr>
      </w:pPr>
    </w:p>
    <w:p>
      <w:pPr>
        <w:spacing w:line="540" w:lineRule="exact"/>
        <w:rPr>
          <w:rStyle w:val="22"/>
          <w:rFonts w:ascii="黑体" w:hAnsi="黑体" w:eastAsia="黑体"/>
          <w:b w:val="0"/>
          <w:spacing w:val="-4"/>
          <w:sz w:val="32"/>
          <w:szCs w:val="32"/>
        </w:rPr>
      </w:pPr>
    </w:p>
    <w:p>
      <w:pPr>
        <w:spacing w:line="540" w:lineRule="exact"/>
        <w:ind w:firstLine="640"/>
        <w:rPr>
          <w:rStyle w:val="22"/>
          <w:rFonts w:ascii="黑体" w:hAnsi="黑体" w:eastAsia="黑体"/>
          <w:b w:val="0"/>
          <w:spacing w:val="-4"/>
          <w:sz w:val="32"/>
          <w:szCs w:val="32"/>
        </w:rPr>
      </w:pPr>
    </w:p>
    <w:p>
      <w:pPr>
        <w:spacing w:line="540" w:lineRule="exact"/>
        <w:rPr>
          <w:rStyle w:val="22"/>
          <w:rFonts w:ascii="黑体" w:hAnsi="黑体" w:eastAsia="黑体"/>
          <w:b w:val="0"/>
          <w:spacing w:val="-4"/>
          <w:sz w:val="32"/>
          <w:szCs w:val="32"/>
        </w:rPr>
      </w:pPr>
    </w:p>
    <w:p>
      <w:pPr>
        <w:pageBreakBefore w:val="0"/>
        <w:kinsoku/>
        <w:wordWrap/>
        <w:overflowPunct/>
        <w:topLinePunct w:val="0"/>
        <w:autoSpaceDE/>
        <w:autoSpaceDN/>
        <w:bidi w:val="0"/>
        <w:adjustRightInd/>
        <w:snapToGrid/>
        <w:spacing w:beforeAutospacing="0" w:afterAutospacing="0" w:line="560" w:lineRule="atLeast"/>
        <w:ind w:firstLine="641"/>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一、基本情况</w:t>
      </w:r>
    </w:p>
    <w:p>
      <w:pPr>
        <w:pageBreakBefore w:val="0"/>
        <w:kinsoku/>
        <w:wordWrap/>
        <w:overflowPunct/>
        <w:topLinePunct w:val="0"/>
        <w:autoSpaceDE/>
        <w:autoSpaceDN/>
        <w:bidi w:val="0"/>
        <w:adjustRightInd/>
        <w:snapToGrid/>
        <w:spacing w:beforeAutospacing="0" w:afterAutospacing="0" w:line="560" w:lineRule="atLeast"/>
        <w:ind w:firstLine="641"/>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（一）项目概况</w:t>
      </w:r>
    </w:p>
    <w:p>
      <w:pPr>
        <w:pageBreakBefore w:val="0"/>
        <w:kinsoku/>
        <w:wordWrap/>
        <w:overflowPunct/>
        <w:topLinePunct w:val="0"/>
        <w:autoSpaceDE/>
        <w:autoSpaceDN/>
        <w:bidi w:val="0"/>
        <w:adjustRightInd/>
        <w:snapToGrid/>
        <w:spacing w:beforeAutospacing="0" w:afterAutospacing="0" w:line="560" w:lineRule="atLeast"/>
        <w:ind w:firstLine="641"/>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1、项目背景</w:t>
      </w:r>
    </w:p>
    <w:p>
      <w:pPr>
        <w:pageBreakBefore w:val="0"/>
        <w:kinsoku/>
        <w:wordWrap/>
        <w:overflowPunct/>
        <w:topLinePunct w:val="0"/>
        <w:autoSpaceDE/>
        <w:autoSpaceDN/>
        <w:bidi w:val="0"/>
        <w:adjustRightInd/>
        <w:snapToGrid/>
        <w:spacing w:beforeAutospacing="0" w:afterAutospacing="0" w:line="560" w:lineRule="atLeast"/>
        <w:ind w:firstLine="641"/>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新农计[2020]52号《关于印发2020年自治区农业生产发展资金总体方案等20个项目实施方案的通知》文件精神，为推动“十四五”规划及贯彻落实乡村振兴战略发展要求，不断提升新型农业经营主体负责人管理能力尤为重要，因此，地区农村合作经济发展中心，积极申请社会化服务项目，并对辖区的小农户开展农业产业生产服务，以提高小农户增产增收，通过项目支持提高产业基地标准化、集约化、科学化、高效化能力，更好带动农牧民可持续增收。</w:t>
      </w:r>
    </w:p>
    <w:p>
      <w:pPr>
        <w:pageBreakBefore w:val="0"/>
        <w:kinsoku/>
        <w:wordWrap/>
        <w:overflowPunct/>
        <w:topLinePunct w:val="0"/>
        <w:autoSpaceDE/>
        <w:autoSpaceDN/>
        <w:bidi w:val="0"/>
        <w:adjustRightInd/>
        <w:snapToGrid/>
        <w:spacing w:beforeAutospacing="0" w:afterAutospacing="0" w:line="560" w:lineRule="atLeast"/>
        <w:ind w:firstLine="641"/>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sz w:val="32"/>
          <w:szCs w:val="32"/>
        </w:rPr>
        <w:t>项目主要内容及实施情况</w:t>
      </w:r>
    </w:p>
    <w:p>
      <w:pPr>
        <w:pageBreakBefore w:val="0"/>
        <w:kinsoku/>
        <w:wordWrap/>
        <w:overflowPunct/>
        <w:topLinePunct w:val="0"/>
        <w:autoSpaceDE/>
        <w:autoSpaceDN/>
        <w:bidi w:val="0"/>
        <w:adjustRightInd/>
        <w:snapToGrid/>
        <w:spacing w:beforeAutospacing="0" w:afterAutospacing="0" w:line="560" w:lineRule="atLeast"/>
        <w:ind w:firstLine="641"/>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主要内容：2020年塔城地区承担社会化服务项目资金总额7.08万元，按照项目方案的要求，由地区农村合作经济经发展中心具体实施，塔城地区农业农村局项目领导小组具体组织验收。项目由地区农村合作经济经发展中心承担</w:t>
      </w:r>
      <w:r>
        <w:rPr>
          <w:rFonts w:hint="eastAsia" w:ascii="仿宋_GB2312" w:hAnsi="仿宋_GB2312" w:eastAsia="仿宋_GB2312" w:cs="仿宋_GB2312"/>
          <w:sz w:val="32"/>
          <w:szCs w:val="32"/>
          <w:lang w:eastAsia="zh-CN"/>
        </w:rPr>
        <w:t>，主要</w:t>
      </w:r>
      <w:r>
        <w:rPr>
          <w:rFonts w:hint="eastAsia" w:ascii="仿宋_GB2312" w:hAnsi="仿宋_GB2312" w:eastAsia="仿宋_GB2312" w:cs="仿宋_GB2312"/>
          <w:sz w:val="32"/>
          <w:szCs w:val="32"/>
        </w:rPr>
        <w:t>培训</w:t>
      </w:r>
      <w:r>
        <w:rPr>
          <w:rFonts w:hint="eastAsia" w:ascii="仿宋_GB2312" w:hAnsi="仿宋_GB2312" w:eastAsia="仿宋_GB2312" w:cs="仿宋_GB2312"/>
          <w:sz w:val="32"/>
          <w:szCs w:val="32"/>
          <w:lang w:eastAsia="zh-CN"/>
        </w:rPr>
        <w:t>各</w:t>
      </w:r>
      <w:r>
        <w:rPr>
          <w:rFonts w:hint="eastAsia" w:ascii="仿宋_GB2312" w:hAnsi="仿宋_GB2312" w:eastAsia="仿宋_GB2312" w:cs="仿宋_GB2312"/>
          <w:sz w:val="32"/>
          <w:szCs w:val="32"/>
        </w:rPr>
        <w:t>县（市）</w:t>
      </w:r>
      <w:r>
        <w:rPr>
          <w:rFonts w:hint="eastAsia" w:ascii="仿宋_GB2312" w:hAnsi="仿宋_GB2312" w:eastAsia="仿宋_GB2312" w:cs="仿宋_GB2312"/>
          <w:sz w:val="32"/>
          <w:szCs w:val="32"/>
          <w:lang w:eastAsia="zh-CN"/>
        </w:rPr>
        <w:t>农民合作社</w:t>
      </w:r>
      <w:r>
        <w:rPr>
          <w:rFonts w:hint="eastAsia" w:ascii="仿宋_GB2312" w:hAnsi="仿宋_GB2312" w:eastAsia="仿宋_GB2312" w:cs="仿宋_GB2312"/>
          <w:sz w:val="32"/>
          <w:szCs w:val="32"/>
        </w:rPr>
        <w:t>理事长</w:t>
      </w:r>
      <w:r>
        <w:rPr>
          <w:rFonts w:hint="eastAsia" w:ascii="仿宋_GB2312" w:hAnsi="仿宋_GB2312" w:eastAsia="仿宋_GB2312" w:cs="仿宋_GB2312"/>
          <w:sz w:val="32"/>
          <w:szCs w:val="32"/>
          <w:lang w:eastAsia="zh-CN"/>
        </w:rPr>
        <w:t>、辅导员</w:t>
      </w:r>
      <w:r>
        <w:rPr>
          <w:rFonts w:hint="eastAsia" w:ascii="仿宋_GB2312" w:hAnsi="仿宋_GB2312" w:eastAsia="仿宋_GB2312" w:cs="仿宋_GB2312"/>
          <w:sz w:val="32"/>
          <w:szCs w:val="32"/>
        </w:rPr>
        <w:t>。社会化服务项目实施后，有效</w:t>
      </w:r>
      <w:r>
        <w:rPr>
          <w:rFonts w:hint="eastAsia" w:ascii="仿宋_GB2312" w:hAnsi="仿宋_GB2312" w:eastAsia="仿宋_GB2312" w:cs="仿宋_GB2312"/>
          <w:sz w:val="32"/>
          <w:szCs w:val="32"/>
          <w:lang w:eastAsia="zh-CN"/>
        </w:rPr>
        <w:t>提高了</w:t>
      </w:r>
      <w:r>
        <w:rPr>
          <w:rFonts w:hint="eastAsia" w:ascii="仿宋_GB2312" w:hAnsi="仿宋_GB2312" w:eastAsia="仿宋_GB2312" w:cs="仿宋_GB2312"/>
          <w:sz w:val="32"/>
          <w:szCs w:val="32"/>
        </w:rPr>
        <w:t>合作社理事长</w:t>
      </w:r>
      <w:r>
        <w:rPr>
          <w:rFonts w:hint="eastAsia" w:ascii="仿宋_GB2312" w:hAnsi="仿宋_GB2312" w:eastAsia="仿宋_GB2312" w:cs="仿宋_GB2312"/>
          <w:sz w:val="32"/>
          <w:szCs w:val="32"/>
          <w:lang w:eastAsia="zh-CN"/>
        </w:rPr>
        <w:t>及</w:t>
      </w:r>
      <w:r>
        <w:rPr>
          <w:rFonts w:hint="eastAsia" w:ascii="仿宋_GB2312" w:hAnsi="仿宋_GB2312" w:eastAsia="仿宋_GB2312" w:cs="仿宋_GB2312"/>
          <w:sz w:val="32"/>
          <w:szCs w:val="32"/>
        </w:rPr>
        <w:t>辅导员</w:t>
      </w:r>
      <w:r>
        <w:rPr>
          <w:rFonts w:hint="eastAsia" w:ascii="仿宋_GB2312" w:hAnsi="仿宋_GB2312" w:eastAsia="仿宋_GB2312" w:cs="仿宋_GB2312"/>
          <w:sz w:val="32"/>
          <w:szCs w:val="32"/>
          <w:lang w:eastAsia="zh-CN"/>
        </w:rPr>
        <w:t>综合素质，使</w:t>
      </w:r>
      <w:r>
        <w:rPr>
          <w:rFonts w:hint="eastAsia" w:ascii="仿宋_GB2312" w:hAnsi="仿宋_GB2312" w:eastAsia="仿宋_GB2312" w:cs="仿宋_GB2312"/>
          <w:sz w:val="32"/>
          <w:szCs w:val="32"/>
        </w:rPr>
        <w:t>合作社管理</w:t>
      </w:r>
      <w:r>
        <w:rPr>
          <w:rFonts w:hint="eastAsia" w:ascii="仿宋_GB2312" w:hAnsi="仿宋_GB2312" w:eastAsia="仿宋_GB2312" w:cs="仿宋_GB2312"/>
          <w:sz w:val="32"/>
          <w:szCs w:val="32"/>
          <w:lang w:eastAsia="zh-CN"/>
        </w:rPr>
        <w:t>更加</w:t>
      </w:r>
      <w:r>
        <w:rPr>
          <w:rFonts w:hint="eastAsia" w:ascii="仿宋_GB2312" w:hAnsi="仿宋_GB2312" w:eastAsia="仿宋_GB2312" w:cs="仿宋_GB2312"/>
          <w:sz w:val="32"/>
          <w:szCs w:val="32"/>
        </w:rPr>
        <w:t>规范，完工率100%。</w:t>
      </w:r>
    </w:p>
    <w:p>
      <w:pPr>
        <w:pageBreakBefore w:val="0"/>
        <w:kinsoku/>
        <w:wordWrap/>
        <w:overflowPunct/>
        <w:topLinePunct w:val="0"/>
        <w:autoSpaceDE/>
        <w:autoSpaceDN/>
        <w:bidi w:val="0"/>
        <w:adjustRightInd/>
        <w:snapToGrid/>
        <w:spacing w:beforeAutospacing="0" w:afterAutospacing="0" w:line="560" w:lineRule="atLeast"/>
        <w:ind w:firstLine="641"/>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项目实施情况：项目目前已经完成实际设立的目标，项目在实施过程中严格按照目标设立的各阶段任务开展工作，在前期立项过程中严格把</w:t>
      </w:r>
      <w:r>
        <w:rPr>
          <w:rFonts w:hint="eastAsia" w:ascii="仿宋_GB2312" w:hAnsi="仿宋_GB2312" w:eastAsia="仿宋_GB2312" w:cs="仿宋_GB2312"/>
          <w:sz w:val="32"/>
          <w:szCs w:val="32"/>
          <w:lang w:eastAsia="zh-CN"/>
        </w:rPr>
        <w:t>好审核</w:t>
      </w:r>
      <w:r>
        <w:rPr>
          <w:rFonts w:hint="eastAsia" w:ascii="仿宋_GB2312" w:hAnsi="仿宋_GB2312" w:eastAsia="仿宋_GB2312" w:cs="仿宋_GB2312"/>
          <w:sz w:val="32"/>
          <w:szCs w:val="32"/>
        </w:rPr>
        <w:t>质量关，制定培训方案，</w:t>
      </w:r>
      <w:r>
        <w:rPr>
          <w:rFonts w:hint="eastAsia" w:ascii="仿宋_GB2312" w:hAnsi="仿宋_GB2312" w:eastAsia="仿宋_GB2312" w:cs="仿宋_GB2312"/>
          <w:sz w:val="32"/>
          <w:szCs w:val="32"/>
          <w:lang w:eastAsia="zh-CN"/>
        </w:rPr>
        <w:t>成立领导小组，做好</w:t>
      </w:r>
      <w:r>
        <w:rPr>
          <w:rFonts w:hint="eastAsia" w:ascii="仿宋_GB2312" w:hAnsi="仿宋_GB2312" w:eastAsia="仿宋_GB2312" w:cs="仿宋_GB2312"/>
          <w:sz w:val="32"/>
          <w:szCs w:val="32"/>
        </w:rPr>
        <w:t>安全防护机制，保证项目实施各阶段安全顺利进行。</w:t>
      </w:r>
    </w:p>
    <w:p>
      <w:pPr>
        <w:pageBreakBefore w:val="0"/>
        <w:kinsoku/>
        <w:wordWrap/>
        <w:overflowPunct/>
        <w:topLinePunct w:val="0"/>
        <w:autoSpaceDE/>
        <w:autoSpaceDN/>
        <w:bidi w:val="0"/>
        <w:adjustRightInd/>
        <w:snapToGrid/>
        <w:spacing w:beforeAutospacing="0" w:afterAutospacing="0" w:line="560" w:lineRule="atLeast"/>
        <w:ind w:firstLine="641"/>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本项目总投资7.08万元，其中：财政本级资金0万元。项目实际支出7.08万元， 支出率为100 %。</w:t>
      </w:r>
    </w:p>
    <w:p>
      <w:pPr>
        <w:pageBreakBefore w:val="0"/>
        <w:kinsoku/>
        <w:wordWrap/>
        <w:overflowPunct/>
        <w:topLinePunct w:val="0"/>
        <w:autoSpaceDE/>
        <w:autoSpaceDN/>
        <w:bidi w:val="0"/>
        <w:adjustRightInd/>
        <w:snapToGrid/>
        <w:spacing w:beforeAutospacing="0" w:afterAutospacing="0" w:line="560" w:lineRule="atLeast"/>
        <w:ind w:firstLine="641"/>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3、资金投入和使用情况</w:t>
      </w:r>
    </w:p>
    <w:p>
      <w:pPr>
        <w:pageBreakBefore w:val="0"/>
        <w:kinsoku/>
        <w:wordWrap/>
        <w:overflowPunct/>
        <w:topLinePunct w:val="0"/>
        <w:autoSpaceDE/>
        <w:autoSpaceDN/>
        <w:bidi w:val="0"/>
        <w:adjustRightInd/>
        <w:snapToGrid/>
        <w:spacing w:beforeAutospacing="0" w:afterAutospacing="0" w:line="560" w:lineRule="atLeast"/>
        <w:ind w:firstLine="641"/>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（1）资金安排</w:t>
      </w:r>
    </w:p>
    <w:p>
      <w:pPr>
        <w:pageBreakBefore w:val="0"/>
        <w:kinsoku/>
        <w:wordWrap/>
        <w:overflowPunct/>
        <w:topLinePunct w:val="0"/>
        <w:autoSpaceDE/>
        <w:autoSpaceDN/>
        <w:bidi w:val="0"/>
        <w:adjustRightInd/>
        <w:snapToGrid/>
        <w:spacing w:beforeAutospacing="0" w:afterAutospacing="0" w:line="560" w:lineRule="atLeast"/>
        <w:ind w:firstLine="641"/>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总投资7.08万元，按照单位财务制度等相关规定，资金支出符合社会化服务专项资金费用范围，做到了专款专用。在项目资金拨付和使用过程中，为确保项目资金的安全性，提高项目资金使用效率，严格遵循资金的拨付程序，认真审核项目实施各阶段的相关材料和手续，根据项目实施进展情况拨付资金。</w:t>
      </w:r>
    </w:p>
    <w:p>
      <w:pPr>
        <w:pageBreakBefore w:val="0"/>
        <w:kinsoku/>
        <w:wordWrap/>
        <w:overflowPunct/>
        <w:topLinePunct w:val="0"/>
        <w:autoSpaceDE/>
        <w:autoSpaceDN/>
        <w:bidi w:val="0"/>
        <w:adjustRightInd/>
        <w:snapToGrid/>
        <w:spacing w:beforeAutospacing="0" w:afterAutospacing="0" w:line="560" w:lineRule="atLeast"/>
        <w:ind w:firstLine="641"/>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（2）预算资金来源及使用情况</w:t>
      </w:r>
      <w:bookmarkStart w:id="0" w:name="page10"/>
      <w:bookmarkEnd w:id="0"/>
    </w:p>
    <w:p>
      <w:pPr>
        <w:pageBreakBefore w:val="0"/>
        <w:kinsoku/>
        <w:wordWrap/>
        <w:overflowPunct/>
        <w:topLinePunct w:val="0"/>
        <w:autoSpaceDE/>
        <w:autoSpaceDN/>
        <w:bidi w:val="0"/>
        <w:adjustRightInd/>
        <w:snapToGrid/>
        <w:spacing w:beforeAutospacing="0" w:afterAutospacing="0" w:line="560" w:lineRule="atLeast"/>
        <w:ind w:firstLine="641"/>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项目预算资金来源于新农计[2020]52号文件中批复的资金，项目资金到位7.08万元，用于支付项目实施进程中的各项费用。</w:t>
      </w:r>
    </w:p>
    <w:p>
      <w:pPr>
        <w:pageBreakBefore w:val="0"/>
        <w:kinsoku/>
        <w:wordWrap/>
        <w:overflowPunct/>
        <w:topLinePunct w:val="0"/>
        <w:autoSpaceDE/>
        <w:autoSpaceDN/>
        <w:bidi w:val="0"/>
        <w:adjustRightInd/>
        <w:snapToGrid/>
        <w:spacing w:beforeAutospacing="0" w:afterAutospacing="0" w:line="560" w:lineRule="atLeast"/>
        <w:ind w:firstLine="641"/>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（二）项目绩效目标</w:t>
      </w:r>
    </w:p>
    <w:p>
      <w:pPr>
        <w:pageBreakBefore w:val="0"/>
        <w:kinsoku/>
        <w:wordWrap/>
        <w:overflowPunct/>
        <w:topLinePunct w:val="0"/>
        <w:autoSpaceDE/>
        <w:autoSpaceDN/>
        <w:bidi w:val="0"/>
        <w:adjustRightInd/>
        <w:snapToGrid/>
        <w:spacing w:beforeAutospacing="0" w:afterAutospacing="0" w:line="560" w:lineRule="atLeast"/>
        <w:ind w:firstLine="641"/>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1、总体目标</w:t>
      </w:r>
    </w:p>
    <w:p>
      <w:pPr>
        <w:pageBreakBefore w:val="0"/>
        <w:kinsoku/>
        <w:wordWrap/>
        <w:overflowPunct/>
        <w:topLinePunct w:val="0"/>
        <w:autoSpaceDE/>
        <w:autoSpaceDN/>
        <w:bidi w:val="0"/>
        <w:adjustRightInd/>
        <w:snapToGrid/>
        <w:spacing w:beforeAutospacing="0" w:afterAutospacing="0" w:line="560" w:lineRule="atLeast"/>
        <w:ind w:firstLine="641"/>
        <w:textAlignment w:val="auto"/>
        <w:rPr>
          <w:rFonts w:hint="eastAsia" w:ascii="仿宋_GB2312" w:hAnsi="仿宋_GB2312" w:eastAsia="仿宋_GB2312" w:cs="仿宋_GB2312"/>
          <w:sz w:val="32"/>
          <w:szCs w:val="32"/>
        </w:rPr>
      </w:pPr>
      <w:bookmarkStart w:id="1" w:name="_Toc38620989"/>
      <w:r>
        <w:rPr>
          <w:rFonts w:hint="eastAsia" w:ascii="仿宋_GB2312" w:hAnsi="仿宋_GB2312" w:eastAsia="仿宋_GB2312" w:cs="仿宋_GB2312"/>
          <w:sz w:val="32"/>
          <w:szCs w:val="32"/>
        </w:rPr>
        <w:t>2020年社会化服务项目工作经费7.08万元，地区农村合作经济发展中心严格按照财务管理制度规定，细化支出范围与标准，实地督导合作社规范发展，培训合作社辅导员及理事长，加快培育新型经营主体，全面推进农业供给侧改革，实现传统农业向现代农业的转型升级。</w:t>
      </w:r>
      <w:bookmarkEnd w:id="1"/>
    </w:p>
    <w:p>
      <w:pPr>
        <w:pageBreakBefore w:val="0"/>
        <w:kinsoku/>
        <w:wordWrap/>
        <w:overflowPunct/>
        <w:topLinePunct w:val="0"/>
        <w:autoSpaceDE/>
        <w:autoSpaceDN/>
        <w:bidi w:val="0"/>
        <w:adjustRightInd/>
        <w:snapToGrid/>
        <w:spacing w:beforeAutospacing="0" w:afterAutospacing="0" w:line="560" w:lineRule="atLeast"/>
        <w:ind w:firstLine="641"/>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2、阶段性目标</w:t>
      </w:r>
    </w:p>
    <w:p>
      <w:pPr>
        <w:pageBreakBefore w:val="0"/>
        <w:kinsoku/>
        <w:wordWrap/>
        <w:overflowPunct/>
        <w:topLinePunct w:val="0"/>
        <w:autoSpaceDE/>
        <w:autoSpaceDN/>
        <w:bidi w:val="0"/>
        <w:adjustRightInd/>
        <w:snapToGrid/>
        <w:spacing w:beforeAutospacing="0" w:afterAutospacing="0" w:line="560" w:lineRule="atLeast"/>
        <w:ind w:firstLine="641"/>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前期准备：根据《2020年社会化服务项目方案》，通过制定项目实施方案，经项目负责人审核通过后，有序开展后续工程。报农业农村局党组会议研究，进行公开招标、推荐相关实施主体。确定实施主体后，进行政府网上公示，公示无意义后逐步开展相关工作。</w:t>
      </w:r>
    </w:p>
    <w:p>
      <w:pPr>
        <w:pageBreakBefore w:val="0"/>
        <w:kinsoku/>
        <w:wordWrap/>
        <w:overflowPunct/>
        <w:topLinePunct w:val="0"/>
        <w:autoSpaceDE/>
        <w:autoSpaceDN/>
        <w:bidi w:val="0"/>
        <w:adjustRightInd/>
        <w:snapToGrid/>
        <w:spacing w:beforeAutospacing="0" w:afterAutospacing="0" w:line="560" w:lineRule="atLeast"/>
        <w:ind w:firstLine="641"/>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（2）组织实施：资金一到位，立即根据项目要求实施项目。项目责任人按照《2020年社会化服务培训项目方案》要求逐一进行项目部署安排，但</w:t>
      </w:r>
      <w:r>
        <w:rPr>
          <w:rFonts w:hint="eastAsia" w:ascii="仿宋_GB2312" w:hAnsi="仿宋_GB2312" w:eastAsia="仿宋_GB2312" w:cs="仿宋_GB2312"/>
          <w:sz w:val="32"/>
          <w:szCs w:val="32"/>
          <w:lang w:eastAsia="zh-CN"/>
        </w:rPr>
        <w:t>传染病防控</w:t>
      </w:r>
      <w:r>
        <w:rPr>
          <w:rFonts w:hint="eastAsia" w:ascii="仿宋_GB2312" w:hAnsi="仿宋_GB2312" w:eastAsia="仿宋_GB2312" w:cs="仿宋_GB2312"/>
          <w:sz w:val="32"/>
          <w:szCs w:val="32"/>
        </w:rPr>
        <w:t>使工作一推再推。通知相关项目培训县（市）人员积极性比较高，报名踊跃，在项目工作组织上地区农村合作经济发展中心比较重视，认真按照安全第一的思想，同时也认真审核讲课内容，确保培训及安全、培训又要有成效。</w:t>
      </w:r>
    </w:p>
    <w:p>
      <w:pPr>
        <w:pageBreakBefore w:val="0"/>
        <w:kinsoku/>
        <w:wordWrap/>
        <w:overflowPunct/>
        <w:topLinePunct w:val="0"/>
        <w:autoSpaceDE/>
        <w:autoSpaceDN/>
        <w:bidi w:val="0"/>
        <w:adjustRightInd/>
        <w:snapToGrid/>
        <w:spacing w:beforeAutospacing="0" w:afterAutospacing="0" w:line="560" w:lineRule="atLeast"/>
        <w:ind w:firstLine="641"/>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二、绩效评价工作开展情况</w:t>
      </w:r>
    </w:p>
    <w:p>
      <w:pPr>
        <w:pageBreakBefore w:val="0"/>
        <w:kinsoku/>
        <w:wordWrap/>
        <w:overflowPunct/>
        <w:topLinePunct w:val="0"/>
        <w:autoSpaceDE/>
        <w:autoSpaceDN/>
        <w:bidi w:val="0"/>
        <w:adjustRightInd/>
        <w:snapToGrid/>
        <w:spacing w:beforeAutospacing="0" w:afterAutospacing="0" w:line="560" w:lineRule="atLeast"/>
        <w:ind w:firstLine="641"/>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rPr>
        <w:t>（一）绩效评价目的、对象和范围。</w:t>
      </w:r>
    </w:p>
    <w:p>
      <w:pPr>
        <w:pStyle w:val="18"/>
        <w:pageBreakBefore w:val="0"/>
        <w:widowControl w:val="0"/>
        <w:kinsoku/>
        <w:wordWrap/>
        <w:overflowPunct/>
        <w:topLinePunct w:val="0"/>
        <w:autoSpaceDE/>
        <w:autoSpaceDN/>
        <w:bidi w:val="0"/>
        <w:adjustRightInd/>
        <w:snapToGrid/>
        <w:spacing w:before="0" w:beforeAutospacing="0" w:after="0" w:afterAutospacing="0" w:line="560" w:lineRule="atLeas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1、绩效评价的目的</w:t>
      </w:r>
    </w:p>
    <w:p>
      <w:pPr>
        <w:pageBreakBefore w:val="0"/>
        <w:kinsoku/>
        <w:wordWrap/>
        <w:overflowPunct/>
        <w:topLinePunct w:val="0"/>
        <w:autoSpaceDE/>
        <w:autoSpaceDN/>
        <w:bidi w:val="0"/>
        <w:adjustRightInd/>
        <w:snapToGrid/>
        <w:spacing w:beforeAutospacing="0" w:afterAutospacing="0" w:line="560" w:lineRule="atLeas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pageBreakBefore w:val="0"/>
        <w:numPr>
          <w:ilvl w:val="0"/>
          <w:numId w:val="1"/>
        </w:numPr>
        <w:kinsoku/>
        <w:wordWrap/>
        <w:overflowPunct/>
        <w:topLinePunct w:val="0"/>
        <w:autoSpaceDE/>
        <w:autoSpaceDN/>
        <w:bidi w:val="0"/>
        <w:adjustRightInd/>
        <w:snapToGrid/>
        <w:spacing w:beforeAutospacing="0" w:afterAutospacing="0" w:line="560" w:lineRule="atLeas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项目在实施前向项目负责人提供财政支出绩效方面的资金管理信息，促进项目支出严格按照资金管理规定进行。</w:t>
      </w:r>
    </w:p>
    <w:p>
      <w:pPr>
        <w:pageBreakBefore w:val="0"/>
        <w:kinsoku/>
        <w:wordWrap/>
        <w:overflowPunct/>
        <w:topLinePunct w:val="0"/>
        <w:autoSpaceDE/>
        <w:autoSpaceDN/>
        <w:bidi w:val="0"/>
        <w:adjustRightInd/>
        <w:snapToGrid/>
        <w:spacing w:beforeAutospacing="0" w:afterAutospacing="0" w:line="560" w:lineRule="atLeast"/>
        <w:ind w:left="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（2）项目绩效管理财政支出运行提供及时、有效的信息。</w:t>
      </w:r>
    </w:p>
    <w:p>
      <w:pPr>
        <w:pageBreakBefore w:val="0"/>
        <w:kinsoku/>
        <w:wordWrap/>
        <w:overflowPunct/>
        <w:topLinePunct w:val="0"/>
        <w:autoSpaceDE/>
        <w:autoSpaceDN/>
        <w:bidi w:val="0"/>
        <w:adjustRightInd/>
        <w:snapToGrid/>
        <w:spacing w:beforeAutospacing="0" w:afterAutospacing="0" w:line="560" w:lineRule="atLeas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综合来看，通过开展有效的财政支出绩效评价管理，达到改进预算管理、控制节约成本，提高预算资金使用效益的目的。</w:t>
      </w:r>
    </w:p>
    <w:p>
      <w:pPr>
        <w:pStyle w:val="18"/>
        <w:pageBreakBefore w:val="0"/>
        <w:widowControl w:val="0"/>
        <w:numPr>
          <w:ilvl w:val="0"/>
          <w:numId w:val="2"/>
        </w:numPr>
        <w:kinsoku/>
        <w:wordWrap/>
        <w:overflowPunct/>
        <w:topLinePunct w:val="0"/>
        <w:autoSpaceDE/>
        <w:autoSpaceDN/>
        <w:bidi w:val="0"/>
        <w:adjustRightInd/>
        <w:snapToGrid/>
        <w:spacing w:before="0" w:beforeAutospacing="0" w:after="0" w:afterAutospacing="0" w:line="560" w:lineRule="atLeast"/>
        <w:ind w:firstLine="641"/>
        <w:jc w:val="both"/>
        <w:textAlignment w:val="auto"/>
        <w:outlineLvl w:val="9"/>
        <w:rPr>
          <w:rFonts w:hint="eastAsia" w:ascii="仿宋_GB2312" w:hAnsi="仿宋_GB2312" w:eastAsia="仿宋_GB2312" w:cs="仿宋_GB2312"/>
          <w:b/>
          <w:bCs/>
        </w:rPr>
      </w:pPr>
      <w:r>
        <w:rPr>
          <w:rFonts w:hint="eastAsia" w:ascii="仿宋_GB2312" w:hAnsi="仿宋_GB2312" w:eastAsia="仿宋_GB2312" w:cs="仿宋_GB2312"/>
          <w:b/>
          <w:bCs/>
        </w:rPr>
        <w:t>绩效评价的对象</w:t>
      </w:r>
    </w:p>
    <w:p>
      <w:pPr>
        <w:pageBreakBefore w:val="0"/>
        <w:kinsoku/>
        <w:wordWrap/>
        <w:overflowPunct/>
        <w:topLinePunct w:val="0"/>
        <w:autoSpaceDE/>
        <w:autoSpaceDN/>
        <w:bidi w:val="0"/>
        <w:adjustRightInd/>
        <w:snapToGrid/>
        <w:spacing w:beforeAutospacing="0" w:afterAutospacing="0" w:line="560" w:lineRule="atLeast"/>
        <w:ind w:firstLine="641"/>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评价对象为社会化服务项目。</w:t>
      </w:r>
    </w:p>
    <w:p>
      <w:pPr>
        <w:pStyle w:val="18"/>
        <w:pageBreakBefore w:val="0"/>
        <w:widowControl w:val="0"/>
        <w:kinsoku/>
        <w:wordWrap/>
        <w:overflowPunct/>
        <w:topLinePunct w:val="0"/>
        <w:autoSpaceDE/>
        <w:autoSpaceDN/>
        <w:bidi w:val="0"/>
        <w:adjustRightInd/>
        <w:snapToGrid/>
        <w:spacing w:before="0" w:beforeAutospacing="0" w:after="0" w:afterAutospacing="0" w:line="560" w:lineRule="atLeast"/>
        <w:ind w:firstLine="641"/>
        <w:jc w:val="both"/>
        <w:textAlignment w:val="auto"/>
        <w:outlineLvl w:val="9"/>
        <w:rPr>
          <w:rFonts w:hint="eastAsia" w:ascii="仿宋_GB2312" w:hAnsi="仿宋_GB2312" w:eastAsia="仿宋_GB2312" w:cs="仿宋_GB2312"/>
          <w:b/>
          <w:bCs/>
        </w:rPr>
      </w:pPr>
      <w:r>
        <w:rPr>
          <w:rFonts w:hint="eastAsia" w:ascii="仿宋_GB2312" w:hAnsi="仿宋_GB2312" w:eastAsia="仿宋_GB2312" w:cs="仿宋_GB2312"/>
          <w:b/>
          <w:bCs/>
        </w:rPr>
        <w:t>3、绩效评价的范围</w:t>
      </w:r>
    </w:p>
    <w:p>
      <w:pPr>
        <w:pageBreakBefore w:val="0"/>
        <w:kinsoku/>
        <w:wordWrap/>
        <w:overflowPunct/>
        <w:topLinePunct w:val="0"/>
        <w:autoSpaceDE/>
        <w:autoSpaceDN/>
        <w:bidi w:val="0"/>
        <w:adjustRightInd/>
        <w:snapToGrid/>
        <w:spacing w:beforeAutospacing="0" w:afterAutospacing="0" w:line="560" w:lineRule="atLeast"/>
        <w:ind w:firstLine="641"/>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本次评价主要是对“2020年自治区农业生产社会化服务项目”的资金到位、使用、管理以及取得的绩效进行全方位、综合性</w:t>
      </w:r>
      <w:r>
        <w:rPr>
          <w:rFonts w:hint="eastAsia" w:ascii="仿宋_GB2312" w:hAnsi="仿宋_GB2312" w:eastAsia="仿宋_GB2312" w:cs="仿宋_GB2312"/>
          <w:sz w:val="32"/>
          <w:szCs w:val="32"/>
          <w:lang w:val="en-US" w:eastAsia="zh-CN"/>
        </w:rPr>
        <w:t>进行评价。</w:t>
      </w:r>
    </w:p>
    <w:p>
      <w:pPr>
        <w:pageBreakBefore w:val="0"/>
        <w:kinsoku/>
        <w:wordWrap/>
        <w:overflowPunct/>
        <w:topLinePunct w:val="0"/>
        <w:autoSpaceDE/>
        <w:autoSpaceDN/>
        <w:bidi w:val="0"/>
        <w:adjustRightInd/>
        <w:snapToGrid/>
        <w:spacing w:beforeAutospacing="0" w:afterAutospacing="0" w:line="560" w:lineRule="atLeast"/>
        <w:ind w:firstLine="641"/>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rPr>
        <w:t>（二）绩效评价原则、评价指标体系（附表说明）、评价方法、评价标准等。</w:t>
      </w:r>
      <w:r>
        <w:rPr>
          <w:rFonts w:hint="eastAsia" w:ascii="仿宋_GB2312" w:hAnsi="仿宋_GB2312" w:eastAsia="仿宋_GB2312" w:cs="仿宋_GB2312"/>
          <w:b/>
          <w:bCs/>
          <w:sz w:val="32"/>
          <w:szCs w:val="32"/>
          <w:lang w:val="en-US" w:eastAsia="zh-CN"/>
        </w:rPr>
        <w:t xml:space="preserve">     </w:t>
      </w:r>
    </w:p>
    <w:p>
      <w:pPr>
        <w:pageBreakBefore w:val="0"/>
        <w:kinsoku/>
        <w:wordWrap/>
        <w:overflowPunct/>
        <w:topLinePunct w:val="0"/>
        <w:autoSpaceDE/>
        <w:autoSpaceDN/>
        <w:bidi w:val="0"/>
        <w:adjustRightInd/>
        <w:snapToGrid/>
        <w:spacing w:beforeAutospacing="0" w:afterAutospacing="0" w:line="560" w:lineRule="atLeast"/>
        <w:ind w:firstLine="641"/>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1、绩效评价原则</w:t>
      </w:r>
    </w:p>
    <w:p>
      <w:pPr>
        <w:pageBreakBefore w:val="0"/>
        <w:kinsoku/>
        <w:wordWrap/>
        <w:overflowPunct/>
        <w:topLinePunct w:val="0"/>
        <w:autoSpaceDE/>
        <w:autoSpaceDN/>
        <w:bidi w:val="0"/>
        <w:adjustRightInd/>
        <w:snapToGrid/>
        <w:spacing w:beforeAutospacing="0" w:afterAutospacing="0" w:line="560" w:lineRule="atLeast"/>
        <w:ind w:firstLine="641"/>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本次项目绩效评价遵循以下基本原则：</w:t>
      </w:r>
    </w:p>
    <w:p>
      <w:pPr>
        <w:pStyle w:val="18"/>
        <w:pageBreakBefore w:val="0"/>
        <w:kinsoku/>
        <w:wordWrap/>
        <w:overflowPunct/>
        <w:topLinePunct w:val="0"/>
        <w:autoSpaceDE/>
        <w:autoSpaceDN/>
        <w:bidi w:val="0"/>
        <w:adjustRightInd/>
        <w:snapToGrid/>
        <w:spacing w:before="0" w:beforeAutospacing="0" w:after="0" w:afterAutospacing="0" w:line="560" w:lineRule="atLeast"/>
        <w:ind w:firstLine="641"/>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（1）科学公正。绩效评价应当运用科学合理的方法，按照规范的程序，对项目绩效进行客观、公正的反映。</w:t>
      </w:r>
    </w:p>
    <w:p>
      <w:pPr>
        <w:pStyle w:val="18"/>
        <w:pageBreakBefore w:val="0"/>
        <w:kinsoku/>
        <w:wordWrap/>
        <w:overflowPunct/>
        <w:topLinePunct w:val="0"/>
        <w:autoSpaceDE/>
        <w:autoSpaceDN/>
        <w:bidi w:val="0"/>
        <w:adjustRightInd/>
        <w:snapToGrid/>
        <w:spacing w:before="0" w:beforeAutospacing="0" w:after="0" w:afterAutospacing="0" w:line="560" w:lineRule="atLeast"/>
        <w:ind w:firstLine="641"/>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18"/>
        <w:pageBreakBefore w:val="0"/>
        <w:kinsoku/>
        <w:wordWrap/>
        <w:overflowPunct/>
        <w:topLinePunct w:val="0"/>
        <w:autoSpaceDE/>
        <w:autoSpaceDN/>
        <w:bidi w:val="0"/>
        <w:adjustRightInd/>
        <w:snapToGrid/>
        <w:spacing w:before="0" w:beforeAutospacing="0" w:after="0" w:afterAutospacing="0" w:line="560" w:lineRule="atLeast"/>
        <w:ind w:firstLine="641"/>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（3）激励约束。绩效评价结果应与预算安排、政策调整、改进管理实质性挂钩，体现奖优罚劣和激励相容导向，有效要安排、低效要压减、无效要问责。</w:t>
      </w:r>
    </w:p>
    <w:p>
      <w:pPr>
        <w:pStyle w:val="18"/>
        <w:pageBreakBefore w:val="0"/>
        <w:kinsoku/>
        <w:wordWrap/>
        <w:overflowPunct/>
        <w:topLinePunct w:val="0"/>
        <w:autoSpaceDE/>
        <w:autoSpaceDN/>
        <w:bidi w:val="0"/>
        <w:adjustRightInd/>
        <w:snapToGrid/>
        <w:spacing w:before="0" w:beforeAutospacing="0" w:after="0" w:afterAutospacing="0" w:line="560" w:lineRule="atLeast"/>
        <w:ind w:firstLine="641"/>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（4）公开透明。绩效评价结果应依法依规公开，并自觉接受社会监督。</w:t>
      </w:r>
    </w:p>
    <w:p>
      <w:pPr>
        <w:pStyle w:val="18"/>
        <w:pageBreakBefore w:val="0"/>
        <w:widowControl w:val="0"/>
        <w:kinsoku/>
        <w:wordWrap/>
        <w:overflowPunct/>
        <w:topLinePunct w:val="0"/>
        <w:autoSpaceDE/>
        <w:autoSpaceDN/>
        <w:bidi w:val="0"/>
        <w:adjustRightInd/>
        <w:snapToGrid/>
        <w:spacing w:before="0" w:beforeAutospacing="0" w:after="0" w:afterAutospacing="0" w:line="560" w:lineRule="atLeas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2、评价指标体系</w:t>
      </w:r>
    </w:p>
    <w:p>
      <w:pPr>
        <w:pageBreakBefore w:val="0"/>
        <w:kinsoku/>
        <w:wordWrap/>
        <w:overflowPunct/>
        <w:topLinePunct w:val="0"/>
        <w:autoSpaceDE/>
        <w:autoSpaceDN/>
        <w:bidi w:val="0"/>
        <w:adjustRightInd/>
        <w:snapToGrid/>
        <w:spacing w:beforeAutospacing="0" w:afterAutospacing="0" w:line="560" w:lineRule="atLeast"/>
        <w:ind w:firstLine="641"/>
        <w:textAlignment w:val="auto"/>
        <w:rPr>
          <w:rFonts w:ascii="宋体" w:hAnsi="宋体" w:cs="宋体"/>
          <w:color w:val="000000"/>
          <w:spacing w:val="17"/>
          <w:sz w:val="32"/>
          <w:szCs w:val="32"/>
        </w:rPr>
      </w:pPr>
      <w:r>
        <w:rPr>
          <w:rFonts w:hint="eastAsia" w:ascii="仿宋_GB2312" w:hAnsi="仿宋_GB2312" w:eastAsia="仿宋_GB2312" w:cs="仿宋_GB2312"/>
          <w:color w:val="000000"/>
          <w:spacing w:val="17"/>
          <w:sz w:val="32"/>
          <w:szCs w:val="32"/>
        </w:rPr>
        <w:t>绩效评价框架是开展绩效评价的核心。绩效评价框架包括评价准则、关键评价问题、评价指标、数据来源、数据收集方法等。指标体系建立过程如下：</w:t>
      </w:r>
    </w:p>
    <w:p>
      <w:pPr>
        <w:pageBreakBefore w:val="0"/>
        <w:kinsoku/>
        <w:wordWrap/>
        <w:overflowPunct/>
        <w:topLinePunct w:val="0"/>
        <w:autoSpaceDE/>
        <w:autoSpaceDN/>
        <w:bidi w:val="0"/>
        <w:adjustRightInd/>
        <w:snapToGrid/>
        <w:spacing w:beforeAutospacing="0" w:afterAutospacing="0"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（1）确定评价指标</w:t>
      </w:r>
    </w:p>
    <w:p>
      <w:pPr>
        <w:pageBreakBefore w:val="0"/>
        <w:kinsoku/>
        <w:wordWrap/>
        <w:overflowPunct/>
        <w:topLinePunct w:val="0"/>
        <w:autoSpaceDE/>
        <w:autoSpaceDN/>
        <w:bidi w:val="0"/>
        <w:adjustRightInd/>
        <w:snapToGrid/>
        <w:spacing w:beforeAutospacing="0" w:afterAutospacing="0"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采用层次分析法，建立评价指标体系。绩效评价将指标分为项目</w:t>
      </w:r>
      <w:r>
        <w:rPr>
          <w:rFonts w:hint="eastAsia" w:ascii="仿宋_GB2312" w:hAnsi="仿宋_GB2312" w:eastAsia="仿宋_GB2312" w:cs="仿宋_GB2312"/>
          <w:color w:val="000000"/>
          <w:spacing w:val="17"/>
          <w:sz w:val="32"/>
          <w:szCs w:val="32"/>
          <w:lang w:val="en-US" w:eastAsia="zh-CN"/>
        </w:rPr>
        <w:t>决策</w:t>
      </w:r>
      <w:r>
        <w:rPr>
          <w:rFonts w:hint="eastAsia" w:ascii="仿宋_GB2312" w:hAnsi="仿宋_GB2312" w:eastAsia="仿宋_GB2312" w:cs="仿宋_GB2312"/>
          <w:color w:val="000000"/>
          <w:spacing w:val="17"/>
          <w:sz w:val="32"/>
          <w:szCs w:val="32"/>
        </w:rPr>
        <w:t>、项目产出、项目效益、项目</w:t>
      </w:r>
      <w:r>
        <w:rPr>
          <w:rFonts w:hint="eastAsia" w:ascii="仿宋_GB2312" w:hAnsi="仿宋_GB2312" w:eastAsia="仿宋_GB2312" w:cs="仿宋_GB2312"/>
          <w:color w:val="000000"/>
          <w:spacing w:val="17"/>
          <w:sz w:val="32"/>
          <w:szCs w:val="32"/>
          <w:lang w:val="en-US" w:eastAsia="zh-CN"/>
        </w:rPr>
        <w:t>过程</w:t>
      </w:r>
      <w:r>
        <w:rPr>
          <w:rFonts w:hint="eastAsia" w:ascii="仿宋_GB2312" w:hAnsi="仿宋_GB2312" w:eastAsia="仿宋_GB2312" w:cs="仿宋_GB2312"/>
          <w:color w:val="000000"/>
          <w:spacing w:val="17"/>
          <w:sz w:val="32"/>
          <w:szCs w:val="32"/>
        </w:rPr>
        <w:t>指标四个维度，最终形成一个由多个相互联系的指标组成的多层次指标体系。</w:t>
      </w:r>
    </w:p>
    <w:p>
      <w:pPr>
        <w:pageBreakBefore w:val="0"/>
        <w:kinsoku/>
        <w:wordWrap/>
        <w:overflowPunct/>
        <w:topLinePunct w:val="0"/>
        <w:autoSpaceDE/>
        <w:autoSpaceDN/>
        <w:bidi w:val="0"/>
        <w:adjustRightInd/>
        <w:snapToGrid/>
        <w:spacing w:beforeAutospacing="0" w:afterAutospacing="0"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（2）确定权重</w:t>
      </w:r>
    </w:p>
    <w:p>
      <w:pPr>
        <w:pageBreakBefore w:val="0"/>
        <w:kinsoku/>
        <w:wordWrap/>
        <w:overflowPunct/>
        <w:topLinePunct w:val="0"/>
        <w:autoSpaceDE/>
        <w:autoSpaceDN/>
        <w:bidi w:val="0"/>
        <w:adjustRightInd/>
        <w:snapToGrid/>
        <w:spacing w:beforeAutospacing="0" w:afterAutospacing="0" w:line="560" w:lineRule="atLeast"/>
        <w:ind w:firstLine="641"/>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确定各个指标相对于项目总体绩效的权重分值。在绩效评价指标体系中，项目</w:t>
      </w:r>
      <w:r>
        <w:rPr>
          <w:rFonts w:hint="eastAsia" w:ascii="仿宋_GB2312" w:hAnsi="仿宋_GB2312" w:eastAsia="仿宋_GB2312" w:cs="仿宋_GB2312"/>
          <w:color w:val="000000"/>
          <w:spacing w:val="17"/>
          <w:sz w:val="32"/>
          <w:szCs w:val="32"/>
          <w:lang w:val="en-US" w:eastAsia="zh-CN"/>
        </w:rPr>
        <w:t>决策</w:t>
      </w:r>
      <w:r>
        <w:rPr>
          <w:rFonts w:hint="eastAsia" w:ascii="仿宋_GB2312" w:hAnsi="仿宋_GB2312" w:eastAsia="仿宋_GB2312" w:cs="仿宋_GB2312"/>
          <w:color w:val="000000"/>
          <w:spacing w:val="17"/>
          <w:sz w:val="32"/>
          <w:szCs w:val="32"/>
        </w:rPr>
        <w:t>权重为</w:t>
      </w:r>
      <w:r>
        <w:rPr>
          <w:rFonts w:hint="eastAsia" w:ascii="仿宋_GB2312" w:hAnsi="仿宋_GB2312" w:eastAsia="仿宋_GB2312" w:cs="仿宋_GB2312"/>
          <w:color w:val="000000"/>
          <w:spacing w:val="17"/>
          <w:sz w:val="32"/>
          <w:szCs w:val="32"/>
          <w:lang w:val="en-US" w:eastAsia="zh-CN"/>
        </w:rPr>
        <w:t>5</w:t>
      </w:r>
      <w:r>
        <w:rPr>
          <w:rFonts w:hint="eastAsia" w:ascii="仿宋_GB2312" w:hAnsi="仿宋_GB2312" w:eastAsia="仿宋_GB2312" w:cs="仿宋_GB2312"/>
          <w:color w:val="000000"/>
          <w:spacing w:val="17"/>
          <w:sz w:val="32"/>
          <w:szCs w:val="32"/>
        </w:rPr>
        <w:t>，项目</w:t>
      </w:r>
      <w:r>
        <w:rPr>
          <w:rFonts w:hint="eastAsia" w:ascii="仿宋_GB2312" w:hAnsi="仿宋_GB2312" w:eastAsia="仿宋_GB2312" w:cs="仿宋_GB2312"/>
          <w:color w:val="000000"/>
          <w:spacing w:val="17"/>
          <w:sz w:val="32"/>
          <w:szCs w:val="32"/>
          <w:lang w:val="en-US" w:eastAsia="zh-CN"/>
        </w:rPr>
        <w:t>过程</w:t>
      </w:r>
      <w:r>
        <w:rPr>
          <w:rFonts w:hint="eastAsia" w:ascii="仿宋_GB2312" w:hAnsi="仿宋_GB2312" w:eastAsia="仿宋_GB2312" w:cs="仿宋_GB2312"/>
          <w:color w:val="000000"/>
          <w:spacing w:val="17"/>
          <w:sz w:val="32"/>
          <w:szCs w:val="32"/>
        </w:rPr>
        <w:t>权重值占</w:t>
      </w:r>
      <w:r>
        <w:rPr>
          <w:rFonts w:hint="eastAsia" w:ascii="仿宋_GB2312" w:hAnsi="仿宋_GB2312" w:eastAsia="仿宋_GB2312" w:cs="仿宋_GB2312"/>
          <w:color w:val="000000"/>
          <w:spacing w:val="17"/>
          <w:sz w:val="32"/>
          <w:szCs w:val="32"/>
          <w:lang w:val="en-US" w:eastAsia="zh-CN"/>
        </w:rPr>
        <w:t>5</w:t>
      </w:r>
      <w:r>
        <w:rPr>
          <w:rFonts w:hint="eastAsia" w:ascii="仿宋_GB2312" w:hAnsi="仿宋_GB2312" w:eastAsia="仿宋_GB2312" w:cs="仿宋_GB2312"/>
          <w:color w:val="000000"/>
          <w:spacing w:val="17"/>
          <w:sz w:val="32"/>
          <w:szCs w:val="32"/>
        </w:rPr>
        <w:t>，项目产出权重值占</w:t>
      </w:r>
      <w:r>
        <w:rPr>
          <w:rFonts w:hint="eastAsia" w:ascii="仿宋_GB2312" w:hAnsi="仿宋_GB2312" w:eastAsia="仿宋_GB2312" w:cs="仿宋_GB2312"/>
          <w:color w:val="000000"/>
          <w:spacing w:val="17"/>
          <w:sz w:val="32"/>
          <w:szCs w:val="32"/>
          <w:lang w:val="en-US" w:eastAsia="zh-CN"/>
        </w:rPr>
        <w:t>50</w:t>
      </w:r>
      <w:r>
        <w:rPr>
          <w:rFonts w:hint="eastAsia" w:ascii="仿宋_GB2312" w:hAnsi="仿宋_GB2312" w:eastAsia="仿宋_GB2312" w:cs="仿宋_GB2312"/>
          <w:color w:val="000000"/>
          <w:spacing w:val="17"/>
          <w:sz w:val="32"/>
          <w:szCs w:val="32"/>
        </w:rPr>
        <w:t>，项目效益权重占</w:t>
      </w:r>
      <w:r>
        <w:rPr>
          <w:rFonts w:hint="eastAsia" w:ascii="仿宋_GB2312" w:hAnsi="仿宋_GB2312" w:eastAsia="仿宋_GB2312" w:cs="仿宋_GB2312"/>
          <w:color w:val="000000"/>
          <w:spacing w:val="17"/>
          <w:sz w:val="32"/>
          <w:szCs w:val="32"/>
          <w:lang w:val="en-US" w:eastAsia="zh-CN"/>
        </w:rPr>
        <w:t>40</w:t>
      </w:r>
      <w:r>
        <w:rPr>
          <w:rFonts w:hint="eastAsia" w:ascii="仿宋_GB2312" w:hAnsi="仿宋_GB2312" w:eastAsia="仿宋_GB2312" w:cs="仿宋_GB2312"/>
          <w:color w:val="000000"/>
          <w:spacing w:val="17"/>
          <w:sz w:val="32"/>
          <w:szCs w:val="32"/>
        </w:rPr>
        <w:t>。</w:t>
      </w:r>
    </w:p>
    <w:p>
      <w:pPr>
        <w:pageBreakBefore w:val="0"/>
        <w:kinsoku/>
        <w:wordWrap/>
        <w:overflowPunct/>
        <w:topLinePunct w:val="0"/>
        <w:autoSpaceDE/>
        <w:autoSpaceDN/>
        <w:bidi w:val="0"/>
        <w:adjustRightInd/>
        <w:snapToGrid/>
        <w:spacing w:beforeAutospacing="0" w:afterAutospacing="0" w:line="560" w:lineRule="atLeast"/>
        <w:ind w:firstLine="641"/>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（3）确定指标标准值</w:t>
      </w:r>
    </w:p>
    <w:p>
      <w:pPr>
        <w:pageBreakBefore w:val="0"/>
        <w:kinsoku/>
        <w:wordWrap/>
        <w:overflowPunct/>
        <w:topLinePunct w:val="0"/>
        <w:autoSpaceDE/>
        <w:autoSpaceDN/>
        <w:bidi w:val="0"/>
        <w:adjustRightInd/>
        <w:snapToGrid/>
        <w:spacing w:beforeAutospacing="0" w:afterAutospacing="0"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18"/>
        <w:pageBreakBefore w:val="0"/>
        <w:kinsoku/>
        <w:wordWrap/>
        <w:overflowPunct/>
        <w:topLinePunct w:val="0"/>
        <w:autoSpaceDE/>
        <w:autoSpaceDN/>
        <w:bidi w:val="0"/>
        <w:adjustRightInd/>
        <w:snapToGrid/>
        <w:spacing w:before="0" w:beforeAutospacing="0" w:after="0" w:afterAutospacing="0" w:line="560" w:lineRule="atLeast"/>
        <w:ind w:firstLine="708" w:firstLineChars="200"/>
        <w:jc w:val="both"/>
        <w:textAlignment w:val="auto"/>
        <w:rPr>
          <w:rFonts w:ascii="仿宋_GB2312" w:hAnsi="仿宋_GB2312" w:eastAsia="仿宋_GB2312" w:cs="仿宋_GB2312"/>
          <w:b w:val="0"/>
          <w:bCs w:val="0"/>
          <w:color w:val="000000"/>
          <w:spacing w:val="17"/>
          <w:kern w:val="2"/>
        </w:rPr>
      </w:pPr>
      <w:r>
        <w:rPr>
          <w:rFonts w:hint="eastAsia" w:ascii="仿宋_GB2312" w:hAnsi="仿宋_GB2312" w:eastAsia="仿宋_GB2312" w:cs="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18"/>
        <w:pageBreakBefore w:val="0"/>
        <w:widowControl w:val="0"/>
        <w:kinsoku/>
        <w:wordWrap/>
        <w:overflowPunct/>
        <w:topLinePunct w:val="0"/>
        <w:autoSpaceDE/>
        <w:autoSpaceDN/>
        <w:bidi w:val="0"/>
        <w:adjustRightInd/>
        <w:snapToGrid/>
        <w:spacing w:before="0" w:beforeAutospacing="0" w:after="0" w:afterAutospacing="0" w:line="560" w:lineRule="atLeast"/>
        <w:jc w:val="both"/>
        <w:textAlignment w:val="auto"/>
        <w:outlineLvl w:val="9"/>
        <w:rPr>
          <w:rFonts w:hint="eastAsia" w:ascii="仿宋_GB2312" w:hAnsi="仿宋_GB2312" w:eastAsia="仿宋_GB2312" w:cs="仿宋_GB2312"/>
          <w:b w:val="0"/>
          <w:bCs w:val="0"/>
          <w:color w:val="auto"/>
          <w:spacing w:val="17"/>
          <w:highlight w:val="none"/>
          <w:shd w:val="clear" w:color="auto" w:fill="auto"/>
        </w:rPr>
      </w:pPr>
      <w:r>
        <w:rPr>
          <w:rFonts w:hint="eastAsia" w:ascii="仿宋_GB2312" w:hAnsi="仿宋_GB2312" w:eastAsia="仿宋_GB2312" w:cs="仿宋_GB2312"/>
          <w:b w:val="0"/>
          <w:bCs w:val="0"/>
          <w:color w:val="auto"/>
          <w:spacing w:val="17"/>
          <w:highlight w:val="none"/>
          <w:shd w:val="clear" w:color="auto" w:fill="auto"/>
        </w:rPr>
        <w:t>具体评价指标体系详情见</w:t>
      </w:r>
      <w:r>
        <w:rPr>
          <w:rFonts w:hint="eastAsia" w:ascii="仿宋_GB2312" w:hAnsi="仿宋_GB2312" w:eastAsia="仿宋_GB2312" w:cs="仿宋_GB2312"/>
          <w:b w:val="0"/>
          <w:bCs w:val="0"/>
          <w:color w:val="auto"/>
          <w:spacing w:val="17"/>
          <w:highlight w:val="none"/>
          <w:shd w:val="clear" w:color="auto" w:fill="auto"/>
          <w:lang w:val="en-US" w:eastAsia="zh-CN"/>
        </w:rPr>
        <w:t>附件</w:t>
      </w:r>
      <w:r>
        <w:rPr>
          <w:rFonts w:hint="eastAsia" w:ascii="仿宋_GB2312" w:hAnsi="仿宋_GB2312" w:eastAsia="仿宋_GB2312" w:cs="仿宋_GB2312"/>
          <w:b w:val="0"/>
          <w:bCs w:val="0"/>
          <w:color w:val="auto"/>
          <w:spacing w:val="17"/>
          <w:highlight w:val="none"/>
          <w:shd w:val="clear" w:color="auto" w:fill="auto"/>
        </w:rPr>
        <w:t>1</w:t>
      </w:r>
    </w:p>
    <w:p>
      <w:pPr>
        <w:pStyle w:val="18"/>
        <w:pageBreakBefore w:val="0"/>
        <w:widowControl w:val="0"/>
        <w:kinsoku/>
        <w:wordWrap/>
        <w:overflowPunct/>
        <w:topLinePunct w:val="0"/>
        <w:autoSpaceDE/>
        <w:autoSpaceDN/>
        <w:bidi w:val="0"/>
        <w:adjustRightInd/>
        <w:snapToGrid/>
        <w:spacing w:before="0" w:beforeAutospacing="0" w:after="0" w:afterAutospacing="0" w:line="560" w:lineRule="atLeas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3、绩效评价方法</w:t>
      </w:r>
    </w:p>
    <w:p>
      <w:pPr>
        <w:pageBreakBefore w:val="0"/>
        <w:kinsoku/>
        <w:wordWrap/>
        <w:overflowPunct/>
        <w:topLinePunct w:val="0"/>
        <w:autoSpaceDE/>
        <w:autoSpaceDN/>
        <w:bidi w:val="0"/>
        <w:adjustRightInd/>
        <w:snapToGrid/>
        <w:spacing w:beforeAutospacing="0" w:afterAutospacing="0"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pPr>
        <w:pageBreakBefore w:val="0"/>
        <w:kinsoku/>
        <w:wordWrap/>
        <w:overflowPunct/>
        <w:topLinePunct w:val="0"/>
        <w:autoSpaceDE/>
        <w:autoSpaceDN/>
        <w:bidi w:val="0"/>
        <w:adjustRightInd/>
        <w:snapToGrid/>
        <w:spacing w:beforeAutospacing="0" w:afterAutospacing="0"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pageBreakBefore w:val="0"/>
        <w:kinsoku/>
        <w:wordWrap/>
        <w:overflowPunct/>
        <w:topLinePunct w:val="0"/>
        <w:autoSpaceDE/>
        <w:autoSpaceDN/>
        <w:bidi w:val="0"/>
        <w:adjustRightInd/>
        <w:snapToGrid/>
        <w:spacing w:beforeAutospacing="0" w:afterAutospacing="0"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（1）比较法</w:t>
      </w:r>
    </w:p>
    <w:p>
      <w:pPr>
        <w:pageBreakBefore w:val="0"/>
        <w:kinsoku/>
        <w:wordWrap/>
        <w:overflowPunct/>
        <w:topLinePunct w:val="0"/>
        <w:autoSpaceDE/>
        <w:autoSpaceDN/>
        <w:bidi w:val="0"/>
        <w:adjustRightInd/>
        <w:snapToGrid/>
        <w:spacing w:beforeAutospacing="0" w:afterAutospacing="0"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通过对绩效目标与实施效果、历史与当期情况，综合分析绩效目标实现程度。对</w:t>
      </w:r>
      <w:r>
        <w:rPr>
          <w:rFonts w:hint="eastAsia" w:ascii="仿宋_GB2312" w:hAnsi="仿宋_GB2312" w:eastAsia="仿宋_GB2312" w:cs="仿宋_GB2312"/>
          <w:sz w:val="32"/>
          <w:szCs w:val="32"/>
        </w:rPr>
        <w:t>项目</w:t>
      </w:r>
      <w:r>
        <w:rPr>
          <w:rFonts w:hint="eastAsia" w:ascii="仿宋_GB2312" w:hAnsi="仿宋_GB2312" w:eastAsia="仿宋_GB2312" w:cs="仿宋_GB2312"/>
          <w:color w:val="000000"/>
          <w:spacing w:val="17"/>
          <w:sz w:val="32"/>
          <w:szCs w:val="32"/>
        </w:rPr>
        <w:t>最终验收情况与年度绩效目标对比、预算资金执行情况等相关因素进行比较。</w:t>
      </w:r>
    </w:p>
    <w:p>
      <w:pPr>
        <w:pageBreakBefore w:val="0"/>
        <w:kinsoku/>
        <w:wordWrap/>
        <w:overflowPunct/>
        <w:topLinePunct w:val="0"/>
        <w:autoSpaceDE/>
        <w:autoSpaceDN/>
        <w:bidi w:val="0"/>
        <w:adjustRightInd/>
        <w:snapToGrid/>
        <w:spacing w:beforeAutospacing="0" w:afterAutospacing="0"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（2）因素分析法</w:t>
      </w:r>
    </w:p>
    <w:p>
      <w:pPr>
        <w:pageBreakBefore w:val="0"/>
        <w:kinsoku/>
        <w:wordWrap/>
        <w:overflowPunct/>
        <w:topLinePunct w:val="0"/>
        <w:autoSpaceDE/>
        <w:autoSpaceDN/>
        <w:bidi w:val="0"/>
        <w:adjustRightInd/>
        <w:snapToGrid/>
        <w:spacing w:beforeAutospacing="0" w:afterAutospacing="0" w:line="560" w:lineRule="atLeast"/>
        <w:ind w:firstLine="641"/>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通过综合分析影响绩效目标实现、实施效果的内外因素，评价绩效目标实现程度。通过对</w:t>
      </w:r>
      <w:r>
        <w:rPr>
          <w:rFonts w:hint="eastAsia" w:ascii="仿宋_GB2312" w:hAnsi="仿宋_GB2312" w:eastAsia="仿宋_GB2312" w:cs="仿宋_GB2312"/>
          <w:sz w:val="32"/>
          <w:szCs w:val="32"/>
        </w:rPr>
        <w:t>项目</w:t>
      </w:r>
      <w:r>
        <w:rPr>
          <w:rFonts w:hint="eastAsia" w:ascii="仿宋_GB2312" w:hAnsi="仿宋_GB2312" w:eastAsia="仿宋_GB2312" w:cs="仿宋_GB2312"/>
          <w:color w:val="000000"/>
          <w:spacing w:val="17"/>
          <w:sz w:val="32"/>
          <w:szCs w:val="32"/>
        </w:rPr>
        <w:t>的开展情况、项目产出数量、成本控制、资金拨付文件及自评报告等相关资料的收集和审核，综合分析各因素对绩效目标实现的影响。</w:t>
      </w:r>
    </w:p>
    <w:p>
      <w:pPr>
        <w:pStyle w:val="18"/>
        <w:pageBreakBefore w:val="0"/>
        <w:widowControl w:val="0"/>
        <w:kinsoku/>
        <w:wordWrap/>
        <w:overflowPunct/>
        <w:topLinePunct w:val="0"/>
        <w:autoSpaceDE/>
        <w:autoSpaceDN/>
        <w:bidi w:val="0"/>
        <w:adjustRightInd/>
        <w:snapToGrid/>
        <w:spacing w:before="0" w:beforeAutospacing="0" w:after="0" w:afterAutospacing="0" w:line="560" w:lineRule="atLeast"/>
        <w:ind w:firstLine="641"/>
        <w:jc w:val="both"/>
        <w:textAlignment w:val="auto"/>
        <w:outlineLvl w:val="9"/>
        <w:rPr>
          <w:rFonts w:hint="eastAsia" w:ascii="仿宋_GB2312" w:hAnsi="仿宋_GB2312" w:eastAsia="仿宋_GB2312" w:cs="仿宋_GB2312"/>
          <w:b w:val="0"/>
          <w:bCs w:val="0"/>
          <w:lang w:val="en-US" w:eastAsia="zh-CN"/>
        </w:rPr>
      </w:pPr>
      <w:r>
        <w:rPr>
          <w:rFonts w:hint="eastAsia" w:ascii="仿宋_GB2312" w:hAnsi="仿宋_GB2312" w:eastAsia="仿宋_GB2312" w:cs="仿宋_GB2312"/>
          <w:b w:val="0"/>
          <w:bCs w:val="0"/>
          <w:lang w:val="en-US" w:eastAsia="zh-CN"/>
        </w:rPr>
        <w:t>4、评价标准</w:t>
      </w:r>
    </w:p>
    <w:p>
      <w:pPr>
        <w:pageBreakBefore w:val="0"/>
        <w:kinsoku/>
        <w:wordWrap/>
        <w:overflowPunct/>
        <w:topLinePunct w:val="0"/>
        <w:autoSpaceDE/>
        <w:autoSpaceDN/>
        <w:bidi w:val="0"/>
        <w:adjustRightInd/>
        <w:snapToGrid/>
        <w:spacing w:beforeAutospacing="0" w:afterAutospacing="0" w:line="560" w:lineRule="atLeast"/>
        <w:ind w:firstLine="641"/>
        <w:textAlignment w:val="auto"/>
        <w:rPr>
          <w:rFonts w:hint="default" w:ascii="仿宋_GB2312" w:hAnsi="仿宋_GB2312" w:eastAsia="仿宋_GB2312" w:cs="仿宋_GB2312"/>
          <w:color w:val="000000"/>
          <w:spacing w:val="17"/>
          <w:sz w:val="32"/>
          <w:szCs w:val="32"/>
          <w:lang w:val="en-US" w:eastAsia="zh-CN"/>
        </w:rPr>
      </w:pPr>
      <w:r>
        <w:rPr>
          <w:rFonts w:hint="default" w:ascii="仿宋_GB2312" w:hAnsi="仿宋_GB2312" w:eastAsia="仿宋_GB2312" w:cs="仿宋_GB2312"/>
          <w:color w:val="000000"/>
          <w:spacing w:val="17"/>
          <w:sz w:val="32"/>
          <w:szCs w:val="32"/>
          <w:lang w:val="en-US" w:eastAsia="zh-CN"/>
        </w:rPr>
        <w:t>绩效评价标准通常包括计划标准、行业标准、历史标准等，用于对绩效指标完成情况进行比较。本次评价主要采用了计划标准和行业标准。</w:t>
      </w:r>
    </w:p>
    <w:p>
      <w:pPr>
        <w:pageBreakBefore w:val="0"/>
        <w:kinsoku/>
        <w:wordWrap/>
        <w:overflowPunct/>
        <w:topLinePunct w:val="0"/>
        <w:autoSpaceDE/>
        <w:autoSpaceDN/>
        <w:bidi w:val="0"/>
        <w:adjustRightInd/>
        <w:snapToGrid/>
        <w:spacing w:beforeAutospacing="0" w:afterAutospacing="0" w:line="560" w:lineRule="atLeast"/>
        <w:ind w:firstLine="562" w:firstLineChars="200"/>
        <w:textAlignment w:val="auto"/>
        <w:rPr>
          <w:rFonts w:ascii="仿宋" w:hAnsi="仿宋" w:eastAsia="仿宋"/>
          <w:b/>
          <w:sz w:val="28"/>
          <w:szCs w:val="28"/>
        </w:rPr>
      </w:pPr>
      <w:r>
        <w:rPr>
          <w:rFonts w:hint="eastAsia" w:ascii="仿宋" w:hAnsi="仿宋" w:eastAsia="仿宋"/>
          <w:b/>
          <w:sz w:val="28"/>
          <w:szCs w:val="28"/>
        </w:rPr>
        <w:t>（三）绩效评价工作过程。</w:t>
      </w:r>
    </w:p>
    <w:p>
      <w:pPr>
        <w:pageBreakBefore w:val="0"/>
        <w:kinsoku/>
        <w:wordWrap/>
        <w:overflowPunct/>
        <w:topLinePunct w:val="0"/>
        <w:autoSpaceDE/>
        <w:autoSpaceDN/>
        <w:bidi w:val="0"/>
        <w:adjustRightInd/>
        <w:snapToGrid/>
        <w:spacing w:beforeAutospacing="0" w:afterAutospacing="0" w:line="560" w:lineRule="atLeast"/>
        <w:ind w:firstLine="641"/>
        <w:textAlignment w:val="auto"/>
        <w:rPr>
          <w:rFonts w:hint="default" w:ascii="仿宋_GB2312" w:hAnsi="仿宋_GB2312" w:eastAsia="仿宋_GB2312" w:cs="仿宋_GB2312"/>
          <w:b w:val="0"/>
          <w:bCs w:val="0"/>
          <w:color w:val="000000"/>
          <w:spacing w:val="17"/>
          <w:sz w:val="32"/>
          <w:szCs w:val="32"/>
          <w:lang w:val="en-US" w:eastAsia="zh-CN"/>
        </w:rPr>
      </w:pPr>
      <w:r>
        <w:rPr>
          <w:rFonts w:hint="eastAsia" w:ascii="仿宋_GB2312" w:hAnsi="仿宋_GB2312" w:eastAsia="仿宋_GB2312" w:cs="仿宋_GB2312"/>
          <w:b w:val="0"/>
          <w:bCs w:val="0"/>
          <w:color w:val="000000"/>
          <w:spacing w:val="17"/>
          <w:sz w:val="32"/>
          <w:szCs w:val="32"/>
          <w:lang w:val="en-US" w:eastAsia="zh-CN"/>
        </w:rPr>
        <w:t>根据文件要求，评价工作分三阶段进行:</w:t>
      </w:r>
    </w:p>
    <w:p>
      <w:pPr>
        <w:pageBreakBefore w:val="0"/>
        <w:kinsoku/>
        <w:wordWrap/>
        <w:overflowPunct/>
        <w:topLinePunct w:val="0"/>
        <w:autoSpaceDE/>
        <w:autoSpaceDN/>
        <w:bidi w:val="0"/>
        <w:adjustRightInd/>
        <w:snapToGrid/>
        <w:spacing w:beforeAutospacing="0" w:afterAutospacing="0" w:line="560" w:lineRule="atLeast"/>
        <w:ind w:firstLine="562" w:firstLineChars="200"/>
        <w:textAlignment w:val="auto"/>
        <w:rPr>
          <w:rFonts w:ascii="仿宋" w:hAnsi="仿宋" w:eastAsia="仿宋"/>
          <w:b/>
          <w:sz w:val="28"/>
          <w:szCs w:val="28"/>
        </w:rPr>
      </w:pPr>
      <w:r>
        <w:rPr>
          <w:rFonts w:hint="eastAsia" w:ascii="仿宋" w:hAnsi="仿宋" w:eastAsia="仿宋"/>
          <w:b/>
          <w:sz w:val="28"/>
          <w:szCs w:val="28"/>
        </w:rPr>
        <w:t>1.前期准备</w:t>
      </w:r>
    </w:p>
    <w:p>
      <w:pPr>
        <w:pageBreakBefore w:val="0"/>
        <w:kinsoku/>
        <w:wordWrap/>
        <w:overflowPunct/>
        <w:topLinePunct w:val="0"/>
        <w:autoSpaceDE/>
        <w:autoSpaceDN/>
        <w:bidi w:val="0"/>
        <w:adjustRightInd/>
        <w:snapToGrid/>
        <w:spacing w:beforeAutospacing="0" w:afterAutospacing="0" w:line="560" w:lineRule="atLeast"/>
        <w:ind w:firstLine="641"/>
        <w:textAlignment w:val="auto"/>
        <w:rPr>
          <w:rFonts w:hint="eastAsia" w:ascii="仿宋_GB2312" w:hAnsi="仿宋_GB2312" w:eastAsia="仿宋_GB2312" w:cs="仿宋_GB2312"/>
          <w:b w:val="0"/>
          <w:bCs w:val="0"/>
          <w:color w:val="000000"/>
          <w:spacing w:val="17"/>
          <w:sz w:val="32"/>
          <w:szCs w:val="32"/>
          <w:lang w:val="en-US" w:eastAsia="zh-CN"/>
        </w:rPr>
      </w:pPr>
      <w:r>
        <w:rPr>
          <w:rFonts w:hint="eastAsia" w:ascii="仿宋_GB2312" w:hAnsi="仿宋_GB2312" w:eastAsia="仿宋_GB2312" w:cs="仿宋_GB2312"/>
          <w:b w:val="0"/>
          <w:bCs w:val="0"/>
          <w:color w:val="000000"/>
          <w:spacing w:val="17"/>
          <w:sz w:val="32"/>
          <w:szCs w:val="32"/>
          <w:lang w:val="en-US" w:eastAsia="zh-CN"/>
        </w:rPr>
        <w:t>2020年3月-4月，制定方案并经上级审核同意，明确培训对象、评价工作目标及评价要求；了解项目培训人员情况、绩效评价政策、评价标准，提供培训资料，设计培训内容。</w:t>
      </w:r>
    </w:p>
    <w:p>
      <w:pPr>
        <w:pageBreakBefore w:val="0"/>
        <w:kinsoku/>
        <w:wordWrap/>
        <w:overflowPunct/>
        <w:topLinePunct w:val="0"/>
        <w:autoSpaceDE/>
        <w:autoSpaceDN/>
        <w:bidi w:val="0"/>
        <w:adjustRightInd/>
        <w:snapToGrid/>
        <w:spacing w:beforeAutospacing="0" w:afterAutospacing="0" w:line="560" w:lineRule="atLeast"/>
        <w:ind w:firstLine="562" w:firstLineChars="200"/>
        <w:textAlignment w:val="auto"/>
        <w:rPr>
          <w:rFonts w:ascii="仿宋" w:hAnsi="仿宋" w:eastAsia="仿宋"/>
          <w:b/>
          <w:sz w:val="28"/>
          <w:szCs w:val="28"/>
        </w:rPr>
      </w:pPr>
      <w:r>
        <w:rPr>
          <w:rFonts w:hint="eastAsia" w:ascii="仿宋" w:hAnsi="仿宋" w:eastAsia="仿宋"/>
          <w:b/>
          <w:sz w:val="28"/>
          <w:szCs w:val="28"/>
        </w:rPr>
        <w:t>2.组织实施</w:t>
      </w:r>
    </w:p>
    <w:p>
      <w:pPr>
        <w:pageBreakBefore w:val="0"/>
        <w:kinsoku/>
        <w:wordWrap/>
        <w:overflowPunct/>
        <w:topLinePunct w:val="0"/>
        <w:autoSpaceDE/>
        <w:autoSpaceDN/>
        <w:bidi w:val="0"/>
        <w:adjustRightInd/>
        <w:snapToGrid/>
        <w:spacing w:beforeAutospacing="0" w:afterAutospacing="0" w:line="560" w:lineRule="atLeast"/>
        <w:ind w:firstLine="641"/>
        <w:textAlignment w:val="auto"/>
        <w:rPr>
          <w:rFonts w:hint="eastAsia" w:ascii="仿宋_GB2312" w:hAnsi="仿宋_GB2312" w:eastAsia="仿宋_GB2312" w:cs="仿宋_GB2312"/>
          <w:b w:val="0"/>
          <w:bCs w:val="0"/>
          <w:color w:val="000000"/>
          <w:spacing w:val="17"/>
          <w:sz w:val="32"/>
          <w:szCs w:val="32"/>
          <w:lang w:val="en-US" w:eastAsia="zh-CN"/>
        </w:rPr>
      </w:pPr>
      <w:r>
        <w:rPr>
          <w:rFonts w:hint="eastAsia" w:ascii="仿宋_GB2312" w:hAnsi="仿宋_GB2312" w:eastAsia="仿宋_GB2312" w:cs="仿宋_GB2312"/>
          <w:b w:val="0"/>
          <w:bCs w:val="0"/>
          <w:color w:val="000000"/>
          <w:spacing w:val="17"/>
          <w:sz w:val="32"/>
          <w:szCs w:val="32"/>
          <w:lang w:val="en-US" w:eastAsia="zh-CN"/>
        </w:rPr>
        <w:t>2020年11月，进一步了解传染病防控防止情况、组织县（市）管理人员确定情况；审核培训资料；审查项目资金的透明度，调查相关管理制度是否建立健全并落实到位，根据审查结果分析项目资金到位、资金管理使用情况及组织管理水平；及时与地区传染病防控指挥部报备具体培训人员情况，做好前期工作。</w:t>
      </w:r>
    </w:p>
    <w:p>
      <w:pPr>
        <w:pageBreakBefore w:val="0"/>
        <w:kinsoku/>
        <w:wordWrap/>
        <w:overflowPunct/>
        <w:topLinePunct w:val="0"/>
        <w:autoSpaceDE/>
        <w:autoSpaceDN/>
        <w:bidi w:val="0"/>
        <w:adjustRightInd/>
        <w:snapToGrid/>
        <w:spacing w:beforeAutospacing="0" w:afterAutospacing="0" w:line="560" w:lineRule="atLeast"/>
        <w:ind w:firstLine="562" w:firstLineChars="200"/>
        <w:textAlignment w:val="auto"/>
        <w:rPr>
          <w:rFonts w:ascii="仿宋" w:hAnsi="仿宋" w:eastAsia="仿宋"/>
          <w:b/>
          <w:sz w:val="28"/>
          <w:szCs w:val="28"/>
        </w:rPr>
      </w:pPr>
      <w:r>
        <w:rPr>
          <w:rFonts w:hint="eastAsia" w:ascii="仿宋" w:hAnsi="仿宋" w:eastAsia="仿宋"/>
          <w:b/>
          <w:sz w:val="28"/>
          <w:szCs w:val="28"/>
        </w:rPr>
        <w:t>3.分析评价</w:t>
      </w:r>
    </w:p>
    <w:p>
      <w:pPr>
        <w:pageBreakBefore w:val="0"/>
        <w:kinsoku/>
        <w:wordWrap/>
        <w:overflowPunct/>
        <w:topLinePunct w:val="0"/>
        <w:autoSpaceDE/>
        <w:autoSpaceDN/>
        <w:bidi w:val="0"/>
        <w:adjustRightInd/>
        <w:snapToGrid/>
        <w:spacing w:beforeAutospacing="0" w:afterAutospacing="0" w:line="560" w:lineRule="atLeast"/>
        <w:ind w:firstLine="641"/>
        <w:textAlignment w:val="auto"/>
      </w:pPr>
      <w:r>
        <w:rPr>
          <w:rFonts w:hint="eastAsia" w:ascii="仿宋_GB2312" w:hAnsi="仿宋_GB2312" w:eastAsia="仿宋_GB2312" w:cs="仿宋_GB2312"/>
          <w:b w:val="0"/>
          <w:bCs w:val="0"/>
          <w:color w:val="000000"/>
          <w:spacing w:val="17"/>
          <w:sz w:val="32"/>
          <w:szCs w:val="32"/>
          <w:lang w:val="en-US" w:eastAsia="zh-CN"/>
        </w:rPr>
        <w:t>2020年12月，经地区传染病防控</w:t>
      </w:r>
      <w:bookmarkStart w:id="2" w:name="_GoBack"/>
      <w:bookmarkEnd w:id="2"/>
      <w:r>
        <w:rPr>
          <w:rFonts w:hint="eastAsia" w:ascii="仿宋_GB2312" w:hAnsi="仿宋_GB2312" w:eastAsia="仿宋_GB2312" w:cs="仿宋_GB2312"/>
          <w:b w:val="0"/>
          <w:bCs w:val="0"/>
          <w:color w:val="000000"/>
          <w:spacing w:val="17"/>
          <w:sz w:val="32"/>
          <w:szCs w:val="32"/>
          <w:lang w:val="en-US" w:eastAsia="zh-CN"/>
        </w:rPr>
        <w:t>指挥部同意，下发通知，组织县（市）辅导员及理事长来地区集中培训，通过学员反映对新型农业经营主体管理层乡镇怎么抓监管有了明确认识，合作社理事长对如何规范管理合作社、如何组建产业基地，实现标准化、科学化有了进一步认识，抓队伍建设是基础，强合作是促进合作社发展的动力的道理，普片认为培训举办的比较好。</w:t>
      </w:r>
    </w:p>
    <w:p>
      <w:pPr>
        <w:pageBreakBefore w:val="0"/>
        <w:kinsoku/>
        <w:wordWrap/>
        <w:overflowPunct/>
        <w:topLinePunct w:val="0"/>
        <w:autoSpaceDE/>
        <w:autoSpaceDN/>
        <w:bidi w:val="0"/>
        <w:adjustRightInd/>
        <w:snapToGrid/>
        <w:spacing w:beforeAutospacing="0" w:afterAutospacing="0" w:line="560" w:lineRule="atLeast"/>
        <w:ind w:firstLine="711" w:firstLineChars="200"/>
        <w:textAlignment w:val="auto"/>
        <w:rPr>
          <w:rFonts w:hint="eastAsia" w:ascii="仿宋_GB2312" w:hAnsi="仿宋_GB2312" w:eastAsia="仿宋_GB2312" w:cs="仿宋_GB2312"/>
          <w:b/>
          <w:bCs/>
          <w:color w:val="000000"/>
          <w:spacing w:val="17"/>
          <w:kern w:val="2"/>
          <w:sz w:val="32"/>
          <w:szCs w:val="32"/>
          <w:lang w:val="en-US" w:eastAsia="zh-CN" w:bidi="ar-SA"/>
        </w:rPr>
      </w:pPr>
      <w:r>
        <w:rPr>
          <w:rFonts w:hint="eastAsia" w:ascii="仿宋_GB2312" w:hAnsi="仿宋_GB2312" w:eastAsia="仿宋_GB2312" w:cs="仿宋_GB2312"/>
          <w:b/>
          <w:bCs/>
          <w:color w:val="000000"/>
          <w:spacing w:val="17"/>
          <w:kern w:val="2"/>
          <w:sz w:val="32"/>
          <w:szCs w:val="32"/>
          <w:lang w:val="en-US" w:eastAsia="zh-CN" w:bidi="ar-SA"/>
        </w:rPr>
        <w:t>三、综合评价情况及评价结论（附相关评分表）</w:t>
      </w:r>
    </w:p>
    <w:p>
      <w:pPr>
        <w:pStyle w:val="18"/>
        <w:pageBreakBefore w:val="0"/>
        <w:widowControl w:val="0"/>
        <w:kinsoku/>
        <w:wordWrap/>
        <w:overflowPunct/>
        <w:topLinePunct w:val="0"/>
        <w:autoSpaceDE/>
        <w:autoSpaceDN/>
        <w:bidi w:val="0"/>
        <w:adjustRightInd/>
        <w:snapToGrid/>
        <w:spacing w:before="0" w:beforeAutospacing="0" w:after="0" w:afterAutospacing="0" w:line="560" w:lineRule="atLeast"/>
        <w:ind w:firstLine="641"/>
        <w:jc w:val="both"/>
        <w:textAlignment w:val="auto"/>
        <w:outlineLvl w:val="9"/>
        <w:rPr>
          <w:rFonts w:hint="eastAsia" w:ascii="仿宋_GB2312" w:hAnsi="仿宋_GB2312" w:eastAsia="仿宋_GB2312" w:cs="仿宋_GB2312"/>
          <w:b w:val="0"/>
          <w:bCs w:val="0"/>
          <w:color w:val="000000"/>
          <w:spacing w:val="17"/>
          <w:kern w:val="2"/>
          <w:sz w:val="32"/>
          <w:szCs w:val="32"/>
          <w:lang w:val="en-US" w:eastAsia="zh-CN" w:bidi="ar-SA"/>
        </w:rPr>
      </w:pPr>
      <w:r>
        <w:rPr>
          <w:rFonts w:hint="eastAsia" w:ascii="仿宋_GB2312" w:hAnsi="仿宋_GB2312" w:eastAsia="仿宋_GB2312" w:cs="仿宋_GB2312"/>
          <w:b w:val="0"/>
          <w:bCs w:val="0"/>
          <w:color w:val="000000"/>
          <w:spacing w:val="17"/>
          <w:kern w:val="2"/>
          <w:sz w:val="32"/>
          <w:szCs w:val="32"/>
          <w:lang w:val="en-US" w:eastAsia="zh-CN" w:bidi="ar-SA"/>
        </w:rPr>
        <w:t>对社会化服务项目进行客观评价，最终评分结果：总得分为 96分，属于“优”。其中，项目决策类指标权重为5分，得分为 5分，得分率为 100%。项目过程类指标权重为5分，得分为5 分，得分率为 100%。项目产出类指标权重为50分，得分为50分，得分率为 100%。项目效益类指标权重为40分，得分为36分，得分率为 87%。</w:t>
      </w:r>
    </w:p>
    <w:p>
      <w:pPr>
        <w:pStyle w:val="18"/>
        <w:pageBreakBefore w:val="0"/>
        <w:kinsoku/>
        <w:wordWrap/>
        <w:overflowPunct/>
        <w:topLinePunct w:val="0"/>
        <w:autoSpaceDE/>
        <w:autoSpaceDN/>
        <w:bidi w:val="0"/>
        <w:adjustRightInd/>
        <w:snapToGrid/>
        <w:spacing w:before="0" w:beforeAutospacing="0" w:after="0" w:afterAutospacing="0" w:line="560" w:lineRule="atLeast"/>
        <w:textAlignment w:val="auto"/>
        <w:rPr>
          <w:rFonts w:ascii="仿宋" w:hAnsi="仿宋" w:eastAsia="仿宋"/>
          <w:sz w:val="28"/>
          <w:szCs w:val="28"/>
        </w:rPr>
      </w:pPr>
      <w:r>
        <w:rPr>
          <w:rFonts w:hint="eastAsia" w:ascii="仿宋" w:hAnsi="仿宋" w:eastAsia="仿宋" w:cs="仿宋_GB2312"/>
          <w:sz w:val="28"/>
          <w:szCs w:val="28"/>
        </w:rPr>
        <w:t>表1综合评分表</w:t>
      </w:r>
    </w:p>
    <w:tbl>
      <w:tblPr>
        <w:tblStyle w:val="20"/>
        <w:tblpPr w:leftFromText="180" w:rightFromText="180" w:vertAnchor="text" w:horzAnchor="page" w:tblpX="1984" w:tblpY="283"/>
        <w:tblOverlap w:val="never"/>
        <w:tblW w:w="7986"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283"/>
        <w:gridCol w:w="1707"/>
        <w:gridCol w:w="727"/>
        <w:gridCol w:w="1215"/>
        <w:gridCol w:w="96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0" w:hRule="atLeast"/>
          <w:tblHeader/>
          <w:jc w:val="center"/>
        </w:trPr>
        <w:tc>
          <w:tcPr>
            <w:tcW w:w="1104" w:type="dxa"/>
            <w:shd w:val="clear" w:color="auto" w:fill="BFBFBF"/>
            <w:vAlign w:val="center"/>
          </w:tcPr>
          <w:p>
            <w:pPr>
              <w:pageBreakBefore w:val="0"/>
              <w:widowControl/>
              <w:kinsoku/>
              <w:wordWrap/>
              <w:overflowPunct/>
              <w:topLinePunct w:val="0"/>
              <w:autoSpaceDE/>
              <w:autoSpaceDN/>
              <w:bidi w:val="0"/>
              <w:adjustRightInd/>
              <w:snapToGrid/>
              <w:spacing w:beforeAutospacing="0" w:afterAutospacing="0" w:line="560" w:lineRule="atLeast"/>
              <w:textAlignment w:val="auto"/>
              <w:rPr>
                <w:rFonts w:ascii="仿宋" w:hAnsi="仿宋" w:eastAsia="仿宋" w:cs="宋体"/>
                <w:b/>
                <w:bCs/>
                <w:color w:val="000000"/>
                <w:kern w:val="0"/>
                <w:sz w:val="22"/>
                <w:szCs w:val="22"/>
              </w:rPr>
            </w:pPr>
            <w:r>
              <w:rPr>
                <w:rFonts w:hint="eastAsia" w:ascii="仿宋" w:hAnsi="仿宋" w:eastAsia="仿宋" w:cs="宋体"/>
                <w:b/>
                <w:bCs/>
                <w:color w:val="000000"/>
                <w:kern w:val="0"/>
                <w:sz w:val="22"/>
                <w:szCs w:val="22"/>
              </w:rPr>
              <w:t>一级指标</w:t>
            </w:r>
          </w:p>
        </w:tc>
        <w:tc>
          <w:tcPr>
            <w:tcW w:w="990" w:type="dxa"/>
            <w:shd w:val="clear" w:color="auto" w:fill="BFBFBF"/>
            <w:vAlign w:val="center"/>
          </w:tcPr>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b/>
                <w:bCs/>
                <w:color w:val="000000"/>
                <w:kern w:val="0"/>
                <w:sz w:val="22"/>
                <w:szCs w:val="22"/>
              </w:rPr>
            </w:pPr>
            <w:r>
              <w:rPr>
                <w:rFonts w:hint="eastAsia" w:ascii="仿宋" w:hAnsi="仿宋" w:eastAsia="仿宋" w:cs="宋体"/>
                <w:b/>
                <w:bCs/>
                <w:color w:val="000000"/>
                <w:kern w:val="0"/>
                <w:sz w:val="22"/>
                <w:szCs w:val="22"/>
              </w:rPr>
              <w:t>分值</w:t>
            </w:r>
          </w:p>
        </w:tc>
        <w:tc>
          <w:tcPr>
            <w:tcW w:w="1283" w:type="dxa"/>
            <w:shd w:val="clear" w:color="auto" w:fill="BFBFBF"/>
            <w:vAlign w:val="center"/>
          </w:tcPr>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b/>
                <w:bCs/>
                <w:color w:val="000000"/>
                <w:kern w:val="0"/>
                <w:sz w:val="22"/>
                <w:szCs w:val="22"/>
              </w:rPr>
            </w:pPr>
            <w:r>
              <w:rPr>
                <w:rFonts w:hint="eastAsia" w:ascii="仿宋" w:hAnsi="仿宋" w:eastAsia="仿宋" w:cs="宋体"/>
                <w:b/>
                <w:bCs/>
                <w:color w:val="000000"/>
                <w:kern w:val="0"/>
                <w:sz w:val="22"/>
                <w:szCs w:val="22"/>
              </w:rPr>
              <w:t>二级指标</w:t>
            </w:r>
          </w:p>
        </w:tc>
        <w:tc>
          <w:tcPr>
            <w:tcW w:w="1707" w:type="dxa"/>
            <w:shd w:val="clear" w:color="auto" w:fill="BFBFBF"/>
            <w:vAlign w:val="center"/>
          </w:tcPr>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b/>
                <w:bCs/>
                <w:color w:val="000000"/>
                <w:kern w:val="0"/>
                <w:sz w:val="22"/>
                <w:szCs w:val="22"/>
              </w:rPr>
            </w:pPr>
            <w:r>
              <w:rPr>
                <w:rFonts w:hint="eastAsia" w:ascii="仿宋" w:hAnsi="仿宋" w:eastAsia="仿宋" w:cs="宋体"/>
                <w:b/>
                <w:bCs/>
                <w:color w:val="000000"/>
                <w:kern w:val="0"/>
                <w:sz w:val="22"/>
                <w:szCs w:val="22"/>
              </w:rPr>
              <w:t>三级指标</w:t>
            </w:r>
          </w:p>
        </w:tc>
        <w:tc>
          <w:tcPr>
            <w:tcW w:w="727" w:type="dxa"/>
            <w:shd w:val="clear" w:color="auto" w:fill="BFBFBF"/>
            <w:vAlign w:val="center"/>
          </w:tcPr>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b/>
                <w:bCs/>
                <w:color w:val="000000"/>
                <w:kern w:val="0"/>
                <w:sz w:val="22"/>
                <w:szCs w:val="22"/>
              </w:rPr>
            </w:pPr>
            <w:r>
              <w:rPr>
                <w:rFonts w:hint="eastAsia" w:ascii="仿宋" w:hAnsi="仿宋" w:eastAsia="仿宋" w:cs="宋体"/>
                <w:b/>
                <w:bCs/>
                <w:color w:val="000000"/>
                <w:kern w:val="0"/>
                <w:sz w:val="22"/>
                <w:szCs w:val="22"/>
              </w:rPr>
              <w:t>权重</w:t>
            </w:r>
          </w:p>
        </w:tc>
        <w:tc>
          <w:tcPr>
            <w:tcW w:w="1215"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b/>
                <w:bCs/>
                <w:color w:val="000000"/>
                <w:kern w:val="0"/>
                <w:sz w:val="22"/>
                <w:szCs w:val="22"/>
                <w:highlight w:val="yellow"/>
              </w:rPr>
            </w:pPr>
            <w:r>
              <w:rPr>
                <w:rFonts w:hint="eastAsia" w:ascii="仿宋" w:hAnsi="仿宋" w:eastAsia="仿宋" w:cs="宋体"/>
                <w:b/>
                <w:bCs/>
                <w:color w:val="000000"/>
                <w:kern w:val="0"/>
                <w:sz w:val="22"/>
                <w:szCs w:val="22"/>
                <w:highlight w:val="none"/>
              </w:rPr>
              <w:t>得分率</w:t>
            </w:r>
          </w:p>
        </w:tc>
        <w:tc>
          <w:tcPr>
            <w:tcW w:w="960"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b/>
                <w:bCs/>
                <w:color w:val="000000"/>
                <w:kern w:val="0"/>
                <w:sz w:val="22"/>
                <w:szCs w:val="22"/>
              </w:rPr>
            </w:pPr>
            <w:r>
              <w:rPr>
                <w:rFonts w:hint="eastAsia" w:ascii="仿宋" w:hAnsi="仿宋" w:eastAsia="仿宋" w:cs="宋体"/>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jc w:val="center"/>
        </w:trPr>
        <w:tc>
          <w:tcPr>
            <w:tcW w:w="1104" w:type="dxa"/>
            <w:vMerge w:val="restart"/>
            <w:shd w:val="clear" w:color="auto" w:fill="FFFFFF"/>
            <w:vAlign w:val="center"/>
          </w:tcPr>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r>
              <w:rPr>
                <w:rFonts w:hint="eastAsia" w:ascii="仿宋" w:hAnsi="仿宋" w:eastAsia="仿宋" w:cs="宋体"/>
                <w:color w:val="000000"/>
                <w:kern w:val="0"/>
                <w:sz w:val="22"/>
                <w:szCs w:val="22"/>
              </w:rPr>
              <w:t>决策　</w:t>
            </w:r>
          </w:p>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r>
              <w:rPr>
                <w:rFonts w:hint="eastAsia" w:ascii="仿宋" w:hAnsi="仿宋" w:eastAsia="仿宋" w:cs="宋体"/>
                <w:color w:val="000000"/>
                <w:kern w:val="0"/>
                <w:sz w:val="22"/>
                <w:szCs w:val="22"/>
              </w:rPr>
              <w:t>　</w:t>
            </w:r>
          </w:p>
          <w:p>
            <w:pPr>
              <w:pageBreakBefore w:val="0"/>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r>
              <w:rPr>
                <w:rFonts w:hint="eastAsia" w:ascii="仿宋" w:hAnsi="仿宋" w:eastAsia="仿宋" w:cs="宋体"/>
                <w:color w:val="000000"/>
                <w:kern w:val="0"/>
                <w:sz w:val="22"/>
                <w:szCs w:val="22"/>
              </w:rPr>
              <w:t>　</w:t>
            </w:r>
          </w:p>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r>
              <w:rPr>
                <w:rFonts w:hint="eastAsia" w:ascii="仿宋" w:hAnsi="仿宋" w:eastAsia="仿宋" w:cs="宋体"/>
                <w:color w:val="000000"/>
                <w:kern w:val="0"/>
                <w:sz w:val="22"/>
                <w:szCs w:val="22"/>
              </w:rPr>
              <w:t>　</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r>
              <w:rPr>
                <w:rFonts w:hint="eastAsia" w:ascii="仿宋" w:hAnsi="仿宋" w:eastAsia="仿宋" w:cs="宋体"/>
                <w:kern w:val="0"/>
                <w:sz w:val="22"/>
                <w:szCs w:val="22"/>
              </w:rPr>
              <w:t>5分</w:t>
            </w: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r>
              <w:rPr>
                <w:rFonts w:hint="eastAsia" w:ascii="仿宋" w:hAnsi="仿宋" w:eastAsia="仿宋" w:cs="宋体"/>
                <w:color w:val="000000"/>
                <w:kern w:val="0"/>
                <w:sz w:val="22"/>
                <w:szCs w:val="22"/>
              </w:rPr>
              <w:t>项目立项　</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r>
              <w:rPr>
                <w:rFonts w:hint="eastAsia" w:ascii="仿宋" w:hAnsi="仿宋" w:eastAsia="仿宋" w:cs="宋体"/>
                <w:color w:val="000000"/>
                <w:kern w:val="0"/>
                <w:sz w:val="22"/>
                <w:szCs w:val="22"/>
              </w:rPr>
              <w:t>立项依据</w:t>
            </w:r>
          </w:p>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r>
              <w:rPr>
                <w:rFonts w:hint="eastAsia" w:ascii="仿宋" w:hAnsi="仿宋" w:eastAsia="仿宋" w:cs="宋体"/>
                <w:color w:val="000000"/>
                <w:kern w:val="0"/>
                <w:sz w:val="22"/>
                <w:szCs w:val="22"/>
              </w:rPr>
              <w:t>充分性</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r>
              <w:rPr>
                <w:rFonts w:hint="eastAsia" w:ascii="仿宋" w:hAnsi="仿宋" w:eastAsia="仿宋" w:cs="宋体"/>
                <w:color w:val="000000"/>
                <w:kern w:val="0"/>
                <w:sz w:val="22"/>
                <w:szCs w:val="22"/>
              </w:rPr>
              <w:t>0.5</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hint="default" w:ascii="仿宋" w:hAnsi="仿宋" w:eastAsia="仿宋" w:cs="宋体"/>
                <w:color w:val="000000"/>
                <w:kern w:val="0"/>
                <w:sz w:val="22"/>
                <w:szCs w:val="22"/>
                <w:lang w:val="en-US" w:eastAsia="zh-CN"/>
              </w:rPr>
            </w:pPr>
            <w:r>
              <w:rPr>
                <w:rFonts w:hint="eastAsia" w:ascii="仿宋" w:hAnsi="仿宋" w:eastAsia="仿宋" w:cs="宋体"/>
                <w:color w:val="000000"/>
                <w:kern w:val="0"/>
                <w:sz w:val="22"/>
                <w:szCs w:val="22"/>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r>
              <w:rPr>
                <w:rFonts w:hint="eastAsia" w:ascii="仿宋" w:hAnsi="仿宋" w:eastAsia="仿宋" w:cs="宋体"/>
                <w:color w:val="000000"/>
                <w:kern w:val="0"/>
                <w:sz w:val="22"/>
                <w:szCs w:val="22"/>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jc w:val="center"/>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r>
              <w:rPr>
                <w:rFonts w:hint="eastAsia" w:ascii="仿宋" w:hAnsi="仿宋" w:eastAsia="仿宋" w:cs="宋体"/>
                <w:color w:val="000000"/>
                <w:kern w:val="0"/>
                <w:sz w:val="22"/>
                <w:szCs w:val="22"/>
              </w:rPr>
              <w:t>立项程序</w:t>
            </w:r>
          </w:p>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r>
              <w:rPr>
                <w:rFonts w:hint="eastAsia" w:ascii="仿宋" w:hAnsi="仿宋" w:eastAsia="仿宋" w:cs="宋体"/>
                <w:color w:val="000000"/>
                <w:kern w:val="0"/>
                <w:sz w:val="22"/>
                <w:szCs w:val="22"/>
              </w:rPr>
              <w:t>规范性</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r>
              <w:rPr>
                <w:rFonts w:hint="eastAsia" w:ascii="仿宋" w:hAnsi="仿宋" w:eastAsia="仿宋" w:cs="宋体"/>
                <w:color w:val="000000"/>
                <w:kern w:val="0"/>
                <w:sz w:val="22"/>
                <w:szCs w:val="22"/>
              </w:rPr>
              <w:t>0.5</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hint="default" w:ascii="仿宋" w:hAnsi="仿宋" w:eastAsia="仿宋" w:cs="宋体"/>
                <w:color w:val="000000"/>
                <w:kern w:val="0"/>
                <w:sz w:val="22"/>
                <w:szCs w:val="22"/>
                <w:lang w:val="en-US" w:eastAsia="zh-CN"/>
              </w:rPr>
            </w:pPr>
            <w:r>
              <w:rPr>
                <w:rFonts w:hint="eastAsia" w:ascii="仿宋" w:hAnsi="仿宋" w:eastAsia="仿宋" w:cs="宋体"/>
                <w:color w:val="000000"/>
                <w:kern w:val="0"/>
                <w:sz w:val="22"/>
                <w:szCs w:val="22"/>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r>
              <w:rPr>
                <w:rFonts w:hint="eastAsia" w:ascii="仿宋" w:hAnsi="仿宋" w:eastAsia="仿宋" w:cs="宋体"/>
                <w:color w:val="000000"/>
                <w:kern w:val="0"/>
                <w:sz w:val="22"/>
                <w:szCs w:val="22"/>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jc w:val="center"/>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r>
              <w:rPr>
                <w:rFonts w:hint="eastAsia" w:ascii="仿宋" w:hAnsi="仿宋" w:eastAsia="仿宋" w:cs="宋体"/>
                <w:color w:val="000000"/>
                <w:kern w:val="0"/>
                <w:sz w:val="22"/>
                <w:szCs w:val="22"/>
              </w:rPr>
              <w:t>绩效目标　</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r>
              <w:rPr>
                <w:rFonts w:hint="eastAsia" w:ascii="仿宋" w:hAnsi="仿宋" w:eastAsia="仿宋" w:cs="宋体"/>
                <w:color w:val="000000"/>
                <w:kern w:val="0"/>
                <w:sz w:val="22"/>
                <w:szCs w:val="22"/>
              </w:rPr>
              <w:t>绩效目标</w:t>
            </w:r>
          </w:p>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r>
              <w:rPr>
                <w:rFonts w:hint="eastAsia" w:ascii="仿宋" w:hAnsi="仿宋" w:eastAsia="仿宋" w:cs="宋体"/>
                <w:color w:val="000000"/>
                <w:kern w:val="0"/>
                <w:sz w:val="22"/>
                <w:szCs w:val="22"/>
              </w:rPr>
              <w:t>合理性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r>
              <w:rPr>
                <w:rFonts w:hint="eastAsia" w:ascii="仿宋" w:hAnsi="仿宋" w:eastAsia="仿宋" w:cs="宋体"/>
                <w:color w:val="000000"/>
                <w:kern w:val="0"/>
                <w:sz w:val="22"/>
                <w:szCs w:val="22"/>
              </w:rPr>
              <w:t>1</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hint="default" w:ascii="仿宋" w:hAnsi="仿宋" w:eastAsia="仿宋" w:cs="宋体"/>
                <w:color w:val="000000"/>
                <w:kern w:val="0"/>
                <w:sz w:val="22"/>
                <w:szCs w:val="22"/>
                <w:lang w:val="en-US" w:eastAsia="zh-CN"/>
              </w:rPr>
            </w:pPr>
            <w:r>
              <w:rPr>
                <w:rFonts w:hint="eastAsia" w:ascii="仿宋" w:hAnsi="仿宋" w:eastAsia="仿宋"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r>
              <w:rPr>
                <w:rFonts w:hint="eastAsia" w:ascii="仿宋" w:hAnsi="仿宋" w:eastAsia="仿宋"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jc w:val="center"/>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r>
              <w:rPr>
                <w:rFonts w:hint="eastAsia" w:ascii="仿宋" w:hAnsi="仿宋" w:eastAsia="仿宋" w:cs="宋体"/>
                <w:color w:val="000000"/>
                <w:kern w:val="0"/>
                <w:sz w:val="22"/>
                <w:szCs w:val="22"/>
              </w:rPr>
              <w:t>绩效指标</w:t>
            </w:r>
          </w:p>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r>
              <w:rPr>
                <w:rFonts w:hint="eastAsia" w:ascii="仿宋" w:hAnsi="仿宋" w:eastAsia="仿宋" w:cs="宋体"/>
                <w:color w:val="000000"/>
                <w:kern w:val="0"/>
                <w:sz w:val="22"/>
                <w:szCs w:val="22"/>
              </w:rPr>
              <w:t>明确性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r>
              <w:rPr>
                <w:rFonts w:hint="eastAsia" w:ascii="仿宋" w:hAnsi="仿宋" w:eastAsia="仿宋" w:cs="宋体"/>
                <w:color w:val="000000"/>
                <w:kern w:val="0"/>
                <w:sz w:val="22"/>
                <w:szCs w:val="22"/>
              </w:rPr>
              <w:t>1</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hint="default" w:ascii="仿宋" w:hAnsi="仿宋" w:eastAsia="仿宋" w:cs="宋体"/>
                <w:color w:val="000000"/>
                <w:kern w:val="0"/>
                <w:sz w:val="22"/>
                <w:szCs w:val="22"/>
                <w:lang w:val="en-US" w:eastAsia="zh-CN"/>
              </w:rPr>
            </w:pPr>
            <w:r>
              <w:rPr>
                <w:rFonts w:hint="eastAsia" w:ascii="仿宋" w:hAnsi="仿宋" w:eastAsia="仿宋"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r>
              <w:rPr>
                <w:rFonts w:hint="eastAsia" w:ascii="仿宋" w:hAnsi="仿宋" w:eastAsia="仿宋"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jc w:val="center"/>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r>
              <w:rPr>
                <w:rFonts w:hint="eastAsia" w:ascii="仿宋" w:hAnsi="仿宋" w:eastAsia="仿宋" w:cs="宋体"/>
                <w:color w:val="000000"/>
                <w:kern w:val="0"/>
                <w:sz w:val="22"/>
                <w:szCs w:val="22"/>
              </w:rPr>
              <w:t>资金投入</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r>
              <w:rPr>
                <w:rFonts w:hint="eastAsia" w:ascii="仿宋" w:hAnsi="仿宋" w:eastAsia="仿宋" w:cs="宋体"/>
                <w:color w:val="000000"/>
                <w:kern w:val="0"/>
                <w:sz w:val="22"/>
                <w:szCs w:val="22"/>
              </w:rPr>
              <w:t>预算编制</w:t>
            </w:r>
          </w:p>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r>
              <w:rPr>
                <w:rFonts w:hint="eastAsia" w:ascii="仿宋" w:hAnsi="仿宋" w:eastAsia="仿宋" w:cs="宋体"/>
                <w:color w:val="000000"/>
                <w:kern w:val="0"/>
                <w:sz w:val="22"/>
                <w:szCs w:val="22"/>
              </w:rPr>
              <w:t>科学性</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r>
              <w:rPr>
                <w:rFonts w:hint="eastAsia" w:ascii="仿宋" w:hAnsi="仿宋" w:eastAsia="仿宋" w:cs="宋体"/>
                <w:color w:val="000000"/>
                <w:kern w:val="0"/>
                <w:sz w:val="22"/>
                <w:szCs w:val="22"/>
              </w:rPr>
              <w:t>1</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hint="eastAsia" w:ascii="仿宋" w:hAnsi="仿宋" w:eastAsia="仿宋" w:cs="宋体"/>
                <w:color w:val="000000"/>
                <w:kern w:val="0"/>
                <w:sz w:val="22"/>
                <w:szCs w:val="22"/>
                <w:lang w:val="en-US" w:eastAsia="zh-CN"/>
              </w:rPr>
            </w:pPr>
            <w:r>
              <w:rPr>
                <w:rFonts w:hint="eastAsia" w:ascii="仿宋" w:hAnsi="仿宋" w:eastAsia="仿宋" w:cs="宋体"/>
                <w:color w:val="000000"/>
                <w:kern w:val="0"/>
                <w:sz w:val="22"/>
                <w:szCs w:val="22"/>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r>
              <w:rPr>
                <w:rFonts w:hint="eastAsia" w:ascii="仿宋" w:hAnsi="仿宋" w:eastAsia="仿宋"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jc w:val="center"/>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r>
              <w:rPr>
                <w:rFonts w:hint="eastAsia" w:ascii="仿宋" w:hAnsi="仿宋" w:eastAsia="仿宋" w:cs="宋体"/>
                <w:color w:val="000000"/>
                <w:kern w:val="0"/>
                <w:sz w:val="22"/>
                <w:szCs w:val="22"/>
              </w:rPr>
              <w:t>资金分配</w:t>
            </w:r>
          </w:p>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r>
              <w:rPr>
                <w:rFonts w:hint="eastAsia" w:ascii="仿宋" w:hAnsi="仿宋" w:eastAsia="仿宋" w:cs="宋体"/>
                <w:color w:val="000000"/>
                <w:kern w:val="0"/>
                <w:sz w:val="22"/>
                <w:szCs w:val="22"/>
              </w:rPr>
              <w:t>合理性</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r>
              <w:rPr>
                <w:rFonts w:hint="eastAsia" w:ascii="仿宋" w:hAnsi="仿宋" w:eastAsia="仿宋" w:cs="宋体"/>
                <w:color w:val="000000"/>
                <w:kern w:val="0"/>
                <w:sz w:val="22"/>
                <w:szCs w:val="22"/>
              </w:rPr>
              <w:t>1</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hint="eastAsia" w:ascii="仿宋" w:hAnsi="仿宋" w:eastAsia="仿宋" w:cs="宋体"/>
                <w:color w:val="000000"/>
                <w:kern w:val="0"/>
                <w:sz w:val="22"/>
                <w:szCs w:val="22"/>
                <w:lang w:val="en-US" w:eastAsia="zh-CN"/>
              </w:rPr>
            </w:pPr>
            <w:r>
              <w:rPr>
                <w:rFonts w:hint="eastAsia" w:ascii="仿宋" w:hAnsi="仿宋" w:eastAsia="仿宋" w:cs="宋体"/>
                <w:color w:val="000000"/>
                <w:kern w:val="0"/>
                <w:sz w:val="22"/>
                <w:szCs w:val="22"/>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r>
              <w:rPr>
                <w:rFonts w:hint="eastAsia" w:ascii="仿宋" w:hAnsi="仿宋" w:eastAsia="仿宋"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jc w:val="center"/>
        </w:trPr>
        <w:tc>
          <w:tcPr>
            <w:tcW w:w="1104" w:type="dxa"/>
            <w:vMerge w:val="restart"/>
            <w:shd w:val="clear" w:color="auto" w:fill="FFFFFF"/>
            <w:vAlign w:val="center"/>
          </w:tcPr>
          <w:p>
            <w:pPr>
              <w:pageBreakBefore w:val="0"/>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r>
              <w:rPr>
                <w:rFonts w:hint="eastAsia" w:ascii="仿宋" w:hAnsi="仿宋" w:eastAsia="仿宋" w:cs="宋体"/>
                <w:color w:val="000000"/>
                <w:kern w:val="0"/>
                <w:sz w:val="22"/>
                <w:szCs w:val="22"/>
              </w:rPr>
              <w:t>过程</w:t>
            </w:r>
          </w:p>
          <w:p>
            <w:pPr>
              <w:pageBreakBefore w:val="0"/>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r>
              <w:rPr>
                <w:rFonts w:hint="eastAsia" w:ascii="仿宋" w:hAnsi="仿宋" w:eastAsia="仿宋" w:cs="宋体"/>
                <w:color w:val="000000"/>
                <w:kern w:val="0"/>
                <w:sz w:val="22"/>
                <w:szCs w:val="22"/>
              </w:rPr>
              <w:t>　</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r>
              <w:rPr>
                <w:rFonts w:hint="eastAsia" w:ascii="仿宋" w:hAnsi="仿宋" w:eastAsia="仿宋" w:cs="宋体"/>
                <w:kern w:val="0"/>
                <w:sz w:val="22"/>
                <w:szCs w:val="22"/>
              </w:rPr>
              <w:t>5分</w:t>
            </w: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r>
              <w:rPr>
                <w:rFonts w:hint="eastAsia" w:ascii="仿宋" w:hAnsi="仿宋" w:eastAsia="仿宋" w:cs="宋体"/>
                <w:color w:val="000000"/>
                <w:kern w:val="0"/>
                <w:sz w:val="22"/>
                <w:szCs w:val="22"/>
              </w:rPr>
              <w:t>资金管理</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r>
              <w:rPr>
                <w:rFonts w:hint="eastAsia" w:ascii="仿宋" w:hAnsi="仿宋" w:eastAsia="仿宋" w:cs="宋体"/>
                <w:color w:val="000000"/>
                <w:kern w:val="0"/>
                <w:sz w:val="22"/>
                <w:szCs w:val="22"/>
              </w:rPr>
              <w:t>资金到位率</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r>
              <w:rPr>
                <w:rFonts w:hint="eastAsia" w:ascii="仿宋" w:hAnsi="仿宋" w:eastAsia="仿宋" w:cs="宋体"/>
                <w:color w:val="000000"/>
                <w:kern w:val="0"/>
                <w:sz w:val="22"/>
                <w:szCs w:val="22"/>
              </w:rPr>
              <w:t>1</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hint="eastAsia" w:ascii="仿宋" w:hAnsi="仿宋" w:eastAsia="仿宋" w:cs="宋体"/>
                <w:color w:val="000000"/>
                <w:kern w:val="0"/>
                <w:sz w:val="22"/>
                <w:szCs w:val="22"/>
                <w:lang w:val="en-US" w:eastAsia="zh-CN"/>
              </w:rPr>
            </w:pPr>
            <w:r>
              <w:rPr>
                <w:rFonts w:hint="eastAsia" w:ascii="仿宋" w:hAnsi="仿宋" w:eastAsia="仿宋"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r>
              <w:rPr>
                <w:rFonts w:hint="eastAsia" w:ascii="仿宋" w:hAnsi="仿宋" w:eastAsia="仿宋"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jc w:val="center"/>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p>
        </w:tc>
        <w:tc>
          <w:tcPr>
            <w:tcW w:w="1283" w:type="dxa"/>
            <w:vMerge w:val="continue"/>
            <w:shd w:val="clear" w:color="auto" w:fill="FFFFFF"/>
            <w:vAlign w:val="center"/>
          </w:tcPr>
          <w:p>
            <w:pPr>
              <w:pageBreakBefore w:val="0"/>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r>
              <w:rPr>
                <w:rFonts w:hint="eastAsia" w:ascii="仿宋" w:hAnsi="仿宋" w:eastAsia="仿宋" w:cs="宋体"/>
                <w:color w:val="000000"/>
                <w:kern w:val="0"/>
                <w:sz w:val="22"/>
                <w:szCs w:val="22"/>
              </w:rPr>
              <w:t>预算执行率</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r>
              <w:rPr>
                <w:rFonts w:hint="eastAsia" w:ascii="仿宋" w:hAnsi="仿宋" w:eastAsia="仿宋" w:cs="宋体"/>
                <w:color w:val="000000"/>
                <w:kern w:val="0"/>
                <w:sz w:val="22"/>
                <w:szCs w:val="22"/>
              </w:rPr>
              <w:t>1</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hint="eastAsia" w:ascii="仿宋" w:hAnsi="仿宋" w:eastAsia="仿宋" w:cs="宋体"/>
                <w:color w:val="000000"/>
                <w:kern w:val="0"/>
                <w:sz w:val="22"/>
                <w:szCs w:val="22"/>
                <w:lang w:val="en-US" w:eastAsia="zh-CN"/>
              </w:rPr>
            </w:pPr>
            <w:r>
              <w:rPr>
                <w:rFonts w:hint="eastAsia" w:ascii="仿宋" w:hAnsi="仿宋" w:eastAsia="仿宋" w:cs="宋体"/>
                <w:color w:val="000000"/>
                <w:kern w:val="0"/>
                <w:sz w:val="22"/>
                <w:szCs w:val="22"/>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r>
              <w:rPr>
                <w:rFonts w:hint="eastAsia" w:ascii="仿宋" w:hAnsi="仿宋" w:eastAsia="仿宋"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jc w:val="center"/>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p>
        </w:tc>
        <w:tc>
          <w:tcPr>
            <w:tcW w:w="1283" w:type="dxa"/>
            <w:shd w:val="clear" w:color="auto" w:fill="FFFFFF"/>
            <w:vAlign w:val="center"/>
          </w:tcPr>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r>
              <w:rPr>
                <w:rFonts w:hint="eastAsia" w:ascii="仿宋" w:hAnsi="仿宋" w:eastAsia="仿宋" w:cs="宋体"/>
                <w:color w:val="000000"/>
                <w:kern w:val="0"/>
                <w:sz w:val="22"/>
                <w:szCs w:val="22"/>
              </w:rPr>
              <w:t>资金管理</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r>
              <w:rPr>
                <w:rFonts w:hint="eastAsia" w:ascii="仿宋" w:hAnsi="仿宋" w:eastAsia="仿宋" w:cs="宋体"/>
                <w:color w:val="000000"/>
                <w:kern w:val="0"/>
                <w:sz w:val="22"/>
                <w:szCs w:val="22"/>
              </w:rPr>
              <w:t>资金使用</w:t>
            </w:r>
          </w:p>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r>
              <w:rPr>
                <w:rFonts w:hint="eastAsia" w:ascii="仿宋" w:hAnsi="仿宋" w:eastAsia="仿宋" w:cs="宋体"/>
                <w:color w:val="000000"/>
                <w:kern w:val="0"/>
                <w:sz w:val="22"/>
                <w:szCs w:val="22"/>
              </w:rPr>
              <w:t>合规性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r>
              <w:rPr>
                <w:rFonts w:hint="eastAsia" w:ascii="仿宋" w:hAnsi="仿宋" w:eastAsia="仿宋" w:cs="宋体"/>
                <w:color w:val="000000"/>
                <w:kern w:val="0"/>
                <w:sz w:val="22"/>
                <w:szCs w:val="22"/>
              </w:rPr>
              <w:t>1</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hint="eastAsia" w:ascii="仿宋" w:hAnsi="仿宋" w:eastAsia="仿宋" w:cs="宋体"/>
                <w:color w:val="000000"/>
                <w:kern w:val="0"/>
                <w:sz w:val="22"/>
                <w:szCs w:val="22"/>
                <w:lang w:val="en-US" w:eastAsia="zh-CN"/>
              </w:rPr>
            </w:pPr>
            <w:r>
              <w:rPr>
                <w:rFonts w:hint="eastAsia" w:ascii="仿宋" w:hAnsi="仿宋" w:eastAsia="仿宋"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r>
              <w:rPr>
                <w:rFonts w:hint="eastAsia" w:ascii="仿宋" w:hAnsi="仿宋" w:eastAsia="仿宋"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jc w:val="center"/>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r>
              <w:rPr>
                <w:rFonts w:hint="eastAsia" w:ascii="仿宋" w:hAnsi="仿宋" w:eastAsia="仿宋" w:cs="宋体"/>
                <w:color w:val="000000"/>
                <w:kern w:val="0"/>
                <w:sz w:val="22"/>
                <w:szCs w:val="22"/>
              </w:rPr>
              <w:t>组织实施</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r>
              <w:rPr>
                <w:rFonts w:hint="eastAsia" w:ascii="仿宋" w:hAnsi="仿宋" w:eastAsia="仿宋" w:cs="宋体"/>
                <w:color w:val="000000"/>
                <w:kern w:val="0"/>
                <w:sz w:val="22"/>
                <w:szCs w:val="22"/>
              </w:rPr>
              <w:t>管理制度</w:t>
            </w:r>
          </w:p>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r>
              <w:rPr>
                <w:rFonts w:hint="eastAsia" w:ascii="仿宋" w:hAnsi="仿宋" w:eastAsia="仿宋" w:cs="宋体"/>
                <w:color w:val="000000"/>
                <w:kern w:val="0"/>
                <w:sz w:val="22"/>
                <w:szCs w:val="22"/>
              </w:rPr>
              <w:t>健全性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r>
              <w:rPr>
                <w:rFonts w:hint="eastAsia" w:ascii="仿宋" w:hAnsi="仿宋" w:eastAsia="仿宋" w:cs="宋体"/>
                <w:color w:val="000000"/>
                <w:kern w:val="0"/>
                <w:sz w:val="22"/>
                <w:szCs w:val="22"/>
              </w:rPr>
              <w:t>1</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hint="eastAsia" w:ascii="仿宋" w:hAnsi="仿宋" w:eastAsia="仿宋" w:cs="宋体"/>
                <w:color w:val="000000"/>
                <w:kern w:val="0"/>
                <w:sz w:val="22"/>
                <w:szCs w:val="22"/>
                <w:lang w:val="en-US" w:eastAsia="zh-CN"/>
              </w:rPr>
            </w:pPr>
            <w:r>
              <w:rPr>
                <w:rFonts w:hint="eastAsia" w:ascii="仿宋" w:hAnsi="仿宋" w:eastAsia="仿宋"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r>
              <w:rPr>
                <w:rFonts w:hint="eastAsia" w:ascii="仿宋" w:hAnsi="仿宋" w:eastAsia="仿宋"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jc w:val="center"/>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r>
              <w:rPr>
                <w:rFonts w:hint="eastAsia" w:ascii="仿宋" w:hAnsi="仿宋" w:eastAsia="仿宋" w:cs="宋体"/>
                <w:color w:val="000000"/>
                <w:kern w:val="0"/>
                <w:sz w:val="22"/>
                <w:szCs w:val="22"/>
              </w:rPr>
              <w:t>制度执行</w:t>
            </w:r>
          </w:p>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r>
              <w:rPr>
                <w:rFonts w:hint="eastAsia" w:ascii="仿宋" w:hAnsi="仿宋" w:eastAsia="仿宋" w:cs="宋体"/>
                <w:color w:val="000000"/>
                <w:kern w:val="0"/>
                <w:sz w:val="22"/>
                <w:szCs w:val="22"/>
              </w:rPr>
              <w:t>有效性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r>
              <w:rPr>
                <w:rFonts w:hint="eastAsia" w:ascii="仿宋" w:hAnsi="仿宋" w:eastAsia="仿宋" w:cs="宋体"/>
                <w:color w:val="000000"/>
                <w:kern w:val="0"/>
                <w:sz w:val="22"/>
                <w:szCs w:val="22"/>
              </w:rPr>
              <w:t>1</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hint="eastAsia" w:ascii="仿宋" w:hAnsi="仿宋" w:eastAsia="仿宋" w:cs="宋体"/>
                <w:color w:val="000000"/>
                <w:kern w:val="0"/>
                <w:sz w:val="22"/>
                <w:szCs w:val="22"/>
                <w:lang w:val="en-US" w:eastAsia="zh-CN"/>
              </w:rPr>
            </w:pPr>
            <w:r>
              <w:rPr>
                <w:rFonts w:hint="eastAsia" w:ascii="仿宋" w:hAnsi="仿宋" w:eastAsia="仿宋"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r>
              <w:rPr>
                <w:rFonts w:hint="eastAsia" w:ascii="仿宋" w:hAnsi="仿宋" w:eastAsia="仿宋"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11" w:hRule="atLeast"/>
          <w:jc w:val="center"/>
        </w:trPr>
        <w:tc>
          <w:tcPr>
            <w:tcW w:w="1104" w:type="dxa"/>
            <w:vMerge w:val="restart"/>
            <w:shd w:val="clear" w:color="auto" w:fill="FFFFFF"/>
            <w:vAlign w:val="center"/>
          </w:tcPr>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r>
              <w:rPr>
                <w:rFonts w:hint="eastAsia" w:ascii="仿宋" w:hAnsi="仿宋" w:eastAsia="仿宋" w:cs="宋体"/>
                <w:color w:val="000000"/>
                <w:kern w:val="0"/>
                <w:sz w:val="22"/>
                <w:szCs w:val="22"/>
              </w:rPr>
              <w:t>产出</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r>
              <w:rPr>
                <w:rFonts w:hint="eastAsia" w:ascii="仿宋" w:hAnsi="仿宋" w:eastAsia="仿宋" w:cs="宋体"/>
                <w:kern w:val="0"/>
                <w:sz w:val="22"/>
                <w:szCs w:val="22"/>
              </w:rPr>
              <w:t>50分</w:t>
            </w:r>
          </w:p>
        </w:tc>
        <w:tc>
          <w:tcPr>
            <w:tcW w:w="1283" w:type="dxa"/>
            <w:shd w:val="clear" w:color="auto" w:fill="FFFFFF"/>
            <w:vAlign w:val="center"/>
          </w:tcPr>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r>
              <w:rPr>
                <w:rFonts w:hint="eastAsia" w:ascii="仿宋" w:hAnsi="仿宋" w:eastAsia="仿宋" w:cs="宋体"/>
                <w:color w:val="000000"/>
                <w:kern w:val="0"/>
                <w:sz w:val="22"/>
                <w:szCs w:val="22"/>
              </w:rPr>
              <w:t>产出数量</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r>
              <w:rPr>
                <w:rFonts w:hint="eastAsia" w:ascii="仿宋" w:hAnsi="仿宋" w:eastAsia="仿宋" w:cs="宋体"/>
                <w:color w:val="000000"/>
                <w:kern w:val="0"/>
                <w:sz w:val="22"/>
                <w:szCs w:val="22"/>
              </w:rPr>
              <w:t>实际完成率</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r>
              <w:rPr>
                <w:rFonts w:hint="eastAsia" w:ascii="仿宋" w:hAnsi="仿宋" w:eastAsia="仿宋" w:cs="宋体"/>
                <w:color w:val="000000"/>
                <w:kern w:val="0"/>
                <w:sz w:val="22"/>
                <w:szCs w:val="22"/>
              </w:rPr>
              <w:t>15</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hint="default" w:ascii="仿宋" w:hAnsi="仿宋" w:eastAsia="仿宋" w:cs="宋体"/>
                <w:color w:val="000000"/>
                <w:kern w:val="0"/>
                <w:sz w:val="22"/>
                <w:szCs w:val="22"/>
                <w:lang w:val="en-US" w:eastAsia="zh-CN"/>
              </w:rPr>
            </w:pPr>
            <w:r>
              <w:rPr>
                <w:rFonts w:hint="eastAsia" w:ascii="仿宋" w:hAnsi="仿宋" w:eastAsia="仿宋"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r>
              <w:rPr>
                <w:rFonts w:hint="eastAsia" w:ascii="仿宋" w:hAnsi="仿宋" w:eastAsia="仿宋" w:cs="宋体"/>
                <w:color w:val="000000"/>
                <w:kern w:val="0"/>
                <w:sz w:val="22"/>
                <w:szCs w:val="22"/>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jc w:val="center"/>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p>
        </w:tc>
        <w:tc>
          <w:tcPr>
            <w:tcW w:w="1283" w:type="dxa"/>
            <w:shd w:val="clear" w:color="auto" w:fill="FFFFFF"/>
            <w:vAlign w:val="center"/>
          </w:tcPr>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r>
              <w:rPr>
                <w:rFonts w:hint="eastAsia" w:ascii="仿宋" w:hAnsi="仿宋" w:eastAsia="仿宋" w:cs="宋体"/>
                <w:color w:val="000000"/>
                <w:kern w:val="0"/>
                <w:sz w:val="22"/>
                <w:szCs w:val="22"/>
              </w:rPr>
              <w:t>产出质量</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r>
              <w:rPr>
                <w:rFonts w:hint="eastAsia" w:ascii="仿宋" w:hAnsi="仿宋" w:eastAsia="仿宋" w:cs="宋体"/>
                <w:color w:val="000000"/>
                <w:kern w:val="0"/>
                <w:sz w:val="22"/>
                <w:szCs w:val="22"/>
              </w:rPr>
              <w:t>质量达标率</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r>
              <w:rPr>
                <w:rFonts w:hint="eastAsia" w:ascii="仿宋" w:hAnsi="仿宋" w:eastAsia="仿宋" w:cs="宋体"/>
                <w:color w:val="000000"/>
                <w:kern w:val="0"/>
                <w:sz w:val="22"/>
                <w:szCs w:val="22"/>
              </w:rPr>
              <w:t>10</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hint="eastAsia" w:ascii="仿宋" w:hAnsi="仿宋" w:eastAsia="仿宋" w:cs="宋体"/>
                <w:color w:val="000000"/>
                <w:kern w:val="0"/>
                <w:sz w:val="22"/>
                <w:szCs w:val="22"/>
                <w:lang w:val="en-US" w:eastAsia="zh-CN"/>
              </w:rPr>
            </w:pPr>
            <w:r>
              <w:rPr>
                <w:rFonts w:hint="eastAsia" w:ascii="仿宋" w:hAnsi="仿宋" w:eastAsia="仿宋"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r>
              <w:rPr>
                <w:rFonts w:hint="eastAsia" w:ascii="仿宋" w:hAnsi="仿宋" w:eastAsia="仿宋" w:cs="宋体"/>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jc w:val="center"/>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p>
        </w:tc>
        <w:tc>
          <w:tcPr>
            <w:tcW w:w="1283" w:type="dxa"/>
            <w:shd w:val="clear" w:color="auto" w:fill="FFFFFF"/>
            <w:vAlign w:val="center"/>
          </w:tcPr>
          <w:p>
            <w:pPr>
              <w:pageBreakBefore w:val="0"/>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r>
              <w:rPr>
                <w:rFonts w:hint="eastAsia" w:ascii="仿宋" w:hAnsi="仿宋" w:eastAsia="仿宋" w:cs="宋体"/>
                <w:color w:val="000000"/>
                <w:kern w:val="0"/>
                <w:sz w:val="22"/>
                <w:szCs w:val="22"/>
              </w:rPr>
              <w:t>产出时效</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r>
              <w:rPr>
                <w:rFonts w:hint="eastAsia" w:ascii="仿宋" w:hAnsi="仿宋" w:eastAsia="仿宋" w:cs="宋体"/>
                <w:color w:val="000000"/>
                <w:kern w:val="0"/>
                <w:sz w:val="22"/>
                <w:szCs w:val="22"/>
              </w:rPr>
              <w:t>完成及时性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r>
              <w:rPr>
                <w:rFonts w:hint="eastAsia" w:ascii="仿宋" w:hAnsi="仿宋" w:eastAsia="仿宋" w:cs="宋体"/>
                <w:color w:val="000000"/>
                <w:kern w:val="0"/>
                <w:sz w:val="22"/>
                <w:szCs w:val="22"/>
              </w:rPr>
              <w:t>15</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hint="default" w:ascii="仿宋" w:hAnsi="仿宋" w:eastAsia="仿宋" w:cs="宋体"/>
                <w:color w:val="000000"/>
                <w:kern w:val="0"/>
                <w:sz w:val="22"/>
                <w:szCs w:val="22"/>
                <w:lang w:val="en-US" w:eastAsia="zh-CN"/>
              </w:rPr>
            </w:pPr>
            <w:r>
              <w:rPr>
                <w:rFonts w:hint="eastAsia" w:ascii="仿宋" w:hAnsi="仿宋" w:eastAsia="仿宋"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r>
              <w:rPr>
                <w:rFonts w:hint="eastAsia" w:ascii="仿宋" w:hAnsi="仿宋" w:eastAsia="仿宋" w:cs="宋体"/>
                <w:color w:val="000000"/>
                <w:kern w:val="0"/>
                <w:sz w:val="22"/>
                <w:szCs w:val="22"/>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jc w:val="center"/>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p>
        </w:tc>
        <w:tc>
          <w:tcPr>
            <w:tcW w:w="1283" w:type="dxa"/>
            <w:shd w:val="clear" w:color="auto" w:fill="FFFFFF"/>
            <w:vAlign w:val="center"/>
          </w:tcPr>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r>
              <w:rPr>
                <w:rFonts w:hint="eastAsia" w:ascii="仿宋" w:hAnsi="仿宋" w:eastAsia="仿宋" w:cs="宋体"/>
                <w:color w:val="000000"/>
                <w:kern w:val="0"/>
                <w:sz w:val="22"/>
                <w:szCs w:val="22"/>
              </w:rPr>
              <w:t>产出成本</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r>
              <w:rPr>
                <w:rFonts w:hint="eastAsia" w:ascii="仿宋" w:hAnsi="仿宋" w:eastAsia="仿宋" w:cs="宋体"/>
                <w:color w:val="000000"/>
                <w:kern w:val="0"/>
                <w:sz w:val="22"/>
                <w:szCs w:val="22"/>
              </w:rPr>
              <w:t>成本节约率</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r>
              <w:rPr>
                <w:rFonts w:hint="eastAsia" w:ascii="仿宋" w:hAnsi="仿宋" w:eastAsia="仿宋" w:cs="宋体"/>
                <w:color w:val="000000"/>
                <w:kern w:val="0"/>
                <w:sz w:val="22"/>
                <w:szCs w:val="22"/>
              </w:rPr>
              <w:t>10</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hint="default" w:ascii="仿宋" w:hAnsi="仿宋" w:eastAsia="仿宋" w:cs="宋体"/>
                <w:color w:val="000000"/>
                <w:kern w:val="0"/>
                <w:sz w:val="22"/>
                <w:szCs w:val="22"/>
                <w:lang w:val="en-US" w:eastAsia="zh-CN"/>
              </w:rPr>
            </w:pPr>
            <w:r>
              <w:rPr>
                <w:rFonts w:hint="eastAsia" w:ascii="仿宋" w:hAnsi="仿宋" w:eastAsia="仿宋"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r>
              <w:rPr>
                <w:rFonts w:hint="eastAsia" w:ascii="仿宋" w:hAnsi="仿宋" w:eastAsia="仿宋" w:cs="宋体"/>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jc w:val="center"/>
        </w:trPr>
        <w:tc>
          <w:tcPr>
            <w:tcW w:w="1104" w:type="dxa"/>
            <w:vMerge w:val="restart"/>
            <w:shd w:val="clear" w:color="auto" w:fill="FFFFFF"/>
            <w:vAlign w:val="center"/>
          </w:tcPr>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r>
              <w:rPr>
                <w:rFonts w:hint="eastAsia" w:ascii="仿宋" w:hAnsi="仿宋" w:eastAsia="仿宋" w:cs="宋体"/>
                <w:color w:val="000000"/>
                <w:kern w:val="0"/>
                <w:sz w:val="22"/>
                <w:szCs w:val="22"/>
              </w:rPr>
              <w:t>效益　</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r>
              <w:rPr>
                <w:rFonts w:hint="eastAsia" w:ascii="仿宋" w:hAnsi="仿宋" w:eastAsia="仿宋" w:cs="宋体"/>
                <w:color w:val="000000"/>
                <w:kern w:val="0"/>
                <w:sz w:val="22"/>
                <w:szCs w:val="22"/>
              </w:rPr>
              <w:t>40分</w:t>
            </w: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r>
              <w:rPr>
                <w:rFonts w:hint="eastAsia" w:ascii="仿宋" w:hAnsi="仿宋" w:eastAsia="仿宋" w:cs="宋体"/>
                <w:color w:val="000000"/>
                <w:kern w:val="0"/>
                <w:sz w:val="22"/>
                <w:szCs w:val="22"/>
              </w:rPr>
              <w:t>项目效益　</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r>
              <w:rPr>
                <w:rFonts w:hint="eastAsia" w:ascii="仿宋" w:hAnsi="仿宋" w:eastAsia="仿宋" w:cs="宋体"/>
                <w:color w:val="000000"/>
                <w:kern w:val="0"/>
                <w:sz w:val="22"/>
                <w:szCs w:val="22"/>
              </w:rPr>
              <w:t>实施效益</w:t>
            </w:r>
          </w:p>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r>
              <w:rPr>
                <w:rFonts w:hint="eastAsia" w:ascii="仿宋" w:hAnsi="仿宋" w:eastAsia="仿宋" w:cs="宋体"/>
                <w:color w:val="000000"/>
                <w:kern w:val="0"/>
                <w:sz w:val="22"/>
                <w:szCs w:val="22"/>
              </w:rPr>
              <w:t>（社会效益、经济效益、可持续效益）</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r>
              <w:rPr>
                <w:rFonts w:hint="eastAsia" w:ascii="仿宋" w:hAnsi="仿宋" w:eastAsia="仿宋" w:cs="宋体"/>
                <w:color w:val="000000"/>
                <w:kern w:val="0"/>
                <w:sz w:val="22"/>
                <w:szCs w:val="22"/>
              </w:rPr>
              <w:t>30</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hint="default" w:ascii="仿宋" w:hAnsi="仿宋" w:eastAsia="仿宋" w:cs="宋体"/>
                <w:color w:val="000000"/>
                <w:kern w:val="0"/>
                <w:sz w:val="22"/>
                <w:szCs w:val="22"/>
                <w:lang w:val="en-US" w:eastAsia="zh-CN"/>
              </w:rPr>
            </w:pPr>
            <w:r>
              <w:rPr>
                <w:rFonts w:hint="eastAsia" w:ascii="仿宋" w:hAnsi="仿宋" w:eastAsia="仿宋" w:cs="宋体"/>
                <w:color w:val="000000"/>
                <w:kern w:val="0"/>
                <w:sz w:val="22"/>
                <w:szCs w:val="22"/>
                <w:lang w:val="en-US" w:eastAsia="zh-CN"/>
              </w:rPr>
              <w:t>87%</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hint="default" w:ascii="仿宋" w:hAnsi="仿宋" w:eastAsia="仿宋" w:cs="宋体"/>
                <w:color w:val="000000"/>
                <w:kern w:val="0"/>
                <w:sz w:val="22"/>
                <w:szCs w:val="22"/>
                <w:lang w:val="en-US" w:eastAsia="zh-CN"/>
              </w:rPr>
            </w:pPr>
            <w:r>
              <w:rPr>
                <w:rFonts w:hint="eastAsia" w:ascii="仿宋" w:hAnsi="仿宋" w:eastAsia="仿宋" w:cs="宋体"/>
                <w:color w:val="000000"/>
                <w:kern w:val="0"/>
                <w:sz w:val="22"/>
                <w:szCs w:val="22"/>
                <w:lang w:val="en-US" w:eastAsia="zh-CN"/>
              </w:rPr>
              <w:t>26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jc w:val="center"/>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r>
              <w:rPr>
                <w:rFonts w:hint="eastAsia" w:ascii="仿宋" w:hAnsi="仿宋" w:eastAsia="仿宋" w:cs="宋体"/>
                <w:color w:val="000000"/>
                <w:kern w:val="0"/>
                <w:sz w:val="22"/>
                <w:szCs w:val="22"/>
              </w:rPr>
              <w:t>满意度</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r>
              <w:rPr>
                <w:rFonts w:hint="eastAsia" w:ascii="仿宋" w:hAnsi="仿宋" w:eastAsia="仿宋" w:cs="宋体"/>
                <w:color w:val="000000"/>
                <w:kern w:val="0"/>
                <w:sz w:val="22"/>
                <w:szCs w:val="22"/>
              </w:rPr>
              <w:t>10</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hint="default" w:ascii="仿宋" w:hAnsi="仿宋" w:eastAsia="仿宋" w:cs="宋体"/>
                <w:color w:val="000000"/>
                <w:kern w:val="0"/>
                <w:sz w:val="22"/>
                <w:szCs w:val="22"/>
                <w:lang w:val="en-US" w:eastAsia="zh-CN"/>
              </w:rPr>
            </w:pPr>
            <w:r>
              <w:rPr>
                <w:rFonts w:hint="eastAsia" w:ascii="仿宋" w:hAnsi="仿宋" w:eastAsia="仿宋"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beforeAutospacing="0" w:afterAutospacing="0" w:line="560" w:lineRule="atLeast"/>
              <w:jc w:val="center"/>
              <w:textAlignment w:val="auto"/>
              <w:rPr>
                <w:rFonts w:ascii="仿宋" w:hAnsi="仿宋" w:eastAsia="仿宋" w:cs="宋体"/>
                <w:color w:val="000000"/>
                <w:kern w:val="0"/>
                <w:sz w:val="22"/>
                <w:szCs w:val="22"/>
              </w:rPr>
            </w:pPr>
            <w:r>
              <w:rPr>
                <w:rFonts w:hint="eastAsia" w:ascii="仿宋" w:hAnsi="仿宋" w:eastAsia="仿宋" w:cs="宋体"/>
                <w:color w:val="000000"/>
                <w:kern w:val="0"/>
                <w:sz w:val="22"/>
                <w:szCs w:val="22"/>
              </w:rPr>
              <w:t>10</w:t>
            </w:r>
          </w:p>
        </w:tc>
      </w:tr>
    </w:tbl>
    <w:p>
      <w:pPr>
        <w:pageBreakBefore w:val="0"/>
        <w:kinsoku/>
        <w:wordWrap/>
        <w:overflowPunct/>
        <w:topLinePunct w:val="0"/>
        <w:autoSpaceDE/>
        <w:autoSpaceDN/>
        <w:bidi w:val="0"/>
        <w:adjustRightInd/>
        <w:snapToGrid/>
        <w:spacing w:beforeAutospacing="0" w:afterAutospacing="0" w:line="560" w:lineRule="atLeast"/>
        <w:textAlignment w:val="auto"/>
        <w:rPr>
          <w:rFonts w:ascii="仿宋" w:hAnsi="仿宋" w:eastAsia="仿宋"/>
          <w:sz w:val="28"/>
          <w:szCs w:val="28"/>
        </w:rPr>
      </w:pPr>
    </w:p>
    <w:p>
      <w:pPr>
        <w:pageBreakBefore w:val="0"/>
        <w:kinsoku/>
        <w:wordWrap/>
        <w:overflowPunct/>
        <w:topLinePunct w:val="0"/>
        <w:autoSpaceDE/>
        <w:autoSpaceDN/>
        <w:bidi w:val="0"/>
        <w:adjustRightInd/>
        <w:snapToGrid/>
        <w:spacing w:beforeAutospacing="0" w:afterAutospacing="0" w:line="560" w:lineRule="atLeast"/>
        <w:textAlignment w:val="auto"/>
        <w:rPr>
          <w:rFonts w:ascii="仿宋" w:hAnsi="仿宋" w:eastAsia="仿宋"/>
          <w:b/>
          <w:bCs/>
          <w:sz w:val="32"/>
          <w:szCs w:val="32"/>
        </w:rPr>
      </w:pPr>
      <w:r>
        <w:rPr>
          <w:rFonts w:hint="eastAsia" w:ascii="仿宋" w:hAnsi="仿宋" w:eastAsia="仿宋"/>
          <w:b/>
          <w:bCs/>
          <w:sz w:val="32"/>
          <w:szCs w:val="32"/>
        </w:rPr>
        <w:t>四、绩效评价指标分析</w:t>
      </w:r>
    </w:p>
    <w:p>
      <w:pPr>
        <w:pageBreakBefore w:val="0"/>
        <w:kinsoku/>
        <w:wordWrap/>
        <w:overflowPunct/>
        <w:topLinePunct w:val="0"/>
        <w:autoSpaceDE/>
        <w:autoSpaceDN/>
        <w:bidi w:val="0"/>
        <w:adjustRightInd/>
        <w:snapToGrid/>
        <w:spacing w:beforeAutospacing="0" w:afterAutospacing="0" w:line="560" w:lineRule="atLeast"/>
        <w:ind w:firstLine="602" w:firstLineChars="200"/>
        <w:textAlignment w:val="auto"/>
        <w:rPr>
          <w:rFonts w:ascii="仿宋" w:hAnsi="仿宋" w:eastAsia="仿宋"/>
          <w:b/>
          <w:sz w:val="30"/>
          <w:szCs w:val="30"/>
        </w:rPr>
      </w:pPr>
      <w:r>
        <w:rPr>
          <w:rFonts w:hint="eastAsia" w:ascii="仿宋" w:hAnsi="仿宋" w:eastAsia="仿宋"/>
          <w:b/>
          <w:sz w:val="30"/>
          <w:szCs w:val="30"/>
        </w:rPr>
        <w:t>（一）项目决策情况</w:t>
      </w:r>
    </w:p>
    <w:p>
      <w:pPr>
        <w:pageBreakBefore w:val="0"/>
        <w:kinsoku/>
        <w:wordWrap/>
        <w:overflowPunct/>
        <w:topLinePunct w:val="0"/>
        <w:autoSpaceDE/>
        <w:autoSpaceDN/>
        <w:bidi w:val="0"/>
        <w:adjustRightInd/>
        <w:snapToGrid/>
        <w:spacing w:beforeAutospacing="0" w:afterAutospacing="0" w:line="560" w:lineRule="atLeast"/>
        <w:ind w:firstLine="602" w:firstLineChars="200"/>
        <w:textAlignment w:val="auto"/>
        <w:outlineLvl w:val="0"/>
        <w:rPr>
          <w:rFonts w:ascii="仿宋" w:hAnsi="仿宋" w:eastAsia="仿宋"/>
          <w:sz w:val="30"/>
          <w:szCs w:val="32"/>
        </w:rPr>
      </w:pPr>
      <w:r>
        <w:rPr>
          <w:rFonts w:hint="eastAsia" w:ascii="仿宋" w:hAnsi="仿宋" w:eastAsia="仿宋"/>
          <w:b/>
          <w:sz w:val="30"/>
          <w:szCs w:val="32"/>
        </w:rPr>
        <w:t>项目立项-立项依据充分性，本指标0.5分。</w:t>
      </w:r>
      <w:r>
        <w:rPr>
          <w:rFonts w:hint="eastAsia" w:ascii="仿宋" w:hAnsi="仿宋" w:eastAsia="仿宋"/>
          <w:sz w:val="30"/>
          <w:szCs w:val="32"/>
        </w:rPr>
        <w:t>1、项目立项符合国家法律法规、国民经济发展规划和相关政策，得0.1分；2、项目立项符合行业发展规划和政策要求，得0.1分；3、项目立项与部门职责范围相符，属于部门履职所需，得0.1分；4、项目是否属于公共财政支持范围，是否符合中央、地方事权支出责任划分原则，得0.1分；5、项目与相关部门同类项目或部门内部相关项目不重复，得0.1分。</w:t>
      </w:r>
      <w:r>
        <w:rPr>
          <w:rFonts w:hint="eastAsia" w:ascii="仿宋" w:hAnsi="仿宋" w:eastAsia="仿宋"/>
          <w:b/>
          <w:sz w:val="30"/>
          <w:szCs w:val="32"/>
        </w:rPr>
        <w:t>本项实际得0.5分。</w:t>
      </w:r>
    </w:p>
    <w:p>
      <w:pPr>
        <w:pageBreakBefore w:val="0"/>
        <w:kinsoku/>
        <w:wordWrap/>
        <w:overflowPunct/>
        <w:topLinePunct w:val="0"/>
        <w:autoSpaceDE/>
        <w:autoSpaceDN/>
        <w:bidi w:val="0"/>
        <w:adjustRightInd/>
        <w:snapToGrid/>
        <w:spacing w:beforeAutospacing="0" w:afterAutospacing="0" w:line="560" w:lineRule="atLeast"/>
        <w:ind w:firstLine="602" w:firstLineChars="200"/>
        <w:textAlignment w:val="auto"/>
        <w:outlineLvl w:val="0"/>
        <w:rPr>
          <w:rFonts w:ascii="仿宋" w:hAnsi="仿宋" w:eastAsia="仿宋"/>
          <w:sz w:val="30"/>
          <w:szCs w:val="32"/>
        </w:rPr>
      </w:pPr>
      <w:r>
        <w:rPr>
          <w:rFonts w:hint="eastAsia" w:ascii="仿宋" w:hAnsi="仿宋" w:eastAsia="仿宋"/>
          <w:b/>
          <w:sz w:val="30"/>
          <w:szCs w:val="32"/>
        </w:rPr>
        <w:t>项目立项-立项程序规范性，本指标0.5分。</w:t>
      </w:r>
      <w:r>
        <w:rPr>
          <w:rFonts w:hint="eastAsia" w:ascii="仿宋" w:hAnsi="仿宋" w:eastAsia="仿宋"/>
          <w:sz w:val="30"/>
          <w:szCs w:val="32"/>
        </w:rPr>
        <w:t>1、项目按照规定的程序申请设立，得0.1分；2、审批文件、材料符合相关要求，得0.2分；3、事前已经过必要的集体决策、可行性研究、专家论证、风绩效评估，得0.1分。</w:t>
      </w:r>
      <w:r>
        <w:rPr>
          <w:rFonts w:hint="eastAsia" w:ascii="仿宋" w:hAnsi="仿宋" w:eastAsia="仿宋"/>
          <w:b/>
          <w:sz w:val="30"/>
          <w:szCs w:val="32"/>
        </w:rPr>
        <w:t>本项实际得0.4分。</w:t>
      </w:r>
    </w:p>
    <w:p>
      <w:pPr>
        <w:pageBreakBefore w:val="0"/>
        <w:kinsoku/>
        <w:wordWrap/>
        <w:overflowPunct/>
        <w:topLinePunct w:val="0"/>
        <w:autoSpaceDE/>
        <w:autoSpaceDN/>
        <w:bidi w:val="0"/>
        <w:adjustRightInd/>
        <w:snapToGrid/>
        <w:spacing w:beforeAutospacing="0" w:afterAutospacing="0" w:line="560" w:lineRule="atLeast"/>
        <w:ind w:firstLine="602" w:firstLineChars="200"/>
        <w:textAlignment w:val="auto"/>
        <w:outlineLvl w:val="0"/>
        <w:rPr>
          <w:rFonts w:ascii="仿宋" w:hAnsi="仿宋" w:eastAsia="仿宋"/>
          <w:sz w:val="28"/>
          <w:szCs w:val="22"/>
        </w:rPr>
      </w:pPr>
      <w:r>
        <w:rPr>
          <w:rFonts w:hint="eastAsia" w:ascii="仿宋" w:hAnsi="仿宋" w:eastAsia="仿宋"/>
          <w:b/>
          <w:sz w:val="30"/>
          <w:szCs w:val="32"/>
        </w:rPr>
        <w:t>绩效目标-绩效目标合理性，本指标1分。</w:t>
      </w:r>
      <w:r>
        <w:rPr>
          <w:rFonts w:hint="eastAsia" w:ascii="仿宋" w:hAnsi="仿宋" w:eastAsia="仿宋"/>
          <w:sz w:val="30"/>
          <w:szCs w:val="32"/>
        </w:rPr>
        <w:t>1、项目有绩效目标，得0.3分；2、项目绩效目标与实际工作内容具有相关性，得0.3分；3、项目预期产出效益和效果符合正常的业绩水平，得0.3分；4、与预算确定的项目投资额或资金量相匹配，得0.1分。</w:t>
      </w:r>
      <w:r>
        <w:rPr>
          <w:rFonts w:hint="eastAsia" w:ascii="仿宋" w:hAnsi="仿宋" w:eastAsia="仿宋"/>
          <w:b/>
          <w:sz w:val="30"/>
          <w:szCs w:val="32"/>
        </w:rPr>
        <w:t>本项实际得1分。</w:t>
      </w:r>
    </w:p>
    <w:p>
      <w:pPr>
        <w:pageBreakBefore w:val="0"/>
        <w:kinsoku/>
        <w:wordWrap/>
        <w:overflowPunct/>
        <w:topLinePunct w:val="0"/>
        <w:autoSpaceDE/>
        <w:autoSpaceDN/>
        <w:bidi w:val="0"/>
        <w:adjustRightInd/>
        <w:snapToGrid/>
        <w:spacing w:beforeAutospacing="0" w:afterAutospacing="0" w:line="560" w:lineRule="atLeast"/>
        <w:ind w:firstLine="602" w:firstLineChars="200"/>
        <w:textAlignment w:val="auto"/>
        <w:outlineLvl w:val="0"/>
        <w:rPr>
          <w:rFonts w:ascii="仿宋" w:hAnsi="仿宋" w:eastAsia="仿宋"/>
          <w:sz w:val="28"/>
          <w:szCs w:val="22"/>
        </w:rPr>
      </w:pPr>
      <w:r>
        <w:rPr>
          <w:rFonts w:hint="eastAsia" w:ascii="仿宋" w:hAnsi="仿宋" w:eastAsia="仿宋"/>
          <w:b/>
          <w:sz w:val="30"/>
          <w:szCs w:val="32"/>
        </w:rPr>
        <w:t>绩效目标-绩效指标明确性，本指标1分。</w:t>
      </w:r>
      <w:r>
        <w:rPr>
          <w:rFonts w:hint="eastAsia" w:ascii="仿宋" w:hAnsi="仿宋" w:eastAsia="仿宋"/>
          <w:sz w:val="30"/>
          <w:szCs w:val="32"/>
        </w:rPr>
        <w:t>1、将项目绩效目标细化分解为具体的绩效指标，得0.3分；2、通过清晰、可衡量的指标值予以体现，得0.3分；3、与项目目标任务数或计划数相对应，得0.3分。</w:t>
      </w:r>
      <w:r>
        <w:rPr>
          <w:rFonts w:hint="eastAsia" w:ascii="仿宋" w:hAnsi="仿宋" w:eastAsia="仿宋"/>
          <w:b/>
          <w:sz w:val="30"/>
          <w:szCs w:val="32"/>
        </w:rPr>
        <w:t>本项实际得0.9分。</w:t>
      </w:r>
    </w:p>
    <w:p>
      <w:pPr>
        <w:pageBreakBefore w:val="0"/>
        <w:kinsoku/>
        <w:wordWrap/>
        <w:overflowPunct/>
        <w:topLinePunct w:val="0"/>
        <w:autoSpaceDE/>
        <w:autoSpaceDN/>
        <w:bidi w:val="0"/>
        <w:adjustRightInd/>
        <w:snapToGrid/>
        <w:spacing w:beforeAutospacing="0" w:afterAutospacing="0" w:line="560" w:lineRule="atLeast"/>
        <w:ind w:firstLine="602" w:firstLineChars="200"/>
        <w:textAlignment w:val="auto"/>
        <w:outlineLvl w:val="0"/>
        <w:rPr>
          <w:rFonts w:ascii="仿宋" w:hAnsi="仿宋" w:eastAsia="仿宋"/>
          <w:sz w:val="28"/>
          <w:szCs w:val="22"/>
        </w:rPr>
      </w:pPr>
      <w:r>
        <w:rPr>
          <w:rFonts w:hint="eastAsia" w:ascii="仿宋" w:hAnsi="仿宋" w:eastAsia="仿宋"/>
          <w:b/>
          <w:sz w:val="30"/>
          <w:szCs w:val="32"/>
        </w:rPr>
        <w:t>资金投入-预算编制科学性，本指标1分。</w:t>
      </w:r>
      <w:r>
        <w:rPr>
          <w:rFonts w:hint="eastAsia" w:ascii="仿宋" w:hAnsi="仿宋" w:eastAsia="仿宋"/>
          <w:sz w:val="30"/>
          <w:szCs w:val="32"/>
        </w:rPr>
        <w:t>1、预算编制经过科学论证，得0.3分；2、预算内容与项目内容匹配，得0.3分；3、预算额度测算依据充分，按照标准编制，得0.4分。</w:t>
      </w:r>
      <w:r>
        <w:rPr>
          <w:rFonts w:hint="eastAsia" w:ascii="仿宋" w:hAnsi="仿宋" w:eastAsia="仿宋"/>
          <w:b/>
          <w:sz w:val="30"/>
          <w:szCs w:val="32"/>
        </w:rPr>
        <w:t>本项实际得1分。</w:t>
      </w:r>
    </w:p>
    <w:p>
      <w:pPr>
        <w:pageBreakBefore w:val="0"/>
        <w:kinsoku/>
        <w:wordWrap/>
        <w:overflowPunct/>
        <w:topLinePunct w:val="0"/>
        <w:autoSpaceDE/>
        <w:autoSpaceDN/>
        <w:bidi w:val="0"/>
        <w:adjustRightInd/>
        <w:snapToGrid/>
        <w:spacing w:beforeAutospacing="0" w:afterAutospacing="0" w:line="560" w:lineRule="atLeast"/>
        <w:ind w:firstLine="602" w:firstLineChars="200"/>
        <w:textAlignment w:val="auto"/>
        <w:outlineLvl w:val="0"/>
        <w:rPr>
          <w:rFonts w:hint="eastAsia" w:ascii="仿宋" w:hAnsi="仿宋" w:eastAsia="仿宋"/>
          <w:b/>
          <w:sz w:val="30"/>
          <w:szCs w:val="32"/>
        </w:rPr>
      </w:pPr>
      <w:r>
        <w:rPr>
          <w:rFonts w:hint="eastAsia" w:ascii="仿宋" w:hAnsi="仿宋" w:eastAsia="仿宋"/>
          <w:b/>
          <w:sz w:val="30"/>
          <w:szCs w:val="32"/>
        </w:rPr>
        <w:t>资金投入-资金分配合理性，本指标1分。</w:t>
      </w:r>
      <w:r>
        <w:rPr>
          <w:rFonts w:hint="eastAsia" w:ascii="仿宋" w:hAnsi="仿宋" w:eastAsia="仿宋"/>
          <w:sz w:val="30"/>
          <w:szCs w:val="32"/>
        </w:rPr>
        <w:t>1、预算资金分配依据充分，得0.5分；2、资金分配额度合理，得0.5分。</w:t>
      </w:r>
      <w:r>
        <w:rPr>
          <w:rFonts w:hint="eastAsia" w:ascii="仿宋" w:hAnsi="仿宋" w:eastAsia="仿宋"/>
          <w:b/>
          <w:sz w:val="30"/>
          <w:szCs w:val="32"/>
        </w:rPr>
        <w:t>本项实际得1分。</w:t>
      </w:r>
    </w:p>
    <w:p>
      <w:pPr>
        <w:pStyle w:val="2"/>
        <w:pageBreakBefore w:val="0"/>
        <w:kinsoku/>
        <w:wordWrap/>
        <w:overflowPunct/>
        <w:topLinePunct w:val="0"/>
        <w:autoSpaceDE/>
        <w:autoSpaceDN/>
        <w:bidi w:val="0"/>
        <w:adjustRightInd/>
        <w:snapToGrid/>
        <w:spacing w:before="0" w:beforeAutospacing="0" w:after="0" w:afterAutospacing="0" w:line="560" w:lineRule="atLeast"/>
        <w:textAlignment w:val="auto"/>
      </w:pPr>
    </w:p>
    <w:p>
      <w:pPr>
        <w:pageBreakBefore w:val="0"/>
        <w:kinsoku/>
        <w:wordWrap/>
        <w:overflowPunct/>
        <w:topLinePunct w:val="0"/>
        <w:autoSpaceDE/>
        <w:autoSpaceDN/>
        <w:bidi w:val="0"/>
        <w:adjustRightInd/>
        <w:snapToGrid/>
        <w:spacing w:beforeAutospacing="0" w:afterAutospacing="0" w:line="560" w:lineRule="atLeast"/>
        <w:ind w:firstLine="562" w:firstLineChars="200"/>
        <w:textAlignment w:val="auto"/>
        <w:outlineLvl w:val="0"/>
        <w:rPr>
          <w:rFonts w:ascii="仿宋" w:hAnsi="仿宋" w:eastAsia="仿宋"/>
          <w:b/>
          <w:sz w:val="28"/>
          <w:szCs w:val="22"/>
        </w:rPr>
      </w:pPr>
      <w:r>
        <w:rPr>
          <w:rFonts w:hint="eastAsia" w:ascii="仿宋" w:hAnsi="仿宋" w:eastAsia="仿宋"/>
          <w:b/>
          <w:sz w:val="28"/>
          <w:szCs w:val="22"/>
        </w:rPr>
        <w:t>（二）项目过程情况</w:t>
      </w:r>
    </w:p>
    <w:p>
      <w:pPr>
        <w:pageBreakBefore w:val="0"/>
        <w:kinsoku/>
        <w:wordWrap/>
        <w:overflowPunct/>
        <w:topLinePunct w:val="0"/>
        <w:autoSpaceDE/>
        <w:autoSpaceDN/>
        <w:bidi w:val="0"/>
        <w:adjustRightInd/>
        <w:snapToGrid/>
        <w:spacing w:beforeAutospacing="0" w:afterAutospacing="0" w:line="560" w:lineRule="atLeast"/>
        <w:ind w:firstLine="602" w:firstLineChars="200"/>
        <w:textAlignment w:val="auto"/>
        <w:outlineLvl w:val="0"/>
        <w:rPr>
          <w:rFonts w:ascii="仿宋" w:hAnsi="仿宋" w:eastAsia="仿宋"/>
          <w:b/>
          <w:sz w:val="30"/>
          <w:szCs w:val="32"/>
        </w:rPr>
      </w:pPr>
      <w:r>
        <w:rPr>
          <w:rFonts w:hint="eastAsia" w:ascii="仿宋" w:hAnsi="仿宋" w:eastAsia="仿宋"/>
          <w:b/>
          <w:sz w:val="30"/>
          <w:szCs w:val="32"/>
        </w:rPr>
        <w:t>资金管理-资金到位率，本指标1分。</w:t>
      </w:r>
      <w:r>
        <w:rPr>
          <w:rFonts w:hint="eastAsia" w:ascii="仿宋" w:hAnsi="仿宋" w:eastAsia="仿宋"/>
          <w:sz w:val="30"/>
          <w:szCs w:val="32"/>
        </w:rPr>
        <w:t>资金到位率=（实际到位资金/预算资金）X100%，得分为5</w:t>
      </w:r>
      <w:r>
        <w:rPr>
          <w:rFonts w:hint="eastAsia" w:ascii="仿宋" w:hAnsi="仿宋" w:eastAsia="仿宋"/>
          <w:sz w:val="30"/>
          <w:szCs w:val="32"/>
          <w:lang w:eastAsia="zh-CN"/>
        </w:rPr>
        <w:t>分</w:t>
      </w:r>
      <w:r>
        <w:rPr>
          <w:rFonts w:hint="eastAsia" w:ascii="仿宋" w:hAnsi="仿宋" w:eastAsia="仿宋"/>
          <w:sz w:val="30"/>
          <w:szCs w:val="32"/>
        </w:rPr>
        <w:t>。资金到位率=100%，</w:t>
      </w:r>
      <w:r>
        <w:rPr>
          <w:rFonts w:hint="eastAsia" w:ascii="仿宋" w:hAnsi="仿宋" w:eastAsia="仿宋"/>
          <w:b/>
          <w:sz w:val="30"/>
          <w:szCs w:val="32"/>
        </w:rPr>
        <w:t>本项实际得1分。</w:t>
      </w:r>
    </w:p>
    <w:p>
      <w:pPr>
        <w:pageBreakBefore w:val="0"/>
        <w:kinsoku/>
        <w:wordWrap/>
        <w:overflowPunct/>
        <w:topLinePunct w:val="0"/>
        <w:autoSpaceDE/>
        <w:autoSpaceDN/>
        <w:bidi w:val="0"/>
        <w:adjustRightInd/>
        <w:snapToGrid/>
        <w:spacing w:beforeAutospacing="0" w:afterAutospacing="0" w:line="560" w:lineRule="atLeast"/>
        <w:ind w:firstLine="602" w:firstLineChars="200"/>
        <w:textAlignment w:val="auto"/>
        <w:outlineLvl w:val="0"/>
        <w:rPr>
          <w:rFonts w:ascii="仿宋" w:hAnsi="仿宋" w:eastAsia="仿宋"/>
          <w:b/>
          <w:sz w:val="30"/>
          <w:szCs w:val="32"/>
        </w:rPr>
      </w:pPr>
      <w:r>
        <w:rPr>
          <w:rFonts w:hint="eastAsia" w:ascii="仿宋" w:hAnsi="仿宋" w:eastAsia="仿宋"/>
          <w:b/>
          <w:sz w:val="30"/>
          <w:szCs w:val="32"/>
        </w:rPr>
        <w:t>资金管理-预算执行率，本指标1分。</w:t>
      </w:r>
      <w:r>
        <w:rPr>
          <w:rFonts w:hint="eastAsia" w:ascii="仿宋" w:hAnsi="仿宋" w:eastAsia="仿宋"/>
          <w:sz w:val="30"/>
          <w:szCs w:val="32"/>
        </w:rPr>
        <w:t>预算执行率C=（实际支出资金/实际到位资金）X100%，得分为5</w:t>
      </w:r>
      <w:r>
        <w:rPr>
          <w:rFonts w:hint="eastAsia" w:ascii="仿宋" w:hAnsi="仿宋" w:eastAsia="仿宋"/>
          <w:sz w:val="30"/>
          <w:szCs w:val="32"/>
          <w:lang w:eastAsia="zh-CN"/>
        </w:rPr>
        <w:t>分</w:t>
      </w:r>
      <w:r>
        <w:rPr>
          <w:rFonts w:hint="eastAsia" w:ascii="仿宋" w:hAnsi="仿宋" w:eastAsia="仿宋"/>
          <w:sz w:val="30"/>
          <w:szCs w:val="32"/>
        </w:rPr>
        <w:t>。预算执行率=20.9%，</w:t>
      </w:r>
      <w:r>
        <w:rPr>
          <w:rFonts w:hint="eastAsia" w:ascii="仿宋" w:hAnsi="仿宋" w:eastAsia="仿宋"/>
          <w:b/>
          <w:sz w:val="30"/>
          <w:szCs w:val="32"/>
        </w:rPr>
        <w:t>本项实际得0.5分。</w:t>
      </w:r>
    </w:p>
    <w:p>
      <w:pPr>
        <w:pageBreakBefore w:val="0"/>
        <w:kinsoku/>
        <w:wordWrap/>
        <w:overflowPunct/>
        <w:topLinePunct w:val="0"/>
        <w:autoSpaceDE/>
        <w:autoSpaceDN/>
        <w:bidi w:val="0"/>
        <w:adjustRightInd/>
        <w:snapToGrid/>
        <w:spacing w:beforeAutospacing="0" w:afterAutospacing="0" w:line="560" w:lineRule="atLeast"/>
        <w:ind w:firstLine="602" w:firstLineChars="200"/>
        <w:textAlignment w:val="auto"/>
        <w:outlineLvl w:val="0"/>
        <w:rPr>
          <w:rFonts w:ascii="仿宋" w:hAnsi="仿宋" w:eastAsia="仿宋"/>
          <w:sz w:val="30"/>
          <w:szCs w:val="32"/>
        </w:rPr>
      </w:pPr>
      <w:r>
        <w:rPr>
          <w:rFonts w:hint="eastAsia" w:ascii="仿宋" w:hAnsi="仿宋" w:eastAsia="仿宋"/>
          <w:b/>
          <w:sz w:val="30"/>
          <w:szCs w:val="32"/>
        </w:rPr>
        <w:t>资金管理-资金使用合规性，本指标1分。</w:t>
      </w:r>
      <w:r>
        <w:rPr>
          <w:rFonts w:hint="eastAsia" w:ascii="仿宋" w:hAnsi="仿宋" w:eastAsia="仿宋"/>
          <w:sz w:val="30"/>
          <w:szCs w:val="32"/>
        </w:rPr>
        <w:t>1、符合国家财经法规和财务管理制度以及有关专项资金管理办法的规定，得0.2分；2、资金的拨付有完整的审批程序和手续，得0.2分；3、符合项目预算批复或合同规定的用途，得0.2分；4、不存在截留、挤占、挪用、虚列支出等情况，得0.4分。</w:t>
      </w:r>
      <w:r>
        <w:rPr>
          <w:rFonts w:hint="eastAsia" w:ascii="仿宋" w:hAnsi="仿宋" w:eastAsia="仿宋"/>
          <w:b/>
          <w:sz w:val="30"/>
          <w:szCs w:val="32"/>
        </w:rPr>
        <w:t>本项实际得1分。</w:t>
      </w:r>
    </w:p>
    <w:p>
      <w:pPr>
        <w:pageBreakBefore w:val="0"/>
        <w:kinsoku/>
        <w:wordWrap/>
        <w:overflowPunct/>
        <w:topLinePunct w:val="0"/>
        <w:autoSpaceDE/>
        <w:autoSpaceDN/>
        <w:bidi w:val="0"/>
        <w:adjustRightInd/>
        <w:snapToGrid/>
        <w:spacing w:beforeAutospacing="0" w:afterAutospacing="0" w:line="560" w:lineRule="atLeast"/>
        <w:ind w:firstLine="602" w:firstLineChars="200"/>
        <w:textAlignment w:val="auto"/>
        <w:outlineLvl w:val="0"/>
        <w:rPr>
          <w:rFonts w:ascii="仿宋" w:hAnsi="仿宋" w:eastAsia="仿宋"/>
          <w:sz w:val="30"/>
          <w:szCs w:val="32"/>
        </w:rPr>
      </w:pPr>
      <w:r>
        <w:rPr>
          <w:rFonts w:hint="eastAsia" w:ascii="仿宋" w:hAnsi="仿宋" w:eastAsia="仿宋"/>
          <w:b/>
          <w:sz w:val="30"/>
          <w:szCs w:val="32"/>
        </w:rPr>
        <w:t>组织实施-管理制度健全性，本指标1分。</w:t>
      </w:r>
      <w:r>
        <w:rPr>
          <w:rFonts w:hint="eastAsia" w:ascii="仿宋" w:hAnsi="仿宋" w:eastAsia="仿宋"/>
          <w:sz w:val="30"/>
          <w:szCs w:val="32"/>
        </w:rPr>
        <w:t>1、具有相应的财务和业务管理制度，得0.5分；2、财务和业务管理制度合法、合规、完整，得0.5分。</w:t>
      </w:r>
      <w:r>
        <w:rPr>
          <w:rFonts w:hint="eastAsia" w:ascii="仿宋" w:hAnsi="仿宋" w:eastAsia="仿宋"/>
          <w:b/>
          <w:sz w:val="30"/>
          <w:szCs w:val="32"/>
        </w:rPr>
        <w:t>本项实际得1分。</w:t>
      </w:r>
    </w:p>
    <w:p>
      <w:pPr>
        <w:pageBreakBefore w:val="0"/>
        <w:kinsoku/>
        <w:wordWrap/>
        <w:overflowPunct/>
        <w:topLinePunct w:val="0"/>
        <w:autoSpaceDE/>
        <w:autoSpaceDN/>
        <w:bidi w:val="0"/>
        <w:adjustRightInd/>
        <w:snapToGrid/>
        <w:spacing w:beforeAutospacing="0" w:afterAutospacing="0" w:line="560" w:lineRule="atLeast"/>
        <w:ind w:firstLine="602" w:firstLineChars="200"/>
        <w:textAlignment w:val="auto"/>
        <w:outlineLvl w:val="0"/>
        <w:rPr>
          <w:rFonts w:ascii="仿宋" w:hAnsi="仿宋" w:eastAsia="仿宋"/>
          <w:b/>
          <w:sz w:val="30"/>
          <w:szCs w:val="32"/>
        </w:rPr>
      </w:pPr>
      <w:r>
        <w:rPr>
          <w:rFonts w:hint="eastAsia" w:ascii="仿宋" w:hAnsi="仿宋" w:eastAsia="仿宋"/>
          <w:b/>
          <w:sz w:val="30"/>
          <w:szCs w:val="32"/>
        </w:rPr>
        <w:t>组织实施-制度执行有效性，本指标1分。</w:t>
      </w:r>
      <w:r>
        <w:rPr>
          <w:rFonts w:hint="eastAsia" w:ascii="仿宋" w:hAnsi="仿宋" w:eastAsia="仿宋"/>
          <w:sz w:val="30"/>
          <w:szCs w:val="32"/>
        </w:rPr>
        <w:t>1、遵守相关法律法规和相关管理规定，得0.3分；2、项目支出手续完备，得0.3分；3、项目合同书、验收报告等资料齐全并及时归档，得0.4分。</w:t>
      </w:r>
      <w:r>
        <w:rPr>
          <w:rFonts w:hint="eastAsia" w:ascii="仿宋" w:hAnsi="仿宋" w:eastAsia="仿宋"/>
          <w:b/>
          <w:sz w:val="30"/>
          <w:szCs w:val="32"/>
        </w:rPr>
        <w:t>本项实际得1分。</w:t>
      </w:r>
    </w:p>
    <w:p>
      <w:pPr>
        <w:pageBreakBefore w:val="0"/>
        <w:kinsoku/>
        <w:wordWrap/>
        <w:overflowPunct/>
        <w:topLinePunct w:val="0"/>
        <w:autoSpaceDE/>
        <w:autoSpaceDN/>
        <w:bidi w:val="0"/>
        <w:adjustRightInd/>
        <w:snapToGrid/>
        <w:spacing w:beforeAutospacing="0" w:afterAutospacing="0" w:line="560" w:lineRule="atLeast"/>
        <w:ind w:firstLine="562" w:firstLineChars="200"/>
        <w:textAlignment w:val="auto"/>
        <w:outlineLvl w:val="0"/>
        <w:rPr>
          <w:rFonts w:ascii="仿宋" w:hAnsi="仿宋" w:eastAsia="仿宋"/>
          <w:b/>
          <w:sz w:val="28"/>
          <w:szCs w:val="22"/>
        </w:rPr>
      </w:pPr>
      <w:r>
        <w:rPr>
          <w:rFonts w:hint="eastAsia" w:ascii="仿宋" w:hAnsi="仿宋" w:eastAsia="仿宋"/>
          <w:b/>
          <w:sz w:val="28"/>
          <w:szCs w:val="22"/>
        </w:rPr>
        <w:t>（三）项目产出情况</w:t>
      </w:r>
    </w:p>
    <w:p>
      <w:pPr>
        <w:pageBreakBefore w:val="0"/>
        <w:kinsoku/>
        <w:wordWrap/>
        <w:overflowPunct/>
        <w:topLinePunct w:val="0"/>
        <w:autoSpaceDE/>
        <w:autoSpaceDN/>
        <w:bidi w:val="0"/>
        <w:adjustRightInd/>
        <w:snapToGrid/>
        <w:spacing w:beforeAutospacing="0" w:afterAutospacing="0" w:line="560" w:lineRule="atLeast"/>
        <w:ind w:firstLine="640"/>
        <w:textAlignment w:val="auto"/>
        <w:rPr>
          <w:rStyle w:val="22"/>
          <w:rFonts w:hint="default" w:ascii="仿宋" w:hAnsi="仿宋" w:eastAsia="仿宋" w:cs="仿宋"/>
          <w:b w:val="0"/>
          <w:bCs/>
          <w:spacing w:val="-4"/>
          <w:sz w:val="32"/>
          <w:szCs w:val="32"/>
          <w:lang w:val="en-US" w:eastAsia="zh-CN"/>
        </w:rPr>
      </w:pPr>
      <w:r>
        <w:rPr>
          <w:rStyle w:val="22"/>
          <w:rFonts w:hint="eastAsia" w:ascii="仿宋" w:hAnsi="仿宋" w:eastAsia="仿宋" w:cs="仿宋"/>
          <w:b w:val="0"/>
          <w:bCs/>
          <w:spacing w:val="-4"/>
          <w:sz w:val="32"/>
          <w:szCs w:val="32"/>
        </w:rPr>
        <w:t>数量指标方面：</w:t>
      </w:r>
      <w:r>
        <w:rPr>
          <w:rStyle w:val="22"/>
          <w:rFonts w:hint="eastAsia" w:ascii="仿宋" w:hAnsi="仿宋" w:eastAsia="仿宋" w:cs="仿宋"/>
          <w:b w:val="0"/>
          <w:bCs/>
          <w:spacing w:val="-4"/>
          <w:sz w:val="32"/>
          <w:szCs w:val="32"/>
          <w:lang w:eastAsia="zh-CN"/>
        </w:rPr>
        <w:t>开展合作社辅导员培训年度指标值</w:t>
      </w:r>
      <w:r>
        <w:rPr>
          <w:rStyle w:val="22"/>
          <w:rFonts w:hint="eastAsia" w:ascii="仿宋" w:hAnsi="仿宋" w:eastAsia="仿宋" w:cs="仿宋"/>
          <w:b w:val="0"/>
          <w:bCs/>
          <w:spacing w:val="-4"/>
          <w:sz w:val="32"/>
          <w:szCs w:val="32"/>
          <w:lang w:val="en-US" w:eastAsia="zh-CN"/>
        </w:rPr>
        <w:t>100人，实际完成值100人，完成率100%。</w:t>
      </w:r>
    </w:p>
    <w:p>
      <w:pPr>
        <w:pageBreakBefore w:val="0"/>
        <w:kinsoku/>
        <w:wordWrap/>
        <w:overflowPunct/>
        <w:topLinePunct w:val="0"/>
        <w:autoSpaceDE/>
        <w:autoSpaceDN/>
        <w:bidi w:val="0"/>
        <w:adjustRightInd/>
        <w:snapToGrid/>
        <w:spacing w:beforeAutospacing="0" w:afterAutospacing="0" w:line="560" w:lineRule="atLeast"/>
        <w:ind w:firstLine="640"/>
        <w:textAlignment w:val="auto"/>
        <w:rPr>
          <w:rStyle w:val="22"/>
          <w:rFonts w:hint="default" w:ascii="仿宋" w:hAnsi="仿宋" w:eastAsia="仿宋" w:cs="仿宋"/>
          <w:b w:val="0"/>
          <w:bCs/>
          <w:spacing w:val="-4"/>
          <w:sz w:val="32"/>
          <w:szCs w:val="32"/>
          <w:lang w:val="en-US" w:eastAsia="zh-CN"/>
        </w:rPr>
      </w:pPr>
      <w:r>
        <w:rPr>
          <w:rStyle w:val="51"/>
          <w:rFonts w:hint="eastAsia"/>
          <w:color w:val="auto"/>
        </w:rPr>
        <w:t>质量指标方面：</w:t>
      </w:r>
      <w:r>
        <w:rPr>
          <w:rStyle w:val="51"/>
          <w:rFonts w:hint="eastAsia" w:eastAsia="仿宋_GB2312"/>
          <w:color w:val="auto"/>
          <w:lang w:eastAsia="zh-CN"/>
        </w:rPr>
        <w:t>项目检查指导合作社年度指标值≥</w:t>
      </w:r>
      <w:r>
        <w:rPr>
          <w:rStyle w:val="51"/>
          <w:rFonts w:hint="eastAsia" w:eastAsia="仿宋_GB2312"/>
          <w:color w:val="auto"/>
          <w:lang w:val="en-US" w:eastAsia="zh-CN"/>
        </w:rPr>
        <w:t>50%，实际下乡检查6次，</w:t>
      </w:r>
      <w:r>
        <w:rPr>
          <w:rStyle w:val="22"/>
          <w:rFonts w:hint="eastAsia" w:ascii="仿宋" w:hAnsi="仿宋" w:eastAsia="仿宋" w:cs="仿宋"/>
          <w:b w:val="0"/>
          <w:bCs/>
          <w:spacing w:val="-4"/>
          <w:sz w:val="32"/>
          <w:szCs w:val="32"/>
          <w:lang w:val="en-US" w:eastAsia="zh-CN"/>
        </w:rPr>
        <w:t>实际完成值</w:t>
      </w:r>
      <w:r>
        <w:rPr>
          <w:rStyle w:val="51"/>
          <w:rFonts w:hint="eastAsia" w:eastAsia="仿宋_GB2312"/>
          <w:color w:val="auto"/>
          <w:lang w:val="en-US" w:eastAsia="zh-CN"/>
        </w:rPr>
        <w:t>50%</w:t>
      </w:r>
      <w:r>
        <w:rPr>
          <w:rStyle w:val="22"/>
          <w:rFonts w:hint="eastAsia" w:ascii="仿宋" w:hAnsi="仿宋" w:eastAsia="仿宋" w:cs="仿宋"/>
          <w:b w:val="0"/>
          <w:bCs/>
          <w:spacing w:val="-4"/>
          <w:sz w:val="32"/>
          <w:szCs w:val="32"/>
          <w:lang w:val="en-US" w:eastAsia="zh-CN"/>
        </w:rPr>
        <w:t>，完成率100%。</w:t>
      </w:r>
    </w:p>
    <w:p>
      <w:pPr>
        <w:pageBreakBefore w:val="0"/>
        <w:kinsoku/>
        <w:wordWrap/>
        <w:overflowPunct/>
        <w:topLinePunct w:val="0"/>
        <w:autoSpaceDE/>
        <w:autoSpaceDN/>
        <w:bidi w:val="0"/>
        <w:adjustRightInd/>
        <w:snapToGrid/>
        <w:spacing w:beforeAutospacing="0" w:afterAutospacing="0" w:line="560" w:lineRule="atLeast"/>
        <w:ind w:firstLine="640"/>
        <w:textAlignment w:val="auto"/>
        <w:rPr>
          <w:rStyle w:val="22"/>
          <w:rFonts w:hint="default" w:ascii="仿宋" w:hAnsi="仿宋" w:eastAsia="仿宋" w:cs="仿宋"/>
          <w:b w:val="0"/>
          <w:bCs/>
          <w:spacing w:val="-4"/>
          <w:sz w:val="32"/>
          <w:szCs w:val="32"/>
          <w:lang w:val="en-US" w:eastAsia="zh-CN"/>
        </w:rPr>
      </w:pPr>
      <w:r>
        <w:rPr>
          <w:rStyle w:val="51"/>
          <w:rFonts w:hint="eastAsia"/>
          <w:b w:val="0"/>
          <w:bCs w:val="0"/>
          <w:color w:val="auto"/>
          <w:lang w:val="en-US" w:eastAsia="zh-CN"/>
        </w:rPr>
        <w:t>成本指标方面：办公费年度指标值</w:t>
      </w:r>
      <w:r>
        <w:rPr>
          <w:rStyle w:val="51"/>
          <w:rFonts w:hint="eastAsia" w:eastAsia="仿宋_GB2312"/>
          <w:color w:val="auto"/>
          <w:lang w:val="en-US" w:eastAsia="zh-CN"/>
        </w:rPr>
        <w:t>0.5万元，实际</w:t>
      </w:r>
      <w:r>
        <w:rPr>
          <w:rStyle w:val="22"/>
          <w:rFonts w:hint="eastAsia" w:ascii="仿宋" w:hAnsi="仿宋" w:eastAsia="仿宋" w:cs="仿宋"/>
          <w:b w:val="0"/>
          <w:bCs/>
          <w:spacing w:val="-4"/>
          <w:sz w:val="32"/>
          <w:szCs w:val="32"/>
          <w:lang w:val="en-US" w:eastAsia="zh-CN"/>
        </w:rPr>
        <w:t>完成值</w:t>
      </w:r>
      <w:r>
        <w:rPr>
          <w:rStyle w:val="51"/>
          <w:rFonts w:hint="eastAsia" w:eastAsia="仿宋_GB2312"/>
          <w:color w:val="auto"/>
          <w:lang w:val="en-US" w:eastAsia="zh-CN"/>
        </w:rPr>
        <w:t>0.5万元，</w:t>
      </w:r>
      <w:r>
        <w:rPr>
          <w:rStyle w:val="22"/>
          <w:rFonts w:hint="eastAsia" w:ascii="仿宋" w:hAnsi="仿宋" w:eastAsia="仿宋" w:cs="仿宋"/>
          <w:b w:val="0"/>
          <w:bCs/>
          <w:spacing w:val="-4"/>
          <w:sz w:val="32"/>
          <w:szCs w:val="32"/>
          <w:lang w:val="en-US" w:eastAsia="zh-CN"/>
        </w:rPr>
        <w:t>完成率100%；培训费</w:t>
      </w:r>
      <w:r>
        <w:rPr>
          <w:rStyle w:val="51"/>
          <w:rFonts w:hint="eastAsia" w:eastAsia="仿宋_GB2312"/>
          <w:color w:val="auto"/>
          <w:lang w:eastAsia="zh-CN"/>
        </w:rPr>
        <w:t>年度指标值≤</w:t>
      </w:r>
      <w:r>
        <w:rPr>
          <w:rStyle w:val="22"/>
          <w:rFonts w:hint="eastAsia" w:ascii="仿宋" w:hAnsi="仿宋" w:eastAsia="仿宋" w:cs="仿宋"/>
          <w:b w:val="0"/>
          <w:bCs/>
          <w:spacing w:val="-4"/>
          <w:sz w:val="32"/>
          <w:szCs w:val="32"/>
          <w:lang w:val="en-US" w:eastAsia="zh-CN"/>
        </w:rPr>
        <w:t>3.5万元，实际完成值</w:t>
      </w:r>
      <w:r>
        <w:rPr>
          <w:rStyle w:val="51"/>
          <w:rFonts w:hint="eastAsia" w:eastAsia="仿宋_GB2312"/>
          <w:color w:val="auto"/>
          <w:lang w:val="en-US" w:eastAsia="zh-CN"/>
        </w:rPr>
        <w:t>3.5万元，</w:t>
      </w:r>
      <w:r>
        <w:rPr>
          <w:rStyle w:val="22"/>
          <w:rFonts w:hint="eastAsia" w:ascii="仿宋" w:hAnsi="仿宋" w:eastAsia="仿宋" w:cs="仿宋"/>
          <w:b w:val="0"/>
          <w:bCs/>
          <w:spacing w:val="-4"/>
          <w:sz w:val="32"/>
          <w:szCs w:val="32"/>
          <w:lang w:val="en-US" w:eastAsia="zh-CN"/>
        </w:rPr>
        <w:t>完成率100%；公务用车运行费年度指标值</w:t>
      </w:r>
      <w:r>
        <w:rPr>
          <w:rStyle w:val="51"/>
          <w:rFonts w:hint="eastAsia" w:eastAsia="仿宋_GB2312"/>
          <w:color w:val="auto"/>
          <w:lang w:eastAsia="zh-CN"/>
        </w:rPr>
        <w:t>≤</w:t>
      </w:r>
      <w:r>
        <w:rPr>
          <w:rStyle w:val="51"/>
          <w:rFonts w:hint="eastAsia" w:eastAsia="仿宋_GB2312"/>
          <w:color w:val="auto"/>
          <w:lang w:val="en-US" w:eastAsia="zh-CN"/>
        </w:rPr>
        <w:t>1.1万元，</w:t>
      </w:r>
      <w:r>
        <w:rPr>
          <w:rStyle w:val="22"/>
          <w:rFonts w:hint="eastAsia" w:ascii="仿宋" w:hAnsi="仿宋" w:eastAsia="仿宋" w:cs="仿宋"/>
          <w:b w:val="0"/>
          <w:bCs/>
          <w:spacing w:val="-4"/>
          <w:sz w:val="32"/>
          <w:szCs w:val="32"/>
          <w:lang w:val="en-US" w:eastAsia="zh-CN"/>
        </w:rPr>
        <w:t>实际完成值</w:t>
      </w:r>
      <w:r>
        <w:rPr>
          <w:rStyle w:val="51"/>
          <w:rFonts w:hint="eastAsia" w:eastAsia="仿宋_GB2312"/>
          <w:color w:val="auto"/>
          <w:lang w:val="en-US" w:eastAsia="zh-CN"/>
        </w:rPr>
        <w:t>1.1万元，</w:t>
      </w:r>
      <w:r>
        <w:rPr>
          <w:rStyle w:val="22"/>
          <w:rFonts w:hint="eastAsia" w:ascii="仿宋" w:hAnsi="仿宋" w:eastAsia="仿宋" w:cs="仿宋"/>
          <w:b w:val="0"/>
          <w:bCs/>
          <w:spacing w:val="-4"/>
          <w:sz w:val="32"/>
          <w:szCs w:val="32"/>
          <w:lang w:val="en-US" w:eastAsia="zh-CN"/>
        </w:rPr>
        <w:t>完成率100%；差旅费年度指标值</w:t>
      </w:r>
      <w:r>
        <w:rPr>
          <w:rStyle w:val="51"/>
          <w:rFonts w:hint="eastAsia" w:eastAsia="仿宋_GB2312"/>
          <w:color w:val="auto"/>
          <w:lang w:eastAsia="zh-CN"/>
        </w:rPr>
        <w:t>≤</w:t>
      </w:r>
      <w:r>
        <w:rPr>
          <w:rStyle w:val="51"/>
          <w:rFonts w:hint="eastAsia" w:eastAsia="仿宋_GB2312"/>
          <w:color w:val="auto"/>
          <w:lang w:val="en-US" w:eastAsia="zh-CN"/>
        </w:rPr>
        <w:t>2.1万元，</w:t>
      </w:r>
      <w:r>
        <w:rPr>
          <w:rStyle w:val="22"/>
          <w:rFonts w:hint="eastAsia" w:ascii="仿宋" w:hAnsi="仿宋" w:eastAsia="仿宋" w:cs="仿宋"/>
          <w:b w:val="0"/>
          <w:bCs/>
          <w:spacing w:val="-4"/>
          <w:sz w:val="32"/>
          <w:szCs w:val="32"/>
          <w:lang w:val="en-US" w:eastAsia="zh-CN"/>
        </w:rPr>
        <w:t>实际完成2.1万元，完成率100%；</w:t>
      </w:r>
    </w:p>
    <w:p>
      <w:pPr>
        <w:pageBreakBefore w:val="0"/>
        <w:kinsoku/>
        <w:wordWrap/>
        <w:overflowPunct/>
        <w:topLinePunct w:val="0"/>
        <w:autoSpaceDE/>
        <w:autoSpaceDN/>
        <w:bidi w:val="0"/>
        <w:adjustRightInd/>
        <w:snapToGrid/>
        <w:spacing w:beforeAutospacing="0" w:afterAutospacing="0" w:line="560" w:lineRule="atLeast"/>
        <w:ind w:firstLine="640" w:firstLineChars="200"/>
        <w:textAlignment w:val="auto"/>
        <w:outlineLvl w:val="0"/>
        <w:rPr>
          <w:rStyle w:val="51"/>
          <w:rFonts w:hint="default"/>
          <w:color w:val="auto"/>
          <w:lang w:val="en-US" w:eastAsia="zh-CN"/>
        </w:rPr>
      </w:pPr>
      <w:r>
        <w:rPr>
          <w:rStyle w:val="51"/>
          <w:rFonts w:hint="eastAsia"/>
          <w:color w:val="auto"/>
          <w:lang w:val="en-US" w:eastAsia="zh-CN"/>
        </w:rPr>
        <w:t>时效指标方面：培训完成时间2020年12月，实际培训日为2020年12月2日，实际完成值12月，</w:t>
      </w:r>
      <w:r>
        <w:rPr>
          <w:rStyle w:val="22"/>
          <w:rFonts w:hint="eastAsia" w:ascii="仿宋" w:hAnsi="仿宋" w:eastAsia="仿宋" w:cs="仿宋"/>
          <w:b w:val="0"/>
          <w:bCs/>
          <w:spacing w:val="-4"/>
          <w:sz w:val="32"/>
          <w:szCs w:val="32"/>
          <w:lang w:val="en-US" w:eastAsia="zh-CN"/>
        </w:rPr>
        <w:t>完成率100%。</w:t>
      </w:r>
    </w:p>
    <w:p>
      <w:pPr>
        <w:pageBreakBefore w:val="0"/>
        <w:kinsoku/>
        <w:wordWrap/>
        <w:overflowPunct/>
        <w:topLinePunct w:val="0"/>
        <w:autoSpaceDE/>
        <w:autoSpaceDN/>
        <w:bidi w:val="0"/>
        <w:adjustRightInd/>
        <w:snapToGrid/>
        <w:spacing w:beforeAutospacing="0" w:afterAutospacing="0" w:line="560" w:lineRule="atLeast"/>
        <w:ind w:firstLine="643" w:firstLineChars="200"/>
        <w:textAlignment w:val="auto"/>
        <w:outlineLvl w:val="0"/>
        <w:rPr>
          <w:rFonts w:ascii="仿宋" w:hAnsi="仿宋" w:eastAsia="仿宋"/>
          <w:b/>
          <w:sz w:val="32"/>
          <w:szCs w:val="32"/>
        </w:rPr>
      </w:pPr>
      <w:r>
        <w:rPr>
          <w:rFonts w:hint="eastAsia" w:ascii="仿宋" w:hAnsi="仿宋" w:eastAsia="仿宋"/>
          <w:b/>
          <w:sz w:val="32"/>
          <w:szCs w:val="32"/>
        </w:rPr>
        <w:t>（四）项目效益情况</w:t>
      </w:r>
    </w:p>
    <w:p>
      <w:pPr>
        <w:pStyle w:val="19"/>
        <w:pageBreakBefore w:val="0"/>
        <w:numPr>
          <w:ilvl w:val="0"/>
          <w:numId w:val="3"/>
        </w:numPr>
        <w:kinsoku/>
        <w:wordWrap/>
        <w:overflowPunct/>
        <w:topLinePunct w:val="0"/>
        <w:autoSpaceDE/>
        <w:autoSpaceDN/>
        <w:bidi w:val="0"/>
        <w:adjustRightInd/>
        <w:snapToGrid/>
        <w:spacing w:beforeAutospacing="0" w:after="0" w:afterAutospacing="0" w:line="560" w:lineRule="atLeast"/>
        <w:ind w:firstLine="321" w:firstLineChars="100"/>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效益情况</w:t>
      </w:r>
    </w:p>
    <w:p>
      <w:pPr>
        <w:pageBreakBefore w:val="0"/>
        <w:kinsoku/>
        <w:wordWrap/>
        <w:overflowPunct/>
        <w:topLinePunct w:val="0"/>
        <w:autoSpaceDE/>
        <w:autoSpaceDN/>
        <w:bidi w:val="0"/>
        <w:adjustRightInd/>
        <w:snapToGrid/>
        <w:spacing w:beforeAutospacing="0" w:afterAutospacing="0" w:line="560" w:lineRule="atLeast"/>
        <w:ind w:firstLine="640" w:firstLineChars="200"/>
        <w:textAlignment w:val="auto"/>
        <w:outlineLvl w:val="0"/>
        <w:rPr>
          <w:rStyle w:val="51"/>
          <w:rFonts w:hint="eastAsia"/>
          <w:color w:val="auto"/>
          <w:lang w:val="en-US" w:eastAsia="zh-CN"/>
        </w:rPr>
      </w:pPr>
      <w:r>
        <w:rPr>
          <w:rStyle w:val="51"/>
          <w:rFonts w:hint="eastAsia"/>
          <w:color w:val="auto"/>
          <w:lang w:val="en-US" w:eastAsia="zh-CN"/>
        </w:rPr>
        <w:t>经济效益指标方面：社会化服务项目面积年度指标≥12万亩，实际完成12万亩，</w:t>
      </w:r>
      <w:r>
        <w:rPr>
          <w:rStyle w:val="22"/>
          <w:rFonts w:hint="eastAsia" w:ascii="仿宋" w:hAnsi="仿宋" w:eastAsia="仿宋" w:cs="仿宋"/>
          <w:b w:val="0"/>
          <w:bCs/>
          <w:spacing w:val="-4"/>
          <w:sz w:val="32"/>
          <w:szCs w:val="32"/>
          <w:lang w:val="en-US" w:eastAsia="zh-CN"/>
        </w:rPr>
        <w:t>完成率100%</w:t>
      </w:r>
      <w:r>
        <w:rPr>
          <w:rStyle w:val="51"/>
          <w:rFonts w:hint="eastAsia"/>
          <w:color w:val="auto"/>
          <w:lang w:val="en-US" w:eastAsia="zh-CN"/>
        </w:rPr>
        <w:t>；</w:t>
      </w:r>
    </w:p>
    <w:p>
      <w:pPr>
        <w:pageBreakBefore w:val="0"/>
        <w:kinsoku/>
        <w:wordWrap/>
        <w:overflowPunct/>
        <w:topLinePunct w:val="0"/>
        <w:autoSpaceDE/>
        <w:autoSpaceDN/>
        <w:bidi w:val="0"/>
        <w:adjustRightInd/>
        <w:snapToGrid/>
        <w:spacing w:beforeAutospacing="0" w:afterAutospacing="0" w:line="560" w:lineRule="atLeast"/>
        <w:ind w:firstLine="640" w:firstLineChars="200"/>
        <w:textAlignment w:val="auto"/>
        <w:outlineLvl w:val="0"/>
        <w:rPr>
          <w:rStyle w:val="51"/>
          <w:rFonts w:hint="eastAsia"/>
          <w:color w:val="auto"/>
          <w:lang w:val="en-US" w:eastAsia="zh-CN"/>
        </w:rPr>
      </w:pPr>
      <w:r>
        <w:rPr>
          <w:rStyle w:val="51"/>
          <w:rFonts w:hint="eastAsia"/>
          <w:color w:val="auto"/>
          <w:lang w:val="en-US" w:eastAsia="zh-CN"/>
        </w:rPr>
        <w:t>社会效益指标方面：合作社人员管理水平提高年度指标有所提升，完成值提升，</w:t>
      </w:r>
      <w:r>
        <w:rPr>
          <w:rStyle w:val="22"/>
          <w:rFonts w:hint="eastAsia" w:ascii="仿宋" w:hAnsi="仿宋" w:eastAsia="仿宋" w:cs="仿宋"/>
          <w:b w:val="0"/>
          <w:bCs/>
          <w:spacing w:val="-4"/>
          <w:sz w:val="32"/>
          <w:szCs w:val="32"/>
          <w:lang w:val="en-US" w:eastAsia="zh-CN"/>
        </w:rPr>
        <w:t>完成率100%。</w:t>
      </w:r>
      <w:r>
        <w:rPr>
          <w:rStyle w:val="51"/>
          <w:rFonts w:hint="eastAsia"/>
          <w:color w:val="auto"/>
          <w:lang w:val="en-US" w:eastAsia="zh-CN"/>
        </w:rPr>
        <w:t>；</w:t>
      </w:r>
    </w:p>
    <w:p>
      <w:pPr>
        <w:pageBreakBefore w:val="0"/>
        <w:kinsoku/>
        <w:wordWrap/>
        <w:overflowPunct/>
        <w:topLinePunct w:val="0"/>
        <w:autoSpaceDE/>
        <w:autoSpaceDN/>
        <w:bidi w:val="0"/>
        <w:adjustRightInd/>
        <w:snapToGrid/>
        <w:spacing w:beforeAutospacing="0" w:afterAutospacing="0" w:line="560" w:lineRule="atLeast"/>
        <w:ind w:firstLine="640" w:firstLineChars="200"/>
        <w:textAlignment w:val="auto"/>
        <w:outlineLvl w:val="0"/>
        <w:rPr>
          <w:rStyle w:val="51"/>
          <w:rFonts w:hint="default"/>
          <w:color w:val="auto"/>
          <w:lang w:val="en-US"/>
        </w:rPr>
      </w:pPr>
      <w:r>
        <w:rPr>
          <w:rStyle w:val="51"/>
          <w:color w:val="auto"/>
        </w:rPr>
        <w:t>可持续影响指标</w:t>
      </w:r>
      <w:r>
        <w:rPr>
          <w:rStyle w:val="51"/>
          <w:rFonts w:hint="eastAsia"/>
          <w:color w:val="auto"/>
        </w:rPr>
        <w:t>方面：</w:t>
      </w:r>
      <w:r>
        <w:rPr>
          <w:rStyle w:val="51"/>
          <w:rFonts w:hint="eastAsia"/>
          <w:color w:val="auto"/>
          <w:lang w:val="en-US" w:eastAsia="zh-CN"/>
        </w:rPr>
        <w:t>推进合作社经营管理新发展指标</w:t>
      </w:r>
      <w:r>
        <w:rPr>
          <w:rStyle w:val="51"/>
          <w:rFonts w:hint="eastAsia"/>
          <w:color w:val="auto"/>
          <w:lang w:eastAsia="zh-CN"/>
        </w:rPr>
        <w:t>中长期</w:t>
      </w:r>
      <w:r>
        <w:rPr>
          <w:rStyle w:val="51"/>
          <w:rFonts w:hint="eastAsia"/>
          <w:color w:val="auto"/>
        </w:rPr>
        <w:t>，</w:t>
      </w:r>
      <w:r>
        <w:rPr>
          <w:rStyle w:val="51"/>
          <w:rFonts w:hint="eastAsia"/>
          <w:color w:val="auto"/>
          <w:lang w:eastAsia="zh-CN"/>
        </w:rPr>
        <w:t>实际</w:t>
      </w:r>
      <w:r>
        <w:rPr>
          <w:rStyle w:val="51"/>
          <w:rFonts w:hint="eastAsia"/>
          <w:color w:val="auto"/>
          <w:lang w:val="en-US" w:eastAsia="zh-CN"/>
        </w:rPr>
        <w:t>完成值</w:t>
      </w:r>
      <w:r>
        <w:rPr>
          <w:rStyle w:val="51"/>
          <w:rFonts w:hint="eastAsia"/>
          <w:color w:val="auto"/>
          <w:lang w:eastAsia="zh-CN"/>
        </w:rPr>
        <w:t>中长期</w:t>
      </w:r>
      <w:r>
        <w:rPr>
          <w:rStyle w:val="51"/>
          <w:rFonts w:hint="eastAsia"/>
          <w:color w:val="auto"/>
          <w:lang w:val="en-US" w:eastAsia="zh-CN"/>
        </w:rPr>
        <w:t>，</w:t>
      </w:r>
      <w:r>
        <w:rPr>
          <w:rStyle w:val="22"/>
          <w:rFonts w:hint="eastAsia" w:ascii="仿宋" w:hAnsi="仿宋" w:eastAsia="仿宋" w:cs="仿宋"/>
          <w:b w:val="0"/>
          <w:bCs/>
          <w:spacing w:val="-4"/>
          <w:sz w:val="32"/>
          <w:szCs w:val="32"/>
          <w:lang w:val="en-US" w:eastAsia="zh-CN"/>
        </w:rPr>
        <w:t>完成率100%</w:t>
      </w:r>
      <w:r>
        <w:rPr>
          <w:rStyle w:val="51"/>
          <w:rFonts w:hint="eastAsia"/>
          <w:color w:val="auto"/>
          <w:lang w:val="en-US" w:eastAsia="zh-CN"/>
        </w:rPr>
        <w:t>。</w:t>
      </w:r>
    </w:p>
    <w:p>
      <w:pPr>
        <w:pageBreakBefore w:val="0"/>
        <w:kinsoku/>
        <w:wordWrap/>
        <w:overflowPunct/>
        <w:topLinePunct w:val="0"/>
        <w:autoSpaceDE/>
        <w:autoSpaceDN/>
        <w:bidi w:val="0"/>
        <w:adjustRightInd/>
        <w:snapToGrid/>
        <w:spacing w:beforeAutospacing="0" w:afterAutospacing="0" w:line="560" w:lineRule="atLeast"/>
        <w:ind w:firstLine="640" w:firstLineChars="200"/>
        <w:textAlignment w:val="auto"/>
        <w:outlineLvl w:val="0"/>
        <w:rPr>
          <w:rStyle w:val="51"/>
          <w:rFonts w:hint="default"/>
          <w:color w:val="auto"/>
          <w:lang w:val="en-US" w:eastAsia="zh-CN"/>
        </w:rPr>
      </w:pPr>
      <w:r>
        <w:rPr>
          <w:rStyle w:val="51"/>
          <w:color w:val="auto"/>
        </w:rPr>
        <w:t>满意度指标</w:t>
      </w:r>
      <w:r>
        <w:rPr>
          <w:rStyle w:val="51"/>
          <w:rFonts w:hint="eastAsia"/>
          <w:color w:val="auto"/>
        </w:rPr>
        <w:t>方面：</w:t>
      </w:r>
      <w:r>
        <w:rPr>
          <w:rStyle w:val="51"/>
          <w:rFonts w:hint="eastAsia"/>
          <w:color w:val="auto"/>
          <w:lang w:eastAsia="zh-CN"/>
        </w:rPr>
        <w:t>合作社对辅导员满意度年度指标值</w:t>
      </w:r>
      <w:r>
        <w:rPr>
          <w:rStyle w:val="51"/>
          <w:rFonts w:hint="eastAsia"/>
          <w:color w:val="auto"/>
        </w:rPr>
        <w:t>≥</w:t>
      </w:r>
      <w:r>
        <w:rPr>
          <w:rStyle w:val="51"/>
          <w:rFonts w:hint="eastAsia"/>
          <w:color w:val="auto"/>
          <w:lang w:val="en-US" w:eastAsia="zh-CN"/>
        </w:rPr>
        <w:t>90%，实际完成值90%，</w:t>
      </w:r>
      <w:r>
        <w:rPr>
          <w:rStyle w:val="22"/>
          <w:rFonts w:hint="eastAsia" w:ascii="仿宋" w:hAnsi="仿宋" w:eastAsia="仿宋" w:cs="仿宋"/>
          <w:b w:val="0"/>
          <w:bCs/>
          <w:spacing w:val="-4"/>
          <w:sz w:val="32"/>
          <w:szCs w:val="32"/>
          <w:lang w:val="en-US" w:eastAsia="zh-CN"/>
        </w:rPr>
        <w:t>完成率100%。</w:t>
      </w:r>
    </w:p>
    <w:p>
      <w:pPr>
        <w:pageBreakBefore w:val="0"/>
        <w:kinsoku/>
        <w:wordWrap/>
        <w:overflowPunct/>
        <w:topLinePunct w:val="0"/>
        <w:autoSpaceDE/>
        <w:autoSpaceDN/>
        <w:bidi w:val="0"/>
        <w:adjustRightInd/>
        <w:snapToGrid/>
        <w:spacing w:beforeAutospacing="0" w:afterAutospacing="0" w:line="560" w:lineRule="atLeast"/>
        <w:ind w:firstLine="560" w:firstLineChars="200"/>
        <w:textAlignment w:val="auto"/>
        <w:rPr>
          <w:rFonts w:ascii="仿宋" w:hAnsi="仿宋" w:eastAsia="仿宋"/>
          <w:sz w:val="28"/>
          <w:szCs w:val="22"/>
        </w:rPr>
      </w:pPr>
      <w:r>
        <w:rPr>
          <w:rFonts w:hint="eastAsia" w:ascii="仿宋" w:hAnsi="仿宋" w:eastAsia="仿宋"/>
          <w:sz w:val="28"/>
          <w:szCs w:val="22"/>
        </w:rPr>
        <w:t>五、主要经验及做法、存在的问题及原因分析</w:t>
      </w:r>
    </w:p>
    <w:p>
      <w:pPr>
        <w:pageBreakBefore w:val="0"/>
        <w:kinsoku/>
        <w:wordWrap/>
        <w:overflowPunct/>
        <w:topLinePunct w:val="0"/>
        <w:autoSpaceDE/>
        <w:autoSpaceDN/>
        <w:bidi w:val="0"/>
        <w:adjustRightInd/>
        <w:snapToGrid/>
        <w:spacing w:beforeAutospacing="0" w:afterAutospacing="0" w:line="560" w:lineRule="atLeast"/>
        <w:ind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lang w:eastAsia="zh-CN"/>
        </w:rPr>
        <w:t>（</w:t>
      </w:r>
      <w:r>
        <w:rPr>
          <w:rFonts w:hint="eastAsia" w:ascii="楷体" w:hAnsi="楷体" w:eastAsia="楷体"/>
          <w:b/>
          <w:spacing w:val="-4"/>
          <w:sz w:val="32"/>
          <w:szCs w:val="32"/>
        </w:rPr>
        <w:t>一）主要经验及做法</w:t>
      </w:r>
    </w:p>
    <w:p>
      <w:pPr>
        <w:pageBreakBefore w:val="0"/>
        <w:kinsoku/>
        <w:wordWrap/>
        <w:overflowPunct/>
        <w:topLinePunct w:val="0"/>
        <w:autoSpaceDE/>
        <w:autoSpaceDN/>
        <w:bidi w:val="0"/>
        <w:adjustRightInd/>
        <w:snapToGrid/>
        <w:spacing w:beforeAutospacing="0" w:afterAutospacing="0" w:line="560" w:lineRule="atLeas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18"/>
        <w:pageBreakBefore w:val="0"/>
        <w:kinsoku/>
        <w:wordWrap/>
        <w:overflowPunct/>
        <w:topLinePunct w:val="0"/>
        <w:autoSpaceDE/>
        <w:autoSpaceDN/>
        <w:bidi w:val="0"/>
        <w:adjustRightInd/>
        <w:snapToGrid/>
        <w:spacing w:before="0" w:beforeAutospacing="0" w:after="0" w:afterAutospacing="0" w:line="560" w:lineRule="atLeast"/>
        <w:ind w:firstLine="640" w:firstLineChars="200"/>
        <w:textAlignment w:val="auto"/>
        <w:rPr>
          <w:rFonts w:ascii="仿宋_GB2312" w:hAnsi="仿宋_GB2312" w:eastAsia="仿宋_GB2312" w:cs="仿宋_GB2312"/>
          <w:b w:val="0"/>
          <w:bCs w:val="0"/>
          <w:kern w:val="2"/>
        </w:rPr>
      </w:pPr>
      <w:r>
        <w:rPr>
          <w:rFonts w:hint="eastAsia" w:ascii="仿宋_GB2312" w:hAnsi="仿宋_GB2312" w:eastAsia="仿宋_GB2312" w:cs="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pageBreakBefore w:val="0"/>
        <w:numPr>
          <w:ilvl w:val="0"/>
          <w:numId w:val="0"/>
        </w:numPr>
        <w:kinsoku/>
        <w:wordWrap/>
        <w:overflowPunct/>
        <w:topLinePunct w:val="0"/>
        <w:autoSpaceDE/>
        <w:autoSpaceDN/>
        <w:bidi w:val="0"/>
        <w:adjustRightInd/>
        <w:snapToGrid/>
        <w:spacing w:beforeAutospacing="0" w:afterAutospacing="0" w:line="560" w:lineRule="atLeast"/>
        <w:ind w:firstLine="602" w:firstLineChars="200"/>
        <w:textAlignment w:val="auto"/>
        <w:rPr>
          <w:rFonts w:ascii="楷体_GB2312" w:hAnsi="楷体_GB2312" w:eastAsia="楷体_GB2312" w:cs="楷体_GB2312"/>
          <w:b/>
          <w:bCs/>
          <w:sz w:val="32"/>
          <w:szCs w:val="32"/>
        </w:rPr>
      </w:pPr>
      <w:r>
        <w:rPr>
          <w:rFonts w:hint="eastAsia" w:ascii="仿宋" w:hAnsi="仿宋" w:eastAsia="仿宋" w:cs="仿宋_GB2312"/>
          <w:b/>
          <w:sz w:val="30"/>
          <w:szCs w:val="30"/>
        </w:rPr>
        <w:t>（二）</w:t>
      </w:r>
      <w:r>
        <w:rPr>
          <w:rFonts w:hint="eastAsia" w:ascii="楷体_GB2312" w:hAnsi="楷体_GB2312" w:eastAsia="楷体_GB2312" w:cs="楷体_GB2312"/>
          <w:b/>
          <w:bCs/>
          <w:sz w:val="32"/>
          <w:szCs w:val="32"/>
        </w:rPr>
        <w:t>存在的问题及原因分析</w:t>
      </w:r>
    </w:p>
    <w:p>
      <w:pPr>
        <w:pageBreakBefore w:val="0"/>
        <w:kinsoku/>
        <w:wordWrap/>
        <w:overflowPunct/>
        <w:topLinePunct w:val="0"/>
        <w:autoSpaceDE/>
        <w:autoSpaceDN/>
        <w:bidi w:val="0"/>
        <w:adjustRightInd/>
        <w:snapToGrid/>
        <w:spacing w:beforeAutospacing="0" w:afterAutospacing="0" w:line="560" w:lineRule="atLeas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1、存在的问题.农民专业合作社理事及业务人员培训因实际存在的季节问题，所以只能放在农闲季节，项目实施存在时间延迟。</w:t>
      </w:r>
    </w:p>
    <w:p>
      <w:pPr>
        <w:pageBreakBefore w:val="0"/>
        <w:kinsoku/>
        <w:wordWrap/>
        <w:overflowPunct/>
        <w:topLinePunct w:val="0"/>
        <w:autoSpaceDE/>
        <w:autoSpaceDN/>
        <w:bidi w:val="0"/>
        <w:adjustRightInd/>
        <w:snapToGrid/>
        <w:spacing w:beforeAutospacing="0" w:afterAutospacing="0" w:line="560" w:lineRule="atLeast"/>
        <w:ind w:firstLine="641"/>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2、原因分析</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b w:val="0"/>
          <w:bCs w:val="0"/>
          <w:kern w:val="2"/>
          <w:sz w:val="32"/>
          <w:szCs w:val="32"/>
          <w:lang w:val="en-US" w:eastAsia="zh-CN" w:bidi="ar-SA"/>
        </w:rPr>
        <w:t>农民专业合作社理事及业务人员大部分是农民，只有在冬闲季节才有时间，故每年的培训都放在12月或来年的1-3月。</w:t>
      </w:r>
    </w:p>
    <w:p>
      <w:pPr>
        <w:pageBreakBefore w:val="0"/>
        <w:kinsoku/>
        <w:wordWrap/>
        <w:overflowPunct/>
        <w:topLinePunct w:val="0"/>
        <w:autoSpaceDE/>
        <w:autoSpaceDN/>
        <w:bidi w:val="0"/>
        <w:adjustRightInd/>
        <w:snapToGrid/>
        <w:spacing w:beforeAutospacing="0" w:afterAutospacing="0" w:line="560" w:lineRule="atLeast"/>
        <w:ind w:firstLine="643" w:firstLineChars="200"/>
        <w:textAlignment w:val="auto"/>
        <w:rPr>
          <w:rFonts w:hint="eastAsia" w:ascii="仿宋" w:hAnsi="仿宋" w:eastAsia="仿宋" w:cs="仿宋_GB2312"/>
          <w:b/>
          <w:sz w:val="32"/>
          <w:szCs w:val="32"/>
          <w:lang w:eastAsia="zh-CN"/>
        </w:rPr>
      </w:pPr>
      <w:r>
        <w:rPr>
          <w:rFonts w:hint="eastAsia" w:ascii="仿宋" w:hAnsi="仿宋" w:eastAsia="仿宋" w:cs="仿宋_GB2312"/>
          <w:b/>
          <w:sz w:val="32"/>
          <w:szCs w:val="32"/>
          <w:lang w:eastAsia="zh-CN"/>
        </w:rPr>
        <w:t>六、有关建议</w:t>
      </w:r>
    </w:p>
    <w:p>
      <w:pPr>
        <w:pageBreakBefore w:val="0"/>
        <w:numPr>
          <w:ilvl w:val="0"/>
          <w:numId w:val="4"/>
        </w:numPr>
        <w:kinsoku/>
        <w:wordWrap/>
        <w:overflowPunct/>
        <w:topLinePunct w:val="0"/>
        <w:autoSpaceDE/>
        <w:autoSpaceDN/>
        <w:bidi w:val="0"/>
        <w:adjustRightInd/>
        <w:snapToGrid/>
        <w:spacing w:beforeAutospacing="0" w:afterAutospacing="0" w:line="560" w:lineRule="atLeas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加大项目绩效管理培训力度，贯彻落实相关办法及制度。采取集中学习、讲座、专题会议等方式，加大对参与绩效管理工作的人员培训力度，进一步统一认识，充实业务知识。以提高工作人员素质，以达到预算绩效管理标准化、常态化的要求，最终实现提高绩效管理工作效率及质量的目标。 </w:t>
      </w:r>
    </w:p>
    <w:p>
      <w:pPr>
        <w:pageBreakBefore w:val="0"/>
        <w:numPr>
          <w:ilvl w:val="0"/>
          <w:numId w:val="4"/>
        </w:numPr>
        <w:kinsoku/>
        <w:wordWrap/>
        <w:overflowPunct/>
        <w:topLinePunct w:val="0"/>
        <w:autoSpaceDE/>
        <w:autoSpaceDN/>
        <w:bidi w:val="0"/>
        <w:adjustRightInd/>
        <w:snapToGrid/>
        <w:spacing w:beforeAutospacing="0" w:afterAutospacing="0" w:line="560" w:lineRule="atLeas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财政和项目实施单位严格实行“三专”管理，即设专户、建专</w:t>
      </w:r>
      <w:r>
        <w:rPr>
          <w:rFonts w:hint="eastAsia" w:ascii="仿宋_GB2312" w:eastAsia="仿宋_GB2312" w:cs="仿宋_GB2312"/>
          <w:sz w:val="32"/>
          <w:szCs w:val="32"/>
          <w:lang w:val="en-US" w:eastAsia="zh-CN"/>
        </w:rPr>
        <w:t>账</w:t>
      </w:r>
      <w:r>
        <w:rPr>
          <w:rFonts w:hint="eastAsia" w:ascii="仿宋_GB2312" w:hAnsi="仿宋_GB2312" w:eastAsia="仿宋_GB2312" w:cs="仿宋_GB2312"/>
          <w:sz w:val="32"/>
          <w:szCs w:val="32"/>
        </w:rPr>
        <w:t>、定专人。同时，资金拨付除坚持按项目计划、工程进度和质量分阶段验收拨款外，还坚持部门联审制，项目单位先做事、后报</w:t>
      </w:r>
      <w:r>
        <w:rPr>
          <w:rFonts w:hint="eastAsia" w:ascii="仿宋_GB2312" w:eastAsia="仿宋_GB2312" w:cs="仿宋_GB2312"/>
          <w:sz w:val="32"/>
          <w:szCs w:val="32"/>
          <w:lang w:val="en-US" w:eastAsia="zh-CN"/>
        </w:rPr>
        <w:t>账</w:t>
      </w:r>
      <w:r>
        <w:rPr>
          <w:rFonts w:hint="eastAsia" w:ascii="仿宋_GB2312" w:hAnsi="仿宋_GB2312" w:eastAsia="仿宋_GB2312" w:cs="仿宋_GB2312"/>
          <w:sz w:val="32"/>
          <w:szCs w:val="32"/>
        </w:rPr>
        <w:t>，从而确保专项资金专款专用，有效地防止了截留、挤占和挪用。</w:t>
      </w:r>
    </w:p>
    <w:p>
      <w:pPr>
        <w:pageBreakBefore w:val="0"/>
        <w:numPr>
          <w:ilvl w:val="0"/>
          <w:numId w:val="5"/>
        </w:numPr>
        <w:kinsoku/>
        <w:wordWrap/>
        <w:overflowPunct/>
        <w:topLinePunct w:val="0"/>
        <w:autoSpaceDE/>
        <w:autoSpaceDN/>
        <w:bidi w:val="0"/>
        <w:adjustRightInd/>
        <w:snapToGrid/>
        <w:spacing w:beforeAutospacing="0" w:afterAutospacing="0" w:line="560" w:lineRule="atLeast"/>
        <w:ind w:firstLine="643" w:firstLineChars="200"/>
        <w:textAlignment w:val="auto"/>
        <w:rPr>
          <w:rFonts w:hint="eastAsia" w:ascii="仿宋" w:hAnsi="仿宋" w:eastAsia="仿宋"/>
          <w:b/>
          <w:bCs/>
          <w:sz w:val="32"/>
          <w:szCs w:val="24"/>
        </w:rPr>
      </w:pPr>
      <w:r>
        <w:rPr>
          <w:rFonts w:hint="eastAsia" w:ascii="仿宋" w:hAnsi="仿宋" w:eastAsia="仿宋"/>
          <w:b/>
          <w:bCs/>
          <w:sz w:val="32"/>
          <w:szCs w:val="24"/>
        </w:rPr>
        <w:t>其他需要说明的问题</w:t>
      </w:r>
    </w:p>
    <w:p>
      <w:pPr>
        <w:pStyle w:val="2"/>
        <w:pageBreakBefore w:val="0"/>
        <w:numPr>
          <w:ilvl w:val="0"/>
          <w:numId w:val="0"/>
        </w:numPr>
        <w:kinsoku/>
        <w:wordWrap/>
        <w:overflowPunct/>
        <w:topLinePunct w:val="0"/>
        <w:autoSpaceDE/>
        <w:autoSpaceDN/>
        <w:bidi w:val="0"/>
        <w:adjustRightInd/>
        <w:snapToGrid/>
        <w:spacing w:before="0" w:beforeAutospacing="0" w:after="0" w:afterAutospacing="0" w:line="560" w:lineRule="atLeast"/>
        <w:textAlignment w:val="auto"/>
        <w:rPr>
          <w:rFonts w:hint="default" w:eastAsia="宋体"/>
          <w:lang w:val="en-US" w:eastAsia="zh-CN"/>
        </w:rPr>
      </w:pPr>
      <w:r>
        <w:rPr>
          <w:rFonts w:hint="eastAsia"/>
          <w:lang w:val="en-US" w:eastAsia="zh-CN"/>
        </w:rPr>
        <w:t xml:space="preserve">     </w:t>
      </w:r>
      <w:r>
        <w:rPr>
          <w:rFonts w:hint="eastAsia" w:ascii="仿宋_GB2312" w:hAnsi="仿宋_GB2312" w:eastAsia="仿宋_GB2312" w:cs="仿宋_GB2312"/>
          <w:kern w:val="2"/>
          <w:sz w:val="32"/>
          <w:szCs w:val="32"/>
          <w:lang w:val="en-US" w:eastAsia="zh-CN" w:bidi="ar-SA"/>
        </w:rPr>
        <w:t xml:space="preserve"> 无</w:t>
      </w:r>
    </w:p>
    <w:p>
      <w:pPr>
        <w:ind w:firstLine="600" w:firstLineChars="200"/>
        <w:jc w:val="left"/>
        <w:rPr>
          <w:rFonts w:ascii="仿宋" w:hAnsi="仿宋" w:eastAsia="仿宋"/>
          <w:sz w:val="30"/>
          <w:szCs w:val="32"/>
        </w:rPr>
      </w:pPr>
    </w:p>
    <w:p>
      <w:pPr>
        <w:ind w:firstLine="600" w:firstLineChars="200"/>
        <w:jc w:val="left"/>
        <w:rPr>
          <w:rFonts w:ascii="仿宋" w:hAnsi="仿宋" w:eastAsia="仿宋"/>
          <w:sz w:val="30"/>
          <w:szCs w:val="32"/>
        </w:rPr>
      </w:pPr>
    </w:p>
    <w:tbl>
      <w:tblPr>
        <w:tblStyle w:val="20"/>
        <w:tblW w:w="8578" w:type="dxa"/>
        <w:tblInd w:w="0" w:type="dxa"/>
        <w:shd w:val="clear" w:color="auto" w:fill="auto"/>
        <w:tblLayout w:type="fixed"/>
        <w:tblCellMar>
          <w:top w:w="0" w:type="dxa"/>
          <w:left w:w="0" w:type="dxa"/>
          <w:bottom w:w="0" w:type="dxa"/>
          <w:right w:w="0" w:type="dxa"/>
        </w:tblCellMar>
      </w:tblPr>
      <w:tblGrid>
        <w:gridCol w:w="659"/>
        <w:gridCol w:w="660"/>
        <w:gridCol w:w="659"/>
        <w:gridCol w:w="659"/>
        <w:gridCol w:w="1044"/>
        <w:gridCol w:w="1140"/>
        <w:gridCol w:w="1125"/>
        <w:gridCol w:w="1076"/>
        <w:gridCol w:w="1556"/>
      </w:tblGrid>
      <w:tr>
        <w:tblPrEx>
          <w:shd w:val="clear" w:color="auto" w:fill="auto"/>
          <w:tblCellMar>
            <w:top w:w="0" w:type="dxa"/>
            <w:left w:w="0" w:type="dxa"/>
            <w:bottom w:w="0" w:type="dxa"/>
            <w:right w:w="0" w:type="dxa"/>
          </w:tblCellMar>
        </w:tblPrEx>
        <w:trPr>
          <w:trHeight w:val="270" w:hRule="atLeast"/>
        </w:trPr>
        <w:tc>
          <w:tcPr>
            <w:tcW w:w="8578" w:type="dxa"/>
            <w:gridSpan w:val="9"/>
            <w:vMerge w:val="restart"/>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方正小标宋简体" w:hAnsi="方正小标宋简体" w:eastAsia="方正小标宋简体" w:cs="方正小标宋简体"/>
                <w:b/>
                <w:i w:val="0"/>
                <w:color w:val="000000"/>
                <w:kern w:val="0"/>
                <w:sz w:val="44"/>
                <w:szCs w:val="44"/>
                <w:u w:val="none"/>
                <w:lang w:val="en-US" w:eastAsia="zh-CN" w:bidi="ar"/>
              </w:rPr>
              <w:t>项目支出绩效自评表</w:t>
            </w:r>
          </w:p>
        </w:tc>
      </w:tr>
      <w:tr>
        <w:tblPrEx>
          <w:shd w:val="clear" w:color="auto" w:fill="auto"/>
          <w:tblCellMar>
            <w:top w:w="0" w:type="dxa"/>
            <w:left w:w="0" w:type="dxa"/>
            <w:bottom w:w="0" w:type="dxa"/>
            <w:right w:w="0" w:type="dxa"/>
          </w:tblCellMar>
        </w:tblPrEx>
        <w:trPr>
          <w:trHeight w:val="270" w:hRule="atLeast"/>
        </w:trPr>
        <w:tc>
          <w:tcPr>
            <w:tcW w:w="8578" w:type="dxa"/>
            <w:gridSpan w:val="9"/>
            <w:vMerge w:val="continue"/>
            <w:tcBorders>
              <w:top w:val="nil"/>
              <w:left w:val="nil"/>
              <w:bottom w:val="nil"/>
              <w:right w:val="nil"/>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32"/>
                <w:szCs w:val="32"/>
                <w:u w:val="none"/>
              </w:rPr>
            </w:pPr>
          </w:p>
        </w:tc>
      </w:tr>
      <w:tr>
        <w:tblPrEx>
          <w:shd w:val="clear" w:color="auto" w:fill="auto"/>
          <w:tblCellMar>
            <w:top w:w="0" w:type="dxa"/>
            <w:left w:w="0" w:type="dxa"/>
            <w:bottom w:w="0" w:type="dxa"/>
            <w:right w:w="0" w:type="dxa"/>
          </w:tblCellMar>
        </w:tblPrEx>
        <w:trPr>
          <w:trHeight w:val="270" w:hRule="atLeast"/>
        </w:trPr>
        <w:tc>
          <w:tcPr>
            <w:tcW w:w="8578" w:type="dxa"/>
            <w:gridSpan w:val="9"/>
            <w:vMerge w:val="continue"/>
            <w:tcBorders>
              <w:top w:val="nil"/>
              <w:left w:val="nil"/>
              <w:bottom w:val="nil"/>
              <w:right w:val="nil"/>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32"/>
                <w:szCs w:val="32"/>
                <w:u w:val="none"/>
              </w:rPr>
            </w:pPr>
          </w:p>
        </w:tc>
      </w:tr>
      <w:tr>
        <w:tblPrEx>
          <w:shd w:val="clear" w:color="auto" w:fill="auto"/>
          <w:tblCellMar>
            <w:top w:w="0" w:type="dxa"/>
            <w:left w:w="0" w:type="dxa"/>
            <w:bottom w:w="0" w:type="dxa"/>
            <w:right w:w="0" w:type="dxa"/>
          </w:tblCellMar>
        </w:tblPrEx>
        <w:trPr>
          <w:trHeight w:val="270" w:hRule="atLeast"/>
        </w:trPr>
        <w:tc>
          <w:tcPr>
            <w:tcW w:w="8578" w:type="dxa"/>
            <w:gridSpan w:val="9"/>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32"/>
                <w:szCs w:val="32"/>
                <w:u w:val="none"/>
                <w:lang w:val="en-US" w:eastAsia="zh-CN" w:bidi="ar"/>
              </w:rPr>
              <w:t>（   2020 年度）</w:t>
            </w:r>
          </w:p>
        </w:tc>
      </w:tr>
      <w:tr>
        <w:tblPrEx>
          <w:shd w:val="clear" w:color="auto" w:fill="auto"/>
          <w:tblCellMar>
            <w:top w:w="0" w:type="dxa"/>
            <w:left w:w="0" w:type="dxa"/>
            <w:bottom w:w="0" w:type="dxa"/>
            <w:right w:w="0" w:type="dxa"/>
          </w:tblCellMar>
        </w:tblPrEx>
        <w:trPr>
          <w:trHeight w:val="375" w:hRule="atLeast"/>
        </w:trPr>
        <w:tc>
          <w:tcPr>
            <w:tcW w:w="8578" w:type="dxa"/>
            <w:gridSpan w:val="9"/>
            <w:tcBorders>
              <w:top w:val="nil"/>
              <w:left w:val="nil"/>
              <w:bottom w:val="single" w:color="auto" w:sz="4" w:space="0"/>
              <w:right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377" w:hRule="atLeast"/>
        </w:trPr>
        <w:tc>
          <w:tcPr>
            <w:tcW w:w="1319" w:type="dxa"/>
            <w:gridSpan w:val="2"/>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项目名称</w:t>
            </w:r>
          </w:p>
        </w:tc>
        <w:tc>
          <w:tcPr>
            <w:tcW w:w="7259" w:type="dxa"/>
            <w:gridSpan w:val="7"/>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社会化服务工作经费</w:t>
            </w:r>
          </w:p>
        </w:tc>
      </w:tr>
      <w:tr>
        <w:tblPrEx>
          <w:shd w:val="clear" w:color="auto" w:fill="auto"/>
          <w:tblCellMar>
            <w:top w:w="0" w:type="dxa"/>
            <w:left w:w="0" w:type="dxa"/>
            <w:bottom w:w="0" w:type="dxa"/>
            <w:right w:w="0" w:type="dxa"/>
          </w:tblCellMar>
        </w:tblPrEx>
        <w:trPr>
          <w:trHeight w:val="555" w:hRule="atLeast"/>
        </w:trPr>
        <w:tc>
          <w:tcPr>
            <w:tcW w:w="13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主管部门</w:t>
            </w:r>
          </w:p>
        </w:tc>
        <w:tc>
          <w:tcPr>
            <w:tcW w:w="3502"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实施单位</w:t>
            </w:r>
          </w:p>
        </w:tc>
        <w:tc>
          <w:tcPr>
            <w:tcW w:w="26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塔城地区农村合作经济发展中心</w:t>
            </w:r>
          </w:p>
        </w:tc>
      </w:tr>
      <w:tr>
        <w:tblPrEx>
          <w:shd w:val="clear" w:color="auto" w:fill="auto"/>
          <w:tblCellMar>
            <w:top w:w="0" w:type="dxa"/>
            <w:left w:w="0" w:type="dxa"/>
            <w:bottom w:w="0" w:type="dxa"/>
            <w:right w:w="0" w:type="dxa"/>
          </w:tblCellMar>
        </w:tblPrEx>
        <w:trPr>
          <w:trHeight w:val="390" w:hRule="atLeast"/>
        </w:trPr>
        <w:tc>
          <w:tcPr>
            <w:tcW w:w="13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项目资金</w:t>
            </w:r>
          </w:p>
        </w:tc>
        <w:tc>
          <w:tcPr>
            <w:tcW w:w="659"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bottom"/>
          </w:tcPr>
          <w:p>
            <w:pPr>
              <w:rPr>
                <w:rFonts w:hint="eastAsia" w:ascii="宋体" w:hAnsi="宋体" w:eastAsia="宋体" w:cs="宋体"/>
                <w:i w:val="0"/>
                <w:color w:val="000000"/>
                <w:sz w:val="18"/>
                <w:szCs w:val="18"/>
                <w:u w:val="none"/>
              </w:rPr>
            </w:pPr>
          </w:p>
        </w:tc>
        <w:tc>
          <w:tcPr>
            <w:tcW w:w="659"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bottom"/>
          </w:tcP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年初预算数</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全年预算数</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全年执行数</w:t>
            </w:r>
          </w:p>
        </w:tc>
        <w:tc>
          <w:tcPr>
            <w:tcW w:w="26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执行率</w:t>
            </w:r>
          </w:p>
        </w:tc>
      </w:tr>
      <w:tr>
        <w:tblPrEx>
          <w:shd w:val="clear" w:color="auto" w:fill="auto"/>
          <w:tblCellMar>
            <w:top w:w="0" w:type="dxa"/>
            <w:left w:w="0" w:type="dxa"/>
            <w:bottom w:w="0" w:type="dxa"/>
            <w:right w:w="0" w:type="dxa"/>
          </w:tblCellMar>
        </w:tblPrEx>
        <w:trPr>
          <w:trHeight w:val="390" w:hRule="atLeast"/>
        </w:trPr>
        <w:tc>
          <w:tcPr>
            <w:tcW w:w="13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（万元）</w:t>
            </w:r>
          </w:p>
        </w:tc>
        <w:tc>
          <w:tcPr>
            <w:tcW w:w="131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年度资金总额</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7.08</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7.08</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7.08</w:t>
            </w:r>
          </w:p>
        </w:tc>
        <w:tc>
          <w:tcPr>
            <w:tcW w:w="26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r>
      <w:tr>
        <w:tblPrEx>
          <w:shd w:val="clear" w:color="auto" w:fill="auto"/>
          <w:tblCellMar>
            <w:top w:w="0" w:type="dxa"/>
            <w:left w:w="0" w:type="dxa"/>
            <w:bottom w:w="0" w:type="dxa"/>
            <w:right w:w="0" w:type="dxa"/>
          </w:tblCellMar>
        </w:tblPrEx>
        <w:trPr>
          <w:trHeight w:val="390" w:hRule="atLeast"/>
        </w:trPr>
        <w:tc>
          <w:tcPr>
            <w:tcW w:w="13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31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其中：当年财政拨款</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7.08</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7.08</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7.08</w:t>
            </w:r>
          </w:p>
        </w:tc>
        <w:tc>
          <w:tcPr>
            <w:tcW w:w="26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0" w:type="dxa"/>
            <w:bottom w:w="0" w:type="dxa"/>
            <w:right w:w="0" w:type="dxa"/>
          </w:tblCellMar>
        </w:tblPrEx>
        <w:trPr>
          <w:trHeight w:val="390" w:hRule="atLeast"/>
        </w:trPr>
        <w:tc>
          <w:tcPr>
            <w:tcW w:w="13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31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上年结转资金</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26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0" w:type="dxa"/>
            <w:bottom w:w="0" w:type="dxa"/>
            <w:right w:w="0" w:type="dxa"/>
          </w:tblCellMar>
        </w:tblPrEx>
        <w:trPr>
          <w:trHeight w:val="402" w:hRule="atLeast"/>
        </w:trPr>
        <w:tc>
          <w:tcPr>
            <w:tcW w:w="13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31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其他资金</w:t>
            </w:r>
          </w:p>
        </w:tc>
        <w:tc>
          <w:tcPr>
            <w:tcW w:w="10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0</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0</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26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0" w:type="dxa"/>
            <w:bottom w:w="0" w:type="dxa"/>
            <w:right w:w="0" w:type="dxa"/>
          </w:tblCellMar>
        </w:tblPrEx>
        <w:trPr>
          <w:trHeight w:val="650" w:hRule="atLeast"/>
        </w:trPr>
        <w:tc>
          <w:tcPr>
            <w:tcW w:w="65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年度总体目标</w:t>
            </w:r>
          </w:p>
        </w:tc>
        <w:tc>
          <w:tcPr>
            <w:tcW w:w="4162"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预期目标</w:t>
            </w:r>
          </w:p>
        </w:tc>
        <w:tc>
          <w:tcPr>
            <w:tcW w:w="375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实际完成情况</w:t>
            </w:r>
          </w:p>
        </w:tc>
      </w:tr>
      <w:tr>
        <w:tblPrEx>
          <w:shd w:val="clear" w:color="auto" w:fill="auto"/>
          <w:tblCellMar>
            <w:top w:w="0" w:type="dxa"/>
            <w:left w:w="0" w:type="dxa"/>
            <w:bottom w:w="0" w:type="dxa"/>
            <w:right w:w="0" w:type="dxa"/>
          </w:tblCellMar>
        </w:tblPrEx>
        <w:trPr>
          <w:trHeight w:val="1221" w:hRule="atLeast"/>
        </w:trPr>
        <w:tc>
          <w:tcPr>
            <w:tcW w:w="6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162"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实地督导合作社规范发展，培训合作社辅导员及理事长100人</w:t>
            </w:r>
          </w:p>
        </w:tc>
        <w:tc>
          <w:tcPr>
            <w:tcW w:w="375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实地督导合作社规范发展，培训合作社辅导员及理事长100人</w:t>
            </w:r>
          </w:p>
        </w:tc>
      </w:tr>
      <w:tr>
        <w:tblPrEx>
          <w:shd w:val="clear" w:color="auto" w:fill="auto"/>
          <w:tblCellMar>
            <w:top w:w="0" w:type="dxa"/>
            <w:left w:w="0" w:type="dxa"/>
            <w:bottom w:w="0" w:type="dxa"/>
            <w:right w:w="0" w:type="dxa"/>
          </w:tblCellMar>
        </w:tblPrEx>
        <w:trPr>
          <w:trHeight w:val="479" w:hRule="atLeast"/>
        </w:trPr>
        <w:tc>
          <w:tcPr>
            <w:tcW w:w="6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6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170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三级指标</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年度指标值</w:t>
            </w:r>
          </w:p>
        </w:tc>
        <w:tc>
          <w:tcPr>
            <w:tcW w:w="220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实际完成值</w:t>
            </w:r>
          </w:p>
        </w:tc>
        <w:tc>
          <w:tcPr>
            <w:tcW w:w="1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偏差原因分析及改进措施</w:t>
            </w:r>
          </w:p>
        </w:tc>
      </w:tr>
      <w:tr>
        <w:tblPrEx>
          <w:shd w:val="clear" w:color="auto" w:fill="auto"/>
          <w:tblCellMar>
            <w:top w:w="0" w:type="dxa"/>
            <w:left w:w="0" w:type="dxa"/>
            <w:bottom w:w="0" w:type="dxa"/>
            <w:right w:w="0" w:type="dxa"/>
          </w:tblCellMar>
        </w:tblPrEx>
        <w:trPr>
          <w:trHeight w:val="600" w:hRule="atLeast"/>
        </w:trPr>
        <w:tc>
          <w:tcPr>
            <w:tcW w:w="65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年度绩效指标完成情况</w:t>
            </w:r>
          </w:p>
        </w:tc>
        <w:tc>
          <w:tcPr>
            <w:tcW w:w="6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6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170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开展合作社辅导员培训</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=100人</w:t>
            </w:r>
          </w:p>
        </w:tc>
        <w:tc>
          <w:tcPr>
            <w:tcW w:w="220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100人</w:t>
            </w:r>
          </w:p>
        </w:tc>
        <w:tc>
          <w:tcPr>
            <w:tcW w:w="1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530" w:hRule="atLeast"/>
        </w:trPr>
        <w:tc>
          <w:tcPr>
            <w:tcW w:w="6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170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项目检查指导合作社规范发展</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≥50%</w:t>
            </w:r>
          </w:p>
        </w:tc>
        <w:tc>
          <w:tcPr>
            <w:tcW w:w="220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50%</w:t>
            </w:r>
          </w:p>
        </w:tc>
        <w:tc>
          <w:tcPr>
            <w:tcW w:w="1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345" w:hRule="atLeast"/>
        </w:trPr>
        <w:tc>
          <w:tcPr>
            <w:tcW w:w="6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170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培训完成时间</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=12月份</w:t>
            </w:r>
          </w:p>
        </w:tc>
        <w:tc>
          <w:tcPr>
            <w:tcW w:w="220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12月份</w:t>
            </w:r>
          </w:p>
        </w:tc>
        <w:tc>
          <w:tcPr>
            <w:tcW w:w="1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365" w:hRule="atLeast"/>
        </w:trPr>
        <w:tc>
          <w:tcPr>
            <w:tcW w:w="6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5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170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办公费</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≤0.5万元</w:t>
            </w:r>
          </w:p>
        </w:tc>
        <w:tc>
          <w:tcPr>
            <w:tcW w:w="220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0.5万元</w:t>
            </w:r>
          </w:p>
        </w:tc>
        <w:tc>
          <w:tcPr>
            <w:tcW w:w="1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435" w:hRule="atLeast"/>
        </w:trPr>
        <w:tc>
          <w:tcPr>
            <w:tcW w:w="6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70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培训费</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≤3.5万元</w:t>
            </w:r>
          </w:p>
        </w:tc>
        <w:tc>
          <w:tcPr>
            <w:tcW w:w="220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3.5万元</w:t>
            </w:r>
          </w:p>
        </w:tc>
        <w:tc>
          <w:tcPr>
            <w:tcW w:w="1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370" w:hRule="atLeast"/>
        </w:trPr>
        <w:tc>
          <w:tcPr>
            <w:tcW w:w="6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70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公务用车运行费</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≤1.1万元</w:t>
            </w:r>
          </w:p>
        </w:tc>
        <w:tc>
          <w:tcPr>
            <w:tcW w:w="220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1.1万元</w:t>
            </w:r>
          </w:p>
        </w:tc>
        <w:tc>
          <w:tcPr>
            <w:tcW w:w="1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808" w:hRule="atLeast"/>
        </w:trPr>
        <w:tc>
          <w:tcPr>
            <w:tcW w:w="6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70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差旅费</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≤2.1万元</w:t>
            </w:r>
          </w:p>
        </w:tc>
        <w:tc>
          <w:tcPr>
            <w:tcW w:w="220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2.1万元</w:t>
            </w:r>
          </w:p>
        </w:tc>
        <w:tc>
          <w:tcPr>
            <w:tcW w:w="1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1157" w:hRule="atLeast"/>
        </w:trPr>
        <w:tc>
          <w:tcPr>
            <w:tcW w:w="6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效益指标</w:t>
            </w:r>
          </w:p>
        </w:tc>
        <w:tc>
          <w:tcPr>
            <w:tcW w:w="6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经济效益指标</w:t>
            </w:r>
          </w:p>
        </w:tc>
        <w:tc>
          <w:tcPr>
            <w:tcW w:w="170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社会化服务面积扩大</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≥12万亩</w:t>
            </w:r>
          </w:p>
        </w:tc>
        <w:tc>
          <w:tcPr>
            <w:tcW w:w="220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12万亩</w:t>
            </w:r>
          </w:p>
        </w:tc>
        <w:tc>
          <w:tcPr>
            <w:tcW w:w="1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600" w:hRule="atLeast"/>
        </w:trPr>
        <w:tc>
          <w:tcPr>
            <w:tcW w:w="6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170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合作社人员管理水平提高</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有所提升</w:t>
            </w:r>
          </w:p>
        </w:tc>
        <w:tc>
          <w:tcPr>
            <w:tcW w:w="220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有所提升</w:t>
            </w:r>
          </w:p>
        </w:tc>
        <w:tc>
          <w:tcPr>
            <w:tcW w:w="1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324" w:hRule="atLeast"/>
        </w:trPr>
        <w:tc>
          <w:tcPr>
            <w:tcW w:w="6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可持续影响指标</w:t>
            </w:r>
          </w:p>
        </w:tc>
        <w:tc>
          <w:tcPr>
            <w:tcW w:w="170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推进专业合作社经营管理新发展</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中长期</w:t>
            </w:r>
          </w:p>
        </w:tc>
        <w:tc>
          <w:tcPr>
            <w:tcW w:w="220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中长期</w:t>
            </w:r>
          </w:p>
        </w:tc>
        <w:tc>
          <w:tcPr>
            <w:tcW w:w="1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bl>
    <w:p>
      <w:pPr>
        <w:spacing w:line="560" w:lineRule="exact"/>
        <w:rPr>
          <w:rFonts w:ascii="仿宋_GB2312"/>
          <w:bCs/>
          <w:sz w:val="32"/>
          <w:szCs w:val="32"/>
        </w:rPr>
      </w:pPr>
      <w:r>
        <w:rPr>
          <w:rFonts w:hint="eastAsia" w:ascii="仿宋_GB2312"/>
          <w:bCs/>
          <w:sz w:val="32"/>
          <w:szCs w:val="32"/>
        </w:rPr>
        <w:t>附件1</w:t>
      </w:r>
    </w:p>
    <w:tbl>
      <w:tblPr>
        <w:tblStyle w:val="20"/>
        <w:tblW w:w="876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517"/>
        <w:gridCol w:w="517"/>
        <w:gridCol w:w="544"/>
        <w:gridCol w:w="2206"/>
        <w:gridCol w:w="3764"/>
        <w:gridCol w:w="560"/>
        <w:gridCol w:w="65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517" w:type="dxa"/>
            <w:shd w:val="clear" w:color="auto" w:fill="FFFFFF"/>
            <w:vAlign w:val="center"/>
          </w:tcPr>
          <w:p>
            <w:pPr>
              <w:widowControl/>
              <w:spacing w:line="560" w:lineRule="exact"/>
              <w:jc w:val="center"/>
              <w:rPr>
                <w:rFonts w:ascii="宋体" w:hAnsi="宋体" w:cs="宋体"/>
                <w:b/>
                <w:bCs/>
                <w:color w:val="000000"/>
                <w:kern w:val="0"/>
                <w:sz w:val="22"/>
                <w:szCs w:val="22"/>
              </w:rPr>
            </w:pPr>
            <w:r>
              <w:rPr>
                <w:rFonts w:hint="eastAsia" w:ascii="宋体" w:hAnsi="宋体" w:cs="宋体"/>
                <w:b/>
                <w:bCs/>
                <w:color w:val="000000"/>
                <w:kern w:val="0"/>
                <w:sz w:val="22"/>
                <w:szCs w:val="22"/>
              </w:rPr>
              <w:t>一级指标</w:t>
            </w:r>
          </w:p>
        </w:tc>
        <w:tc>
          <w:tcPr>
            <w:tcW w:w="517" w:type="dxa"/>
            <w:shd w:val="clear" w:color="auto" w:fill="FFFFFF"/>
            <w:vAlign w:val="center"/>
          </w:tcPr>
          <w:p>
            <w:pPr>
              <w:widowControl/>
              <w:spacing w:line="560" w:lineRule="exact"/>
              <w:jc w:val="center"/>
              <w:rPr>
                <w:rFonts w:ascii="宋体" w:hAnsi="宋体" w:cs="宋体"/>
                <w:b/>
                <w:bCs/>
                <w:color w:val="000000"/>
                <w:kern w:val="0"/>
                <w:sz w:val="22"/>
                <w:szCs w:val="22"/>
              </w:rPr>
            </w:pPr>
            <w:r>
              <w:rPr>
                <w:rFonts w:hint="eastAsia" w:ascii="宋体" w:hAnsi="宋体" w:cs="宋体"/>
                <w:b/>
                <w:bCs/>
                <w:color w:val="000000"/>
                <w:kern w:val="0"/>
                <w:sz w:val="22"/>
                <w:szCs w:val="22"/>
              </w:rPr>
              <w:t>二级指标</w:t>
            </w:r>
          </w:p>
        </w:tc>
        <w:tc>
          <w:tcPr>
            <w:tcW w:w="544" w:type="dxa"/>
            <w:shd w:val="clear" w:color="auto" w:fill="FFFFFF"/>
            <w:vAlign w:val="center"/>
          </w:tcPr>
          <w:p>
            <w:pPr>
              <w:widowControl/>
              <w:spacing w:line="560" w:lineRule="exact"/>
              <w:jc w:val="center"/>
              <w:rPr>
                <w:rFonts w:ascii="宋体" w:hAnsi="宋体" w:cs="宋体"/>
                <w:b/>
                <w:bCs/>
                <w:color w:val="000000"/>
                <w:kern w:val="0"/>
                <w:sz w:val="22"/>
                <w:szCs w:val="22"/>
              </w:rPr>
            </w:pPr>
            <w:r>
              <w:rPr>
                <w:rFonts w:hint="eastAsia" w:ascii="宋体" w:hAnsi="宋体" w:cs="宋体"/>
                <w:b/>
                <w:bCs/>
                <w:color w:val="000000"/>
                <w:kern w:val="0"/>
                <w:sz w:val="22"/>
                <w:szCs w:val="22"/>
              </w:rPr>
              <w:t>三级指标</w:t>
            </w:r>
          </w:p>
        </w:tc>
        <w:tc>
          <w:tcPr>
            <w:tcW w:w="2206" w:type="dxa"/>
            <w:shd w:val="clear" w:color="auto" w:fill="FFFFFF"/>
            <w:vAlign w:val="center"/>
          </w:tcPr>
          <w:p>
            <w:pPr>
              <w:widowControl/>
              <w:spacing w:line="560" w:lineRule="exact"/>
              <w:jc w:val="center"/>
              <w:rPr>
                <w:rFonts w:ascii="宋体" w:hAnsi="宋体" w:cs="宋体"/>
                <w:b/>
                <w:bCs/>
                <w:color w:val="000000"/>
                <w:kern w:val="0"/>
                <w:sz w:val="22"/>
                <w:szCs w:val="22"/>
              </w:rPr>
            </w:pPr>
            <w:r>
              <w:rPr>
                <w:rFonts w:hint="eastAsia" w:ascii="宋体" w:hAnsi="宋体" w:cs="宋体"/>
                <w:b/>
                <w:bCs/>
                <w:color w:val="000000"/>
                <w:kern w:val="0"/>
                <w:sz w:val="22"/>
                <w:szCs w:val="22"/>
              </w:rPr>
              <w:t>指标解释</w:t>
            </w:r>
          </w:p>
        </w:tc>
        <w:tc>
          <w:tcPr>
            <w:tcW w:w="3764" w:type="dxa"/>
            <w:shd w:val="clear" w:color="auto" w:fill="FFFFFF"/>
            <w:vAlign w:val="center"/>
          </w:tcPr>
          <w:p>
            <w:pPr>
              <w:widowControl/>
              <w:spacing w:line="560" w:lineRule="exact"/>
              <w:jc w:val="center"/>
              <w:rPr>
                <w:rFonts w:ascii="宋体" w:hAnsi="宋体" w:cs="宋体"/>
                <w:b/>
                <w:bCs/>
                <w:color w:val="000000"/>
                <w:kern w:val="0"/>
                <w:sz w:val="22"/>
                <w:szCs w:val="22"/>
              </w:rPr>
            </w:pPr>
            <w:r>
              <w:rPr>
                <w:rFonts w:hint="eastAsia" w:ascii="宋体" w:hAnsi="宋体" w:cs="宋体"/>
                <w:b/>
                <w:bCs/>
                <w:color w:val="000000"/>
                <w:kern w:val="0"/>
                <w:sz w:val="22"/>
                <w:szCs w:val="22"/>
              </w:rPr>
              <w:t>指标说明</w:t>
            </w:r>
          </w:p>
        </w:tc>
        <w:tc>
          <w:tcPr>
            <w:tcW w:w="560" w:type="dxa"/>
            <w:shd w:val="clear" w:color="auto" w:fill="FFFFFF"/>
            <w:vAlign w:val="center"/>
          </w:tcPr>
          <w:p>
            <w:pPr>
              <w:widowControl/>
              <w:spacing w:line="560" w:lineRule="exact"/>
              <w:jc w:val="center"/>
              <w:rPr>
                <w:rFonts w:ascii="宋体" w:hAnsi="宋体" w:cs="宋体"/>
                <w:b/>
                <w:bCs/>
                <w:color w:val="000000"/>
                <w:kern w:val="0"/>
                <w:sz w:val="22"/>
                <w:szCs w:val="22"/>
              </w:rPr>
            </w:pPr>
            <w:r>
              <w:rPr>
                <w:rFonts w:hint="eastAsia" w:ascii="宋体" w:hAnsi="宋体" w:cs="宋体"/>
                <w:b/>
                <w:bCs/>
                <w:color w:val="000000"/>
                <w:kern w:val="0"/>
                <w:sz w:val="22"/>
                <w:szCs w:val="22"/>
              </w:rPr>
              <w:t>权重</w:t>
            </w:r>
          </w:p>
        </w:tc>
        <w:tc>
          <w:tcPr>
            <w:tcW w:w="656" w:type="dxa"/>
            <w:shd w:val="clear" w:color="auto" w:fill="FFFFFF"/>
            <w:vAlign w:val="center"/>
          </w:tcPr>
          <w:p>
            <w:pPr>
              <w:widowControl/>
              <w:spacing w:line="560" w:lineRule="exact"/>
              <w:jc w:val="center"/>
              <w:rPr>
                <w:rFonts w:ascii="宋体" w:hAnsi="宋体" w:cs="宋体"/>
                <w:b/>
                <w:bCs/>
                <w:color w:val="000000"/>
                <w:kern w:val="0"/>
                <w:sz w:val="22"/>
                <w:szCs w:val="22"/>
              </w:rPr>
            </w:pPr>
            <w:r>
              <w:rPr>
                <w:rFonts w:hint="eastAsia" w:ascii="宋体" w:hAnsi="宋体" w:cs="宋体"/>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517" w:type="dxa"/>
            <w:vMerge w:val="restart"/>
            <w:shd w:val="clear" w:color="auto" w:fill="FFFFFF"/>
            <w:vAlign w:val="center"/>
          </w:tcPr>
          <w:p>
            <w:pPr>
              <w:widowControl/>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决策　</w:t>
            </w:r>
          </w:p>
          <w:p>
            <w:pPr>
              <w:widowControl/>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　</w:t>
            </w:r>
          </w:p>
          <w:p>
            <w:pPr>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517" w:type="dxa"/>
            <w:vMerge w:val="restart"/>
            <w:shd w:val="clear" w:color="auto" w:fill="FFFFFF"/>
            <w:vAlign w:val="center"/>
          </w:tcPr>
          <w:p>
            <w:pPr>
              <w:widowControl/>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项目立项　</w:t>
            </w:r>
          </w:p>
        </w:tc>
        <w:tc>
          <w:tcPr>
            <w:tcW w:w="544" w:type="dxa"/>
            <w:shd w:val="clear" w:color="auto" w:fill="FFFFFF"/>
            <w:vAlign w:val="center"/>
          </w:tcPr>
          <w:p>
            <w:pPr>
              <w:widowControl/>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立项依据</w:t>
            </w:r>
          </w:p>
          <w:p>
            <w:pPr>
              <w:widowControl/>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充分性</w:t>
            </w:r>
          </w:p>
        </w:tc>
        <w:tc>
          <w:tcPr>
            <w:tcW w:w="2206" w:type="dxa"/>
            <w:shd w:val="clear" w:color="auto" w:fill="FFFFFF"/>
            <w:vAlign w:val="center"/>
          </w:tcPr>
          <w:p>
            <w:pPr>
              <w:widowControl/>
              <w:spacing w:line="560" w:lineRule="exact"/>
              <w:rPr>
                <w:rFonts w:ascii="宋体" w:hAnsi="宋体" w:cs="宋体"/>
                <w:color w:val="000000"/>
                <w:kern w:val="0"/>
                <w:sz w:val="22"/>
                <w:szCs w:val="22"/>
              </w:rPr>
            </w:pPr>
            <w:r>
              <w:rPr>
                <w:rFonts w:hint="eastAsia" w:ascii="宋体" w:hAnsi="宋体" w:cs="宋体"/>
                <w:color w:val="000000"/>
                <w:kern w:val="0"/>
                <w:sz w:val="22"/>
                <w:szCs w:val="22"/>
              </w:rPr>
              <w:t>项目立项是否符合法律法规、相关政策、发展规划以及部门职责，用以反映和考核项目立项依据情况。</w:t>
            </w:r>
          </w:p>
        </w:tc>
        <w:tc>
          <w:tcPr>
            <w:tcW w:w="3764" w:type="dxa"/>
            <w:shd w:val="clear" w:color="auto" w:fill="FFFFFF"/>
            <w:vAlign w:val="center"/>
          </w:tcPr>
          <w:p>
            <w:pPr>
              <w:widowControl/>
              <w:spacing w:line="560" w:lineRule="exact"/>
              <w:jc w:val="lef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①项目立项是否符合国家法律法规、国民经济发展规划和相关政策；</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②项目立项是否符合行业发展规划和政策要求；</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③项目立项是否与部门职责范围相符，属于部门履职所需；</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④项目是否属于公共财政支持范围，是否符合中央、地方事权支出责任划分原则；</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⑤项目是否与相关部门同类项目或部门内部相关项目重复。</w:t>
            </w:r>
          </w:p>
        </w:tc>
        <w:tc>
          <w:tcPr>
            <w:tcW w:w="560" w:type="dxa"/>
            <w:shd w:val="clear" w:color="auto" w:fill="FFFFFF"/>
            <w:vAlign w:val="center"/>
          </w:tcPr>
          <w:p>
            <w:pPr>
              <w:widowControl/>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0.5</w:t>
            </w:r>
          </w:p>
        </w:tc>
        <w:tc>
          <w:tcPr>
            <w:tcW w:w="656" w:type="dxa"/>
            <w:shd w:val="clear" w:color="auto" w:fill="FFFFFF"/>
            <w:vAlign w:val="center"/>
          </w:tcPr>
          <w:p>
            <w:pPr>
              <w:widowControl/>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517" w:type="dxa"/>
            <w:vMerge w:val="continue"/>
            <w:shd w:val="clear" w:color="auto" w:fill="FFFFFF"/>
            <w:vAlign w:val="center"/>
          </w:tcPr>
          <w:p>
            <w:pPr>
              <w:spacing w:line="560" w:lineRule="exact"/>
              <w:jc w:val="center"/>
              <w:rPr>
                <w:rFonts w:ascii="宋体" w:hAnsi="宋体" w:cs="宋体"/>
                <w:color w:val="000000"/>
                <w:kern w:val="0"/>
                <w:sz w:val="22"/>
                <w:szCs w:val="22"/>
              </w:rPr>
            </w:pPr>
          </w:p>
        </w:tc>
        <w:tc>
          <w:tcPr>
            <w:tcW w:w="517" w:type="dxa"/>
            <w:vMerge w:val="continue"/>
            <w:shd w:val="clear" w:color="auto" w:fill="FFFFFF"/>
            <w:vAlign w:val="center"/>
          </w:tcPr>
          <w:p>
            <w:pPr>
              <w:widowControl/>
              <w:spacing w:line="560" w:lineRule="exact"/>
              <w:jc w:val="center"/>
              <w:rPr>
                <w:rFonts w:ascii="宋体" w:hAnsi="宋体" w:cs="宋体"/>
                <w:color w:val="000000"/>
                <w:kern w:val="0"/>
                <w:sz w:val="22"/>
                <w:szCs w:val="22"/>
              </w:rPr>
            </w:pPr>
          </w:p>
        </w:tc>
        <w:tc>
          <w:tcPr>
            <w:tcW w:w="544" w:type="dxa"/>
            <w:shd w:val="clear" w:color="auto" w:fill="FFFFFF"/>
            <w:vAlign w:val="center"/>
          </w:tcPr>
          <w:p>
            <w:pPr>
              <w:widowControl/>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立项程序</w:t>
            </w:r>
          </w:p>
          <w:p>
            <w:pPr>
              <w:widowControl/>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规范性</w:t>
            </w:r>
          </w:p>
        </w:tc>
        <w:tc>
          <w:tcPr>
            <w:tcW w:w="2206" w:type="dxa"/>
            <w:shd w:val="clear" w:color="auto" w:fill="FFFFFF"/>
            <w:vAlign w:val="center"/>
          </w:tcPr>
          <w:p>
            <w:pPr>
              <w:widowControl/>
              <w:spacing w:line="560" w:lineRule="exact"/>
              <w:rPr>
                <w:rFonts w:ascii="宋体" w:hAnsi="宋体" w:cs="宋体"/>
                <w:color w:val="000000"/>
                <w:kern w:val="0"/>
                <w:sz w:val="22"/>
                <w:szCs w:val="22"/>
              </w:rPr>
            </w:pPr>
            <w:r>
              <w:rPr>
                <w:rFonts w:hint="eastAsia" w:ascii="宋体" w:hAnsi="宋体" w:cs="宋体"/>
                <w:color w:val="000000"/>
                <w:kern w:val="0"/>
                <w:sz w:val="22"/>
                <w:szCs w:val="22"/>
              </w:rPr>
              <w:t>项目申请、设立过程是否符合相关要求，用以反映和考核项目立项的规范情况。</w:t>
            </w:r>
          </w:p>
        </w:tc>
        <w:tc>
          <w:tcPr>
            <w:tcW w:w="3764" w:type="dxa"/>
            <w:shd w:val="clear" w:color="auto" w:fill="FFFFFF"/>
            <w:vAlign w:val="center"/>
          </w:tcPr>
          <w:p>
            <w:pPr>
              <w:widowControl/>
              <w:spacing w:line="560" w:lineRule="exact"/>
              <w:jc w:val="lef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①项目是否按照规定的程序申请设立；</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②审批文件、材料是否符合相关要求；</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③事前是否已经过必要的可行性研究、专家论证、风险评估、绩效评估、集体决策。</w:t>
            </w:r>
          </w:p>
        </w:tc>
        <w:tc>
          <w:tcPr>
            <w:tcW w:w="560" w:type="dxa"/>
            <w:shd w:val="clear" w:color="auto" w:fill="FFFFFF"/>
            <w:vAlign w:val="center"/>
          </w:tcPr>
          <w:p>
            <w:pPr>
              <w:widowControl/>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0.5</w:t>
            </w:r>
          </w:p>
        </w:tc>
        <w:tc>
          <w:tcPr>
            <w:tcW w:w="656" w:type="dxa"/>
            <w:shd w:val="clear" w:color="auto" w:fill="FFFFFF"/>
            <w:vAlign w:val="center"/>
          </w:tcPr>
          <w:p>
            <w:pPr>
              <w:widowControl/>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517" w:type="dxa"/>
            <w:vMerge w:val="continue"/>
            <w:shd w:val="clear" w:color="auto" w:fill="FFFFFF"/>
            <w:vAlign w:val="center"/>
          </w:tcPr>
          <w:p>
            <w:pPr>
              <w:spacing w:line="560" w:lineRule="exact"/>
              <w:jc w:val="center"/>
              <w:rPr>
                <w:rFonts w:ascii="宋体" w:hAnsi="宋体" w:cs="宋体"/>
                <w:color w:val="000000"/>
                <w:kern w:val="0"/>
                <w:sz w:val="22"/>
                <w:szCs w:val="22"/>
              </w:rPr>
            </w:pPr>
          </w:p>
        </w:tc>
        <w:tc>
          <w:tcPr>
            <w:tcW w:w="517" w:type="dxa"/>
            <w:shd w:val="clear" w:color="auto" w:fill="FFFFFF"/>
            <w:vAlign w:val="center"/>
          </w:tcPr>
          <w:p>
            <w:pPr>
              <w:widowControl/>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绩效目标　</w:t>
            </w:r>
          </w:p>
        </w:tc>
        <w:tc>
          <w:tcPr>
            <w:tcW w:w="544" w:type="dxa"/>
            <w:shd w:val="clear" w:color="auto" w:fill="FFFFFF"/>
            <w:vAlign w:val="center"/>
          </w:tcPr>
          <w:p>
            <w:pPr>
              <w:widowControl/>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绩效目标</w:t>
            </w:r>
          </w:p>
          <w:p>
            <w:pPr>
              <w:widowControl/>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合理性</w:t>
            </w:r>
          </w:p>
        </w:tc>
        <w:tc>
          <w:tcPr>
            <w:tcW w:w="2206" w:type="dxa"/>
            <w:shd w:val="clear" w:color="000000" w:fill="FFFFFF"/>
            <w:vAlign w:val="center"/>
          </w:tcPr>
          <w:p>
            <w:pPr>
              <w:widowControl/>
              <w:spacing w:line="560" w:lineRule="exact"/>
              <w:rPr>
                <w:rFonts w:ascii="宋体" w:hAnsi="宋体" w:cs="宋体"/>
                <w:color w:val="000000"/>
                <w:kern w:val="0"/>
                <w:sz w:val="22"/>
                <w:szCs w:val="22"/>
              </w:rPr>
            </w:pPr>
            <w:r>
              <w:rPr>
                <w:rFonts w:hint="eastAsia" w:ascii="宋体" w:hAnsi="宋体" w:cs="宋体"/>
                <w:color w:val="000000"/>
                <w:kern w:val="0"/>
                <w:sz w:val="22"/>
                <w:szCs w:val="22"/>
              </w:rPr>
              <w:t>项目所设定的绩效目标是否依据充分，是否符合客观实际，用以反映和考核项目绩效目标与项目实施的相符情况。</w:t>
            </w:r>
          </w:p>
        </w:tc>
        <w:tc>
          <w:tcPr>
            <w:tcW w:w="3764" w:type="dxa"/>
            <w:shd w:val="clear" w:color="000000" w:fill="FFFFFF"/>
            <w:vAlign w:val="center"/>
          </w:tcPr>
          <w:p>
            <w:pPr>
              <w:widowControl/>
              <w:spacing w:line="560" w:lineRule="exact"/>
              <w:jc w:val="lef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（如未设定预算绩效目标，也可考核其他工作任务目标）</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①项目是否有绩效目标；</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②项目绩效目标与实际工作内容是否具有相关性；</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③项目预期产出效益和效果是否符合正常的业绩水平；</w:t>
            </w:r>
          </w:p>
          <w:p>
            <w:pPr>
              <w:widowControl/>
              <w:spacing w:line="560" w:lineRule="exact"/>
              <w:jc w:val="left"/>
              <w:rPr>
                <w:rFonts w:ascii="宋体" w:hAnsi="宋体" w:cs="宋体"/>
                <w:color w:val="000000"/>
                <w:kern w:val="0"/>
                <w:sz w:val="22"/>
                <w:szCs w:val="22"/>
              </w:rPr>
            </w:pPr>
            <w:r>
              <w:rPr>
                <w:rFonts w:hint="eastAsia" w:ascii="宋体" w:hAnsi="宋体" w:cs="宋体"/>
                <w:color w:val="000000"/>
                <w:kern w:val="0"/>
                <w:sz w:val="22"/>
                <w:szCs w:val="22"/>
              </w:rPr>
              <w:t>④是否与预算确定的项目投资额或资金量相匹配。</w:t>
            </w:r>
          </w:p>
        </w:tc>
        <w:tc>
          <w:tcPr>
            <w:tcW w:w="560" w:type="dxa"/>
            <w:shd w:val="clear" w:color="000000" w:fill="FFFFFF"/>
            <w:vAlign w:val="center"/>
          </w:tcPr>
          <w:p>
            <w:pPr>
              <w:widowControl/>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656" w:type="dxa"/>
            <w:shd w:val="clear" w:color="000000" w:fill="FFFFFF"/>
            <w:vAlign w:val="center"/>
          </w:tcPr>
          <w:p>
            <w:pPr>
              <w:widowControl/>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517" w:type="dxa"/>
            <w:vMerge w:val="restart"/>
            <w:shd w:val="clear" w:color="auto" w:fill="FFFFFF"/>
            <w:vAlign w:val="center"/>
          </w:tcPr>
          <w:p>
            <w:pPr>
              <w:widowControl/>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决策　</w:t>
            </w:r>
          </w:p>
        </w:tc>
        <w:tc>
          <w:tcPr>
            <w:tcW w:w="517" w:type="dxa"/>
            <w:shd w:val="clear" w:color="auto" w:fill="FFFFFF"/>
            <w:vAlign w:val="center"/>
          </w:tcPr>
          <w:p>
            <w:pPr>
              <w:widowControl/>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绩效目标</w:t>
            </w:r>
          </w:p>
        </w:tc>
        <w:tc>
          <w:tcPr>
            <w:tcW w:w="544" w:type="dxa"/>
            <w:shd w:val="clear" w:color="auto" w:fill="FFFFFF"/>
            <w:vAlign w:val="center"/>
          </w:tcPr>
          <w:p>
            <w:pPr>
              <w:widowControl/>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绩效指标</w:t>
            </w:r>
          </w:p>
          <w:p>
            <w:pPr>
              <w:widowControl/>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明确性</w:t>
            </w:r>
          </w:p>
        </w:tc>
        <w:tc>
          <w:tcPr>
            <w:tcW w:w="2206" w:type="dxa"/>
            <w:shd w:val="clear" w:color="000000" w:fill="FFFFFF"/>
            <w:vAlign w:val="center"/>
          </w:tcPr>
          <w:p>
            <w:pPr>
              <w:widowControl/>
              <w:spacing w:line="560" w:lineRule="exact"/>
              <w:rPr>
                <w:rFonts w:ascii="宋体" w:hAnsi="宋体" w:cs="宋体"/>
                <w:color w:val="000000"/>
                <w:kern w:val="0"/>
                <w:sz w:val="22"/>
                <w:szCs w:val="22"/>
              </w:rPr>
            </w:pPr>
            <w:r>
              <w:rPr>
                <w:rFonts w:hint="eastAsia" w:ascii="宋体" w:hAnsi="宋体" w:cs="宋体"/>
                <w:color w:val="000000"/>
                <w:kern w:val="0"/>
                <w:sz w:val="22"/>
                <w:szCs w:val="22"/>
              </w:rPr>
              <w:t>依据绩效目标设定的绩效指标是否清晰、细化、可衡量等，用以反映和考核项目绩效目标的明细化情况。</w:t>
            </w:r>
          </w:p>
        </w:tc>
        <w:tc>
          <w:tcPr>
            <w:tcW w:w="3764" w:type="dxa"/>
            <w:shd w:val="clear" w:color="000000" w:fill="FFFFFF"/>
            <w:vAlign w:val="center"/>
          </w:tcPr>
          <w:p>
            <w:pPr>
              <w:widowControl/>
              <w:spacing w:line="560" w:lineRule="exac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①是否将项目绩效目标细化分解为具体的绩效指标；</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②是否通过清晰、可衡量的指标值予以体现；</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③是否与项目目标任务数或计划数相对应。</w:t>
            </w:r>
            <w:r>
              <w:rPr>
                <w:rFonts w:hint="eastAsia" w:ascii="宋体" w:hAnsi="宋体" w:cs="宋体"/>
                <w:color w:val="000000"/>
                <w:kern w:val="0"/>
                <w:sz w:val="22"/>
                <w:szCs w:val="22"/>
              </w:rPr>
              <w:br w:type="textWrapping"/>
            </w:r>
          </w:p>
        </w:tc>
        <w:tc>
          <w:tcPr>
            <w:tcW w:w="560" w:type="dxa"/>
            <w:shd w:val="clear" w:color="000000" w:fill="FFFFFF"/>
            <w:vAlign w:val="center"/>
          </w:tcPr>
          <w:p>
            <w:pPr>
              <w:widowControl/>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656" w:type="dxa"/>
            <w:shd w:val="clear" w:color="000000" w:fill="FFFFFF"/>
            <w:vAlign w:val="center"/>
          </w:tcPr>
          <w:p>
            <w:pPr>
              <w:widowControl/>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517" w:type="dxa"/>
            <w:vMerge w:val="continue"/>
            <w:shd w:val="clear" w:color="auto" w:fill="FFFFFF"/>
            <w:vAlign w:val="center"/>
          </w:tcPr>
          <w:p>
            <w:pPr>
              <w:spacing w:line="560" w:lineRule="exact"/>
              <w:jc w:val="center"/>
              <w:rPr>
                <w:rFonts w:ascii="宋体" w:hAnsi="宋体" w:cs="宋体"/>
                <w:color w:val="000000"/>
                <w:kern w:val="0"/>
                <w:sz w:val="22"/>
                <w:szCs w:val="22"/>
              </w:rPr>
            </w:pPr>
          </w:p>
        </w:tc>
        <w:tc>
          <w:tcPr>
            <w:tcW w:w="517" w:type="dxa"/>
            <w:vMerge w:val="restart"/>
            <w:shd w:val="clear" w:color="auto" w:fill="FFFFFF"/>
            <w:vAlign w:val="center"/>
          </w:tcPr>
          <w:p>
            <w:pPr>
              <w:widowControl/>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资金投入</w:t>
            </w:r>
          </w:p>
          <w:p>
            <w:pPr>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544" w:type="dxa"/>
            <w:shd w:val="clear" w:color="auto" w:fill="FFFFFF"/>
            <w:vAlign w:val="center"/>
          </w:tcPr>
          <w:p>
            <w:pPr>
              <w:widowControl/>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预算编制</w:t>
            </w:r>
          </w:p>
          <w:p>
            <w:pPr>
              <w:widowControl/>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科学性</w:t>
            </w:r>
          </w:p>
        </w:tc>
        <w:tc>
          <w:tcPr>
            <w:tcW w:w="2206" w:type="dxa"/>
            <w:shd w:val="clear" w:color="auto" w:fill="FFFFFF"/>
            <w:vAlign w:val="center"/>
          </w:tcPr>
          <w:p>
            <w:pPr>
              <w:widowControl/>
              <w:spacing w:line="560" w:lineRule="exact"/>
              <w:rPr>
                <w:rFonts w:ascii="宋体" w:hAnsi="宋体" w:cs="宋体"/>
                <w:color w:val="000000"/>
                <w:kern w:val="0"/>
                <w:sz w:val="22"/>
                <w:szCs w:val="22"/>
              </w:rPr>
            </w:pPr>
            <w:r>
              <w:rPr>
                <w:rFonts w:hint="eastAsia" w:ascii="宋体" w:hAnsi="宋体" w:cs="宋体"/>
                <w:color w:val="000000"/>
                <w:kern w:val="0"/>
                <w:sz w:val="22"/>
                <w:szCs w:val="22"/>
              </w:rPr>
              <w:t>项目预算编制是否经过科学论证、有明确标准，资金额度与年度目标是否相适应，用以反映和考核项目预算编制的科学性、合理性情况。</w:t>
            </w:r>
          </w:p>
        </w:tc>
        <w:tc>
          <w:tcPr>
            <w:tcW w:w="3764" w:type="dxa"/>
            <w:shd w:val="clear" w:color="auto" w:fill="FFFFFF"/>
            <w:vAlign w:val="center"/>
          </w:tcPr>
          <w:p>
            <w:pPr>
              <w:widowControl/>
              <w:spacing w:line="560" w:lineRule="exac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①预算编制是否经过科学论证；</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②预算内容与项目内容是否匹配；</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③预算额度测算依据是否充分，是否按照标准编制；</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④预算确定的项目投资额或资金量是否与工作任务相匹配。</w:t>
            </w:r>
          </w:p>
        </w:tc>
        <w:tc>
          <w:tcPr>
            <w:tcW w:w="560" w:type="dxa"/>
            <w:shd w:val="clear" w:color="auto" w:fill="FFFFFF"/>
            <w:vAlign w:val="center"/>
          </w:tcPr>
          <w:p>
            <w:pPr>
              <w:widowControl/>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656" w:type="dxa"/>
            <w:shd w:val="clear" w:color="auto" w:fill="FFFFFF"/>
            <w:vAlign w:val="center"/>
          </w:tcPr>
          <w:p>
            <w:pPr>
              <w:widowControl/>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517" w:type="dxa"/>
            <w:vMerge w:val="continue"/>
            <w:shd w:val="clear" w:color="auto" w:fill="FFFFFF"/>
            <w:vAlign w:val="center"/>
          </w:tcPr>
          <w:p>
            <w:pPr>
              <w:widowControl/>
              <w:spacing w:line="560" w:lineRule="exact"/>
              <w:jc w:val="center"/>
              <w:rPr>
                <w:rFonts w:ascii="宋体" w:hAnsi="宋体" w:cs="宋体"/>
                <w:color w:val="000000"/>
                <w:kern w:val="0"/>
                <w:sz w:val="22"/>
                <w:szCs w:val="22"/>
              </w:rPr>
            </w:pPr>
          </w:p>
        </w:tc>
        <w:tc>
          <w:tcPr>
            <w:tcW w:w="517" w:type="dxa"/>
            <w:vMerge w:val="continue"/>
            <w:shd w:val="clear" w:color="auto" w:fill="FFFFFF"/>
            <w:vAlign w:val="center"/>
          </w:tcPr>
          <w:p>
            <w:pPr>
              <w:widowControl/>
              <w:spacing w:line="560" w:lineRule="exact"/>
              <w:jc w:val="center"/>
              <w:rPr>
                <w:rFonts w:ascii="宋体" w:hAnsi="宋体" w:cs="宋体"/>
                <w:color w:val="000000"/>
                <w:kern w:val="0"/>
                <w:sz w:val="22"/>
                <w:szCs w:val="22"/>
              </w:rPr>
            </w:pPr>
          </w:p>
        </w:tc>
        <w:tc>
          <w:tcPr>
            <w:tcW w:w="544" w:type="dxa"/>
            <w:shd w:val="clear" w:color="auto" w:fill="FFFFFF"/>
            <w:vAlign w:val="center"/>
          </w:tcPr>
          <w:p>
            <w:pPr>
              <w:widowControl/>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资金分配</w:t>
            </w:r>
          </w:p>
          <w:p>
            <w:pPr>
              <w:widowControl/>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合理性</w:t>
            </w:r>
          </w:p>
        </w:tc>
        <w:tc>
          <w:tcPr>
            <w:tcW w:w="2206" w:type="dxa"/>
            <w:shd w:val="clear" w:color="auto" w:fill="FFFFFF"/>
            <w:vAlign w:val="center"/>
          </w:tcPr>
          <w:p>
            <w:pPr>
              <w:widowControl/>
              <w:spacing w:line="560" w:lineRule="exact"/>
              <w:rPr>
                <w:rFonts w:ascii="宋体" w:hAnsi="宋体" w:cs="宋体"/>
                <w:color w:val="000000"/>
                <w:kern w:val="0"/>
                <w:sz w:val="22"/>
                <w:szCs w:val="22"/>
              </w:rPr>
            </w:pPr>
            <w:r>
              <w:rPr>
                <w:rFonts w:hint="eastAsia" w:ascii="宋体" w:hAnsi="宋体" w:cs="宋体"/>
                <w:color w:val="000000"/>
                <w:kern w:val="0"/>
                <w:sz w:val="22"/>
                <w:szCs w:val="22"/>
              </w:rPr>
              <w:t>项目预算资金分配是否有测算依据，与补助单位或地方实际是否相适应，用以反映和考核项目预算资金分配的科学性、合理性情况。</w:t>
            </w:r>
          </w:p>
        </w:tc>
        <w:tc>
          <w:tcPr>
            <w:tcW w:w="3764" w:type="dxa"/>
            <w:shd w:val="clear" w:color="auto" w:fill="FFFFFF"/>
            <w:vAlign w:val="center"/>
          </w:tcPr>
          <w:p>
            <w:pPr>
              <w:widowControl/>
              <w:spacing w:line="560" w:lineRule="exac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①预算资金分配依据是否充分；</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②资金分配额度是否合理，与项目单位或地方实际是否相适应。</w:t>
            </w:r>
          </w:p>
        </w:tc>
        <w:tc>
          <w:tcPr>
            <w:tcW w:w="560" w:type="dxa"/>
            <w:shd w:val="clear" w:color="auto" w:fill="FFFFFF"/>
            <w:vAlign w:val="center"/>
          </w:tcPr>
          <w:p>
            <w:pPr>
              <w:widowControl/>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656" w:type="dxa"/>
            <w:shd w:val="clear" w:color="auto" w:fill="FFFFFF"/>
            <w:vAlign w:val="center"/>
          </w:tcPr>
          <w:p>
            <w:pPr>
              <w:widowControl/>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517" w:type="dxa"/>
            <w:vMerge w:val="restart"/>
            <w:shd w:val="clear" w:color="auto" w:fill="FFFFFF"/>
            <w:vAlign w:val="center"/>
          </w:tcPr>
          <w:p>
            <w:pPr>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过程</w:t>
            </w:r>
          </w:p>
        </w:tc>
        <w:tc>
          <w:tcPr>
            <w:tcW w:w="517" w:type="dxa"/>
            <w:vMerge w:val="restart"/>
            <w:shd w:val="clear" w:color="auto" w:fill="FFFFFF"/>
            <w:vAlign w:val="center"/>
          </w:tcPr>
          <w:p>
            <w:pPr>
              <w:widowControl/>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资金管理</w:t>
            </w:r>
          </w:p>
        </w:tc>
        <w:tc>
          <w:tcPr>
            <w:tcW w:w="544" w:type="dxa"/>
            <w:shd w:val="clear" w:color="auto" w:fill="FFFFFF"/>
            <w:vAlign w:val="center"/>
          </w:tcPr>
          <w:p>
            <w:pPr>
              <w:widowControl/>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资金到位率</w:t>
            </w:r>
          </w:p>
        </w:tc>
        <w:tc>
          <w:tcPr>
            <w:tcW w:w="2206" w:type="dxa"/>
            <w:shd w:val="clear" w:color="000000" w:fill="FFFFFF"/>
            <w:vAlign w:val="center"/>
          </w:tcPr>
          <w:p>
            <w:pPr>
              <w:widowControl/>
              <w:spacing w:line="560" w:lineRule="exact"/>
              <w:rPr>
                <w:rFonts w:ascii="宋体" w:hAnsi="宋体" w:cs="宋体"/>
                <w:color w:val="000000"/>
                <w:kern w:val="0"/>
                <w:sz w:val="22"/>
                <w:szCs w:val="22"/>
              </w:rPr>
            </w:pPr>
            <w:r>
              <w:rPr>
                <w:rFonts w:hint="eastAsia" w:ascii="宋体" w:hAnsi="宋体" w:cs="宋体"/>
                <w:color w:val="000000"/>
                <w:kern w:val="0"/>
                <w:sz w:val="22"/>
                <w:szCs w:val="22"/>
              </w:rPr>
              <w:t>实际到位资金与预算资金的比率，用以反映和考核资金落实情况对项目实施的总体保障程度。</w:t>
            </w:r>
          </w:p>
        </w:tc>
        <w:tc>
          <w:tcPr>
            <w:tcW w:w="3764" w:type="dxa"/>
            <w:shd w:val="clear" w:color="000000" w:fill="FFFFFF"/>
            <w:vAlign w:val="center"/>
          </w:tcPr>
          <w:p>
            <w:pPr>
              <w:widowControl/>
              <w:spacing w:line="560" w:lineRule="exact"/>
              <w:rPr>
                <w:rFonts w:ascii="宋体" w:hAnsi="宋体" w:cs="宋体"/>
                <w:color w:val="000000"/>
                <w:kern w:val="0"/>
                <w:sz w:val="22"/>
                <w:szCs w:val="22"/>
              </w:rPr>
            </w:pPr>
            <w:r>
              <w:rPr>
                <w:rFonts w:hint="eastAsia" w:ascii="宋体" w:hAnsi="宋体" w:cs="宋体"/>
                <w:color w:val="000000"/>
                <w:kern w:val="0"/>
                <w:sz w:val="22"/>
                <w:szCs w:val="22"/>
              </w:rPr>
              <w:t>资金到位率=（实际到位资金/预算资金）×100%。</w:t>
            </w:r>
          </w:p>
          <w:p>
            <w:pPr>
              <w:widowControl/>
              <w:spacing w:line="560" w:lineRule="exact"/>
              <w:rPr>
                <w:rFonts w:ascii="宋体" w:hAnsi="宋体" w:cs="宋体"/>
                <w:color w:val="000000"/>
                <w:kern w:val="0"/>
                <w:sz w:val="22"/>
                <w:szCs w:val="22"/>
              </w:rPr>
            </w:pPr>
            <w:r>
              <w:rPr>
                <w:rFonts w:hint="eastAsia" w:ascii="宋体" w:hAnsi="宋体" w:cs="宋体"/>
                <w:color w:val="000000"/>
                <w:kern w:val="0"/>
                <w:sz w:val="22"/>
                <w:szCs w:val="22"/>
              </w:rPr>
              <w:t>实际到位资金：一定时期（本年度或项目期）内落实到具体项目的资金。</w:t>
            </w:r>
          </w:p>
          <w:p>
            <w:pPr>
              <w:widowControl/>
              <w:spacing w:line="560" w:lineRule="exact"/>
              <w:rPr>
                <w:rFonts w:ascii="宋体" w:hAnsi="宋体" w:cs="宋体"/>
                <w:color w:val="000000"/>
                <w:kern w:val="0"/>
                <w:sz w:val="22"/>
                <w:szCs w:val="22"/>
              </w:rPr>
            </w:pPr>
            <w:r>
              <w:rPr>
                <w:rFonts w:hint="eastAsia" w:ascii="宋体" w:hAnsi="宋体" w:cs="宋体"/>
                <w:color w:val="000000"/>
                <w:kern w:val="0"/>
                <w:sz w:val="22"/>
                <w:szCs w:val="22"/>
              </w:rPr>
              <w:t>预算资金：一定时期（本年度或项目期）内预算安排到具体项目的资金。</w:t>
            </w:r>
          </w:p>
        </w:tc>
        <w:tc>
          <w:tcPr>
            <w:tcW w:w="560" w:type="dxa"/>
            <w:shd w:val="clear" w:color="000000" w:fill="FFFFFF"/>
            <w:vAlign w:val="center"/>
          </w:tcPr>
          <w:p>
            <w:pPr>
              <w:widowControl/>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656" w:type="dxa"/>
            <w:shd w:val="clear" w:color="000000" w:fill="FFFFFF"/>
            <w:vAlign w:val="center"/>
          </w:tcPr>
          <w:p>
            <w:pPr>
              <w:widowControl/>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517" w:type="dxa"/>
            <w:vMerge w:val="continue"/>
            <w:shd w:val="clear" w:color="auto" w:fill="FFFFFF"/>
            <w:vAlign w:val="center"/>
          </w:tcPr>
          <w:p>
            <w:pPr>
              <w:spacing w:line="560" w:lineRule="exact"/>
              <w:jc w:val="center"/>
              <w:rPr>
                <w:rFonts w:ascii="宋体" w:hAnsi="宋体" w:cs="宋体"/>
                <w:color w:val="000000"/>
                <w:kern w:val="0"/>
                <w:sz w:val="22"/>
                <w:szCs w:val="22"/>
              </w:rPr>
            </w:pPr>
          </w:p>
        </w:tc>
        <w:tc>
          <w:tcPr>
            <w:tcW w:w="517" w:type="dxa"/>
            <w:vMerge w:val="continue"/>
            <w:shd w:val="clear" w:color="auto" w:fill="FFFFFF"/>
            <w:vAlign w:val="center"/>
          </w:tcPr>
          <w:p>
            <w:pPr>
              <w:spacing w:line="560" w:lineRule="exact"/>
              <w:jc w:val="center"/>
              <w:rPr>
                <w:rFonts w:ascii="宋体" w:hAnsi="宋体" w:cs="宋体"/>
                <w:color w:val="000000"/>
                <w:kern w:val="0"/>
                <w:sz w:val="22"/>
                <w:szCs w:val="22"/>
              </w:rPr>
            </w:pPr>
          </w:p>
        </w:tc>
        <w:tc>
          <w:tcPr>
            <w:tcW w:w="544" w:type="dxa"/>
            <w:shd w:val="clear" w:color="auto" w:fill="FFFFFF"/>
            <w:vAlign w:val="center"/>
          </w:tcPr>
          <w:p>
            <w:pPr>
              <w:widowControl/>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预算执行率</w:t>
            </w:r>
          </w:p>
        </w:tc>
        <w:tc>
          <w:tcPr>
            <w:tcW w:w="2206" w:type="dxa"/>
            <w:shd w:val="clear" w:color="auto" w:fill="FFFFFF"/>
            <w:vAlign w:val="center"/>
          </w:tcPr>
          <w:p>
            <w:pPr>
              <w:widowControl/>
              <w:spacing w:line="560" w:lineRule="exact"/>
              <w:rPr>
                <w:rFonts w:ascii="宋体" w:hAnsi="宋体" w:cs="宋体"/>
                <w:color w:val="000000"/>
                <w:kern w:val="0"/>
                <w:sz w:val="22"/>
                <w:szCs w:val="22"/>
              </w:rPr>
            </w:pPr>
            <w:r>
              <w:rPr>
                <w:rFonts w:hint="eastAsia" w:ascii="宋体" w:hAnsi="宋体" w:cs="宋体"/>
                <w:color w:val="000000"/>
                <w:kern w:val="0"/>
                <w:sz w:val="22"/>
                <w:szCs w:val="22"/>
              </w:rPr>
              <w:t>项目预算资金是否按照计划执行，用以反映或考核项目预算执行情况。</w:t>
            </w:r>
          </w:p>
        </w:tc>
        <w:tc>
          <w:tcPr>
            <w:tcW w:w="3764" w:type="dxa"/>
            <w:shd w:val="clear" w:color="auto" w:fill="FFFFFF"/>
            <w:vAlign w:val="center"/>
          </w:tcPr>
          <w:p>
            <w:pPr>
              <w:widowControl/>
              <w:spacing w:line="560" w:lineRule="exact"/>
              <w:rPr>
                <w:rFonts w:ascii="宋体" w:hAnsi="宋体" w:cs="宋体"/>
                <w:color w:val="000000"/>
                <w:kern w:val="0"/>
                <w:sz w:val="22"/>
                <w:szCs w:val="22"/>
              </w:rPr>
            </w:pPr>
            <w:r>
              <w:rPr>
                <w:rFonts w:hint="eastAsia" w:ascii="宋体" w:hAnsi="宋体" w:cs="宋体"/>
                <w:color w:val="000000"/>
                <w:kern w:val="0"/>
                <w:sz w:val="22"/>
                <w:szCs w:val="22"/>
              </w:rPr>
              <w:t>预算执行率=（实际支出资金/实际到位资金）×100%。</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实际支出资金：一定时期（本年度或项目期）内项目实际拨付的资金。</w:t>
            </w:r>
          </w:p>
        </w:tc>
        <w:tc>
          <w:tcPr>
            <w:tcW w:w="560" w:type="dxa"/>
            <w:shd w:val="clear" w:color="auto" w:fill="FFFFFF"/>
            <w:vAlign w:val="center"/>
          </w:tcPr>
          <w:p>
            <w:pPr>
              <w:widowControl/>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656" w:type="dxa"/>
            <w:shd w:val="clear" w:color="auto" w:fill="FFFFFF"/>
            <w:vAlign w:val="center"/>
          </w:tcPr>
          <w:p>
            <w:pPr>
              <w:widowControl/>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0.89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517" w:type="dxa"/>
            <w:vMerge w:val="restart"/>
            <w:shd w:val="clear" w:color="auto" w:fill="FFFFFF"/>
            <w:vAlign w:val="center"/>
          </w:tcPr>
          <w:p>
            <w:pPr>
              <w:widowControl/>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　</w:t>
            </w:r>
          </w:p>
          <w:p>
            <w:pPr>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过程　</w:t>
            </w:r>
          </w:p>
        </w:tc>
        <w:tc>
          <w:tcPr>
            <w:tcW w:w="517" w:type="dxa"/>
            <w:shd w:val="clear" w:color="auto" w:fill="FFFFFF"/>
            <w:vAlign w:val="center"/>
          </w:tcPr>
          <w:p>
            <w:pPr>
              <w:widowControl/>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资金管理</w:t>
            </w:r>
          </w:p>
        </w:tc>
        <w:tc>
          <w:tcPr>
            <w:tcW w:w="544" w:type="dxa"/>
            <w:shd w:val="clear" w:color="auto" w:fill="FFFFFF"/>
            <w:vAlign w:val="center"/>
          </w:tcPr>
          <w:p>
            <w:pPr>
              <w:widowControl/>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资金使用</w:t>
            </w:r>
          </w:p>
          <w:p>
            <w:pPr>
              <w:widowControl/>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合规性</w:t>
            </w:r>
          </w:p>
        </w:tc>
        <w:tc>
          <w:tcPr>
            <w:tcW w:w="2206" w:type="dxa"/>
            <w:shd w:val="clear" w:color="000000" w:fill="FFFFFF"/>
            <w:vAlign w:val="center"/>
          </w:tcPr>
          <w:p>
            <w:pPr>
              <w:widowControl/>
              <w:spacing w:line="560" w:lineRule="exact"/>
              <w:rPr>
                <w:rFonts w:ascii="宋体" w:hAnsi="宋体" w:cs="宋体"/>
                <w:color w:val="000000"/>
                <w:kern w:val="0"/>
                <w:sz w:val="22"/>
                <w:szCs w:val="22"/>
              </w:rPr>
            </w:pPr>
            <w:r>
              <w:rPr>
                <w:rFonts w:hint="eastAsia" w:ascii="宋体" w:hAnsi="宋体" w:cs="宋体"/>
                <w:color w:val="000000"/>
                <w:kern w:val="0"/>
                <w:sz w:val="22"/>
                <w:szCs w:val="22"/>
              </w:rPr>
              <w:t>项目资金使用是否符合相关的财务管理制度规定，用以反映和考核项目资金的规范运行情况。</w:t>
            </w:r>
          </w:p>
        </w:tc>
        <w:tc>
          <w:tcPr>
            <w:tcW w:w="3764" w:type="dxa"/>
            <w:shd w:val="clear" w:color="000000" w:fill="FFFFFF"/>
            <w:vAlign w:val="center"/>
          </w:tcPr>
          <w:p>
            <w:pPr>
              <w:widowControl/>
              <w:spacing w:line="560" w:lineRule="exac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①是否符合国家财经法规和财务管理制度以及有关专项资金管理办法的规定；</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②资金的拨付是否有完整的审批程序和手续；</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③是否符合项目预算批复或合同规定的用途；</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④是否存在截留、挤占、挪用、虚列支出等情况。</w:t>
            </w:r>
          </w:p>
        </w:tc>
        <w:tc>
          <w:tcPr>
            <w:tcW w:w="560" w:type="dxa"/>
            <w:shd w:val="clear" w:color="000000" w:fill="FFFFFF"/>
            <w:vAlign w:val="center"/>
          </w:tcPr>
          <w:p>
            <w:pPr>
              <w:widowControl/>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656" w:type="dxa"/>
            <w:shd w:val="clear" w:color="000000" w:fill="FFFFFF"/>
            <w:vAlign w:val="center"/>
          </w:tcPr>
          <w:p>
            <w:pPr>
              <w:widowControl/>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517" w:type="dxa"/>
            <w:vMerge w:val="continue"/>
            <w:shd w:val="clear" w:color="auto" w:fill="FFFFFF"/>
            <w:vAlign w:val="center"/>
          </w:tcPr>
          <w:p>
            <w:pPr>
              <w:spacing w:line="560" w:lineRule="exact"/>
              <w:jc w:val="center"/>
              <w:rPr>
                <w:rFonts w:ascii="宋体" w:hAnsi="宋体" w:cs="宋体"/>
                <w:color w:val="000000"/>
                <w:kern w:val="0"/>
                <w:sz w:val="22"/>
                <w:szCs w:val="22"/>
              </w:rPr>
            </w:pPr>
          </w:p>
        </w:tc>
        <w:tc>
          <w:tcPr>
            <w:tcW w:w="517" w:type="dxa"/>
            <w:vMerge w:val="restart"/>
            <w:shd w:val="clear" w:color="auto" w:fill="FFFFFF"/>
            <w:vAlign w:val="center"/>
          </w:tcPr>
          <w:p>
            <w:pPr>
              <w:widowControl/>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组织实施</w:t>
            </w:r>
          </w:p>
          <w:p>
            <w:pPr>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544" w:type="dxa"/>
            <w:shd w:val="clear" w:color="auto" w:fill="FFFFFF"/>
            <w:vAlign w:val="center"/>
          </w:tcPr>
          <w:p>
            <w:pPr>
              <w:widowControl/>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管理制度</w:t>
            </w:r>
          </w:p>
          <w:p>
            <w:pPr>
              <w:widowControl/>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健全性</w:t>
            </w:r>
          </w:p>
        </w:tc>
        <w:tc>
          <w:tcPr>
            <w:tcW w:w="2206" w:type="dxa"/>
            <w:shd w:val="clear" w:color="000000" w:fill="FFFFFF"/>
            <w:vAlign w:val="center"/>
          </w:tcPr>
          <w:p>
            <w:pPr>
              <w:widowControl/>
              <w:spacing w:line="560" w:lineRule="exact"/>
              <w:rPr>
                <w:rFonts w:ascii="宋体" w:hAnsi="宋体" w:cs="宋体"/>
                <w:color w:val="000000"/>
                <w:kern w:val="0"/>
                <w:sz w:val="22"/>
                <w:szCs w:val="22"/>
              </w:rPr>
            </w:pPr>
            <w:r>
              <w:rPr>
                <w:rFonts w:hint="eastAsia" w:ascii="宋体" w:hAnsi="宋体" w:cs="宋体"/>
                <w:color w:val="000000"/>
                <w:kern w:val="0"/>
                <w:sz w:val="22"/>
                <w:szCs w:val="22"/>
              </w:rPr>
              <w:t>项目实施单位的财务和业务管理制度是否健全，用以反映和考核财务和业务管理制度对项目顺利实施的保障情况。</w:t>
            </w:r>
          </w:p>
        </w:tc>
        <w:tc>
          <w:tcPr>
            <w:tcW w:w="3764" w:type="dxa"/>
            <w:shd w:val="clear" w:color="000000" w:fill="FFFFFF"/>
            <w:vAlign w:val="center"/>
          </w:tcPr>
          <w:p>
            <w:pPr>
              <w:widowControl/>
              <w:spacing w:line="560" w:lineRule="exac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①是否已制定或具有相应的财务和业务管理制度；</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②财务和业务管理制度是否合法、合规、完整。</w:t>
            </w:r>
          </w:p>
        </w:tc>
        <w:tc>
          <w:tcPr>
            <w:tcW w:w="560" w:type="dxa"/>
            <w:shd w:val="clear" w:color="000000" w:fill="FFFFFF"/>
            <w:vAlign w:val="center"/>
          </w:tcPr>
          <w:p>
            <w:pPr>
              <w:widowControl/>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656" w:type="dxa"/>
            <w:shd w:val="clear" w:color="000000" w:fill="FFFFFF"/>
            <w:vAlign w:val="center"/>
          </w:tcPr>
          <w:p>
            <w:pPr>
              <w:widowControl/>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517" w:type="dxa"/>
            <w:vMerge w:val="continue"/>
            <w:shd w:val="clear" w:color="auto" w:fill="FFFFFF"/>
            <w:vAlign w:val="center"/>
          </w:tcPr>
          <w:p>
            <w:pPr>
              <w:widowControl/>
              <w:spacing w:line="560" w:lineRule="exact"/>
              <w:jc w:val="center"/>
              <w:rPr>
                <w:rFonts w:ascii="宋体" w:hAnsi="宋体" w:cs="宋体"/>
                <w:color w:val="000000"/>
                <w:kern w:val="0"/>
                <w:sz w:val="22"/>
                <w:szCs w:val="22"/>
              </w:rPr>
            </w:pPr>
          </w:p>
        </w:tc>
        <w:tc>
          <w:tcPr>
            <w:tcW w:w="517" w:type="dxa"/>
            <w:vMerge w:val="continue"/>
            <w:shd w:val="clear" w:color="auto" w:fill="FFFFFF"/>
            <w:vAlign w:val="center"/>
          </w:tcPr>
          <w:p>
            <w:pPr>
              <w:widowControl/>
              <w:spacing w:line="560" w:lineRule="exact"/>
              <w:jc w:val="center"/>
              <w:rPr>
                <w:rFonts w:ascii="宋体" w:hAnsi="宋体" w:cs="宋体"/>
                <w:color w:val="000000"/>
                <w:kern w:val="0"/>
                <w:sz w:val="22"/>
                <w:szCs w:val="22"/>
              </w:rPr>
            </w:pPr>
          </w:p>
        </w:tc>
        <w:tc>
          <w:tcPr>
            <w:tcW w:w="544" w:type="dxa"/>
            <w:shd w:val="clear" w:color="auto" w:fill="FFFFFF"/>
            <w:vAlign w:val="center"/>
          </w:tcPr>
          <w:p>
            <w:pPr>
              <w:widowControl/>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制度执行</w:t>
            </w:r>
          </w:p>
          <w:p>
            <w:pPr>
              <w:widowControl/>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有效性</w:t>
            </w:r>
          </w:p>
        </w:tc>
        <w:tc>
          <w:tcPr>
            <w:tcW w:w="2206" w:type="dxa"/>
            <w:shd w:val="clear" w:color="000000" w:fill="FFFFFF"/>
            <w:vAlign w:val="center"/>
          </w:tcPr>
          <w:p>
            <w:pPr>
              <w:widowControl/>
              <w:spacing w:line="560" w:lineRule="exact"/>
              <w:rPr>
                <w:rFonts w:ascii="宋体" w:hAnsi="宋体" w:cs="宋体"/>
                <w:color w:val="000000"/>
                <w:kern w:val="0"/>
                <w:sz w:val="22"/>
                <w:szCs w:val="22"/>
              </w:rPr>
            </w:pPr>
            <w:r>
              <w:rPr>
                <w:rFonts w:hint="eastAsia" w:ascii="宋体" w:hAnsi="宋体" w:cs="宋体"/>
                <w:color w:val="000000"/>
                <w:kern w:val="0"/>
                <w:sz w:val="22"/>
                <w:szCs w:val="22"/>
              </w:rPr>
              <w:t>项目实施是否符合相关管理规定，用以反映和考核相关管理制度的有效执行情况。</w:t>
            </w:r>
          </w:p>
        </w:tc>
        <w:tc>
          <w:tcPr>
            <w:tcW w:w="3764" w:type="dxa"/>
            <w:shd w:val="clear" w:color="000000" w:fill="FFFFFF"/>
            <w:vAlign w:val="center"/>
          </w:tcPr>
          <w:p>
            <w:pPr>
              <w:widowControl/>
              <w:spacing w:line="560" w:lineRule="exac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①是否遵守相关法律法规和相关管理规定；</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②项目调整及支出调整手续是否完备；</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③项目合同书、验收报告、技术鉴定等资料是否齐全并及时归档；</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④项目实施的人员条件、场地设备、信息支撑等是否落实到位。</w:t>
            </w:r>
          </w:p>
        </w:tc>
        <w:tc>
          <w:tcPr>
            <w:tcW w:w="560" w:type="dxa"/>
            <w:shd w:val="clear" w:color="000000" w:fill="FFFFFF"/>
            <w:vAlign w:val="center"/>
          </w:tcPr>
          <w:p>
            <w:pPr>
              <w:widowControl/>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656" w:type="dxa"/>
            <w:shd w:val="clear" w:color="000000" w:fill="FFFFFF"/>
            <w:vAlign w:val="center"/>
          </w:tcPr>
          <w:p>
            <w:pPr>
              <w:widowControl/>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517" w:type="dxa"/>
            <w:shd w:val="clear" w:color="auto" w:fill="FFFFFF"/>
            <w:vAlign w:val="center"/>
          </w:tcPr>
          <w:p>
            <w:pPr>
              <w:widowControl/>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产出</w:t>
            </w:r>
          </w:p>
        </w:tc>
        <w:tc>
          <w:tcPr>
            <w:tcW w:w="517" w:type="dxa"/>
            <w:shd w:val="clear" w:color="auto" w:fill="FFFFFF"/>
            <w:vAlign w:val="center"/>
          </w:tcPr>
          <w:p>
            <w:pPr>
              <w:widowControl/>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产出数量</w:t>
            </w:r>
          </w:p>
        </w:tc>
        <w:tc>
          <w:tcPr>
            <w:tcW w:w="544" w:type="dxa"/>
            <w:shd w:val="clear" w:color="auto" w:fill="FFFFFF"/>
            <w:vAlign w:val="center"/>
          </w:tcPr>
          <w:p>
            <w:pPr>
              <w:widowControl/>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实际完成率</w:t>
            </w:r>
          </w:p>
        </w:tc>
        <w:tc>
          <w:tcPr>
            <w:tcW w:w="2206" w:type="dxa"/>
            <w:shd w:val="clear" w:color="000000" w:fill="FFFFFF"/>
            <w:vAlign w:val="center"/>
          </w:tcPr>
          <w:p>
            <w:pPr>
              <w:widowControl/>
              <w:spacing w:line="560" w:lineRule="exact"/>
              <w:rPr>
                <w:rFonts w:ascii="宋体" w:hAnsi="宋体" w:cs="宋体"/>
                <w:color w:val="000000"/>
                <w:kern w:val="0"/>
                <w:sz w:val="22"/>
                <w:szCs w:val="22"/>
              </w:rPr>
            </w:pPr>
            <w:r>
              <w:rPr>
                <w:rFonts w:hint="eastAsia" w:ascii="宋体" w:hAnsi="宋体" w:cs="宋体"/>
                <w:color w:val="000000"/>
                <w:kern w:val="0"/>
                <w:sz w:val="22"/>
                <w:szCs w:val="22"/>
              </w:rPr>
              <w:t>项目实施的实际产出数与计划产出数的比率，用以反映和考核项目产出数量目标的实现程度。</w:t>
            </w:r>
          </w:p>
        </w:tc>
        <w:tc>
          <w:tcPr>
            <w:tcW w:w="3764" w:type="dxa"/>
            <w:shd w:val="clear" w:color="000000" w:fill="FFFFFF"/>
            <w:vAlign w:val="center"/>
          </w:tcPr>
          <w:p>
            <w:pPr>
              <w:widowControl/>
              <w:spacing w:line="560" w:lineRule="exact"/>
              <w:rPr>
                <w:rFonts w:ascii="宋体" w:hAnsi="宋体" w:cs="宋体"/>
                <w:color w:val="000000"/>
                <w:kern w:val="0"/>
                <w:sz w:val="22"/>
                <w:szCs w:val="22"/>
              </w:rPr>
            </w:pPr>
            <w:r>
              <w:rPr>
                <w:rFonts w:hint="eastAsia" w:ascii="宋体" w:hAnsi="宋体" w:cs="宋体"/>
                <w:color w:val="000000"/>
                <w:kern w:val="0"/>
                <w:sz w:val="22"/>
                <w:szCs w:val="22"/>
              </w:rPr>
              <w:t>实际完成率=（实际产出数/计划产出数）×100%。</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实际产出数：一定时期（本年度或项目期）内项目实际产出的产品或提供的服务数量。</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计划产出数：项目绩效目标确定的在一定时期（本年度或项目期）内计划产出的产品或提供的服务数量。</w:t>
            </w:r>
          </w:p>
        </w:tc>
        <w:tc>
          <w:tcPr>
            <w:tcW w:w="560" w:type="dxa"/>
            <w:shd w:val="clear" w:color="000000" w:fill="FFFFFF"/>
            <w:vAlign w:val="center"/>
          </w:tcPr>
          <w:p>
            <w:pPr>
              <w:widowControl/>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15</w:t>
            </w:r>
          </w:p>
        </w:tc>
        <w:tc>
          <w:tcPr>
            <w:tcW w:w="656" w:type="dxa"/>
            <w:shd w:val="clear" w:color="000000" w:fill="FFFFFF"/>
            <w:vAlign w:val="center"/>
          </w:tcPr>
          <w:p>
            <w:pPr>
              <w:widowControl/>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517" w:type="dxa"/>
            <w:vMerge w:val="restart"/>
            <w:shd w:val="clear" w:color="auto" w:fill="FFFFFF"/>
            <w:vAlign w:val="center"/>
          </w:tcPr>
          <w:p>
            <w:pPr>
              <w:widowControl/>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产出</w:t>
            </w:r>
          </w:p>
        </w:tc>
        <w:tc>
          <w:tcPr>
            <w:tcW w:w="517" w:type="dxa"/>
            <w:shd w:val="clear" w:color="auto" w:fill="FFFFFF"/>
            <w:vAlign w:val="center"/>
          </w:tcPr>
          <w:p>
            <w:pPr>
              <w:widowControl/>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产出质量</w:t>
            </w:r>
          </w:p>
        </w:tc>
        <w:tc>
          <w:tcPr>
            <w:tcW w:w="544" w:type="dxa"/>
            <w:shd w:val="clear" w:color="auto" w:fill="FFFFFF"/>
            <w:vAlign w:val="center"/>
          </w:tcPr>
          <w:p>
            <w:pPr>
              <w:widowControl/>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质量达标率</w:t>
            </w:r>
          </w:p>
        </w:tc>
        <w:tc>
          <w:tcPr>
            <w:tcW w:w="2206" w:type="dxa"/>
            <w:shd w:val="clear" w:color="000000" w:fill="FFFFFF"/>
            <w:vAlign w:val="center"/>
          </w:tcPr>
          <w:p>
            <w:pPr>
              <w:widowControl/>
              <w:spacing w:line="560" w:lineRule="exact"/>
              <w:rPr>
                <w:rFonts w:ascii="宋体" w:hAnsi="宋体" w:cs="宋体"/>
                <w:color w:val="000000"/>
                <w:kern w:val="0"/>
                <w:sz w:val="22"/>
                <w:szCs w:val="22"/>
              </w:rPr>
            </w:pPr>
            <w:r>
              <w:rPr>
                <w:rFonts w:hint="eastAsia" w:ascii="宋体" w:hAnsi="宋体" w:cs="宋体"/>
                <w:color w:val="000000"/>
                <w:kern w:val="0"/>
                <w:sz w:val="22"/>
                <w:szCs w:val="22"/>
              </w:rPr>
              <w:t>项目完成的质量达标产出数与实际产出数的比率，用以反映和考核项目产出质量目标的实现程度。</w:t>
            </w:r>
          </w:p>
        </w:tc>
        <w:tc>
          <w:tcPr>
            <w:tcW w:w="3764" w:type="dxa"/>
            <w:shd w:val="clear" w:color="000000" w:fill="FFFFFF"/>
            <w:vAlign w:val="center"/>
          </w:tcPr>
          <w:p>
            <w:pPr>
              <w:widowControl/>
              <w:spacing w:line="560" w:lineRule="exact"/>
              <w:rPr>
                <w:rFonts w:ascii="宋体" w:hAnsi="宋体" w:cs="宋体"/>
                <w:color w:val="000000"/>
                <w:kern w:val="0"/>
                <w:sz w:val="22"/>
                <w:szCs w:val="22"/>
              </w:rPr>
            </w:pPr>
            <w:r>
              <w:rPr>
                <w:rFonts w:hint="eastAsia" w:ascii="宋体" w:hAnsi="宋体" w:cs="宋体"/>
                <w:color w:val="000000"/>
                <w:kern w:val="0"/>
                <w:sz w:val="22"/>
                <w:szCs w:val="22"/>
              </w:rPr>
              <w:t>质量达标率=（质量达标产出数/实际产出数）×100%。</w:t>
            </w:r>
          </w:p>
          <w:p>
            <w:pPr>
              <w:widowControl/>
              <w:spacing w:line="560" w:lineRule="exact"/>
              <w:rPr>
                <w:rFonts w:ascii="宋体" w:hAnsi="宋体" w:cs="宋体"/>
                <w:color w:val="000000"/>
                <w:kern w:val="0"/>
                <w:sz w:val="22"/>
                <w:szCs w:val="22"/>
              </w:rPr>
            </w:pPr>
            <w:r>
              <w:rPr>
                <w:rFonts w:hint="eastAsia" w:ascii="宋体" w:hAnsi="宋体" w:cs="宋体"/>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0" w:type="dxa"/>
            <w:shd w:val="clear" w:color="000000" w:fill="FFFFFF"/>
            <w:vAlign w:val="center"/>
          </w:tcPr>
          <w:p>
            <w:pPr>
              <w:widowControl/>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656" w:type="dxa"/>
            <w:shd w:val="clear" w:color="000000" w:fill="FFFFFF"/>
            <w:vAlign w:val="center"/>
          </w:tcPr>
          <w:p>
            <w:pPr>
              <w:widowControl/>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517" w:type="dxa"/>
            <w:vMerge w:val="continue"/>
            <w:shd w:val="clear" w:color="auto" w:fill="FFFFFF"/>
            <w:vAlign w:val="center"/>
          </w:tcPr>
          <w:p>
            <w:pPr>
              <w:spacing w:line="560" w:lineRule="exact"/>
              <w:jc w:val="center"/>
              <w:rPr>
                <w:rFonts w:ascii="宋体" w:hAnsi="宋体" w:cs="宋体"/>
                <w:color w:val="000000"/>
                <w:kern w:val="0"/>
                <w:sz w:val="22"/>
                <w:szCs w:val="22"/>
              </w:rPr>
            </w:pPr>
          </w:p>
        </w:tc>
        <w:tc>
          <w:tcPr>
            <w:tcW w:w="517" w:type="dxa"/>
            <w:shd w:val="clear" w:color="auto" w:fill="FFFFFF"/>
            <w:vAlign w:val="center"/>
          </w:tcPr>
          <w:p>
            <w:pPr>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产出时效</w:t>
            </w:r>
          </w:p>
        </w:tc>
        <w:tc>
          <w:tcPr>
            <w:tcW w:w="544" w:type="dxa"/>
            <w:shd w:val="clear" w:color="auto" w:fill="FFFFFF"/>
            <w:vAlign w:val="center"/>
          </w:tcPr>
          <w:p>
            <w:pPr>
              <w:widowControl/>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完成及时性</w:t>
            </w:r>
          </w:p>
        </w:tc>
        <w:tc>
          <w:tcPr>
            <w:tcW w:w="2206" w:type="dxa"/>
            <w:shd w:val="clear" w:color="000000" w:fill="FFFFFF"/>
            <w:vAlign w:val="center"/>
          </w:tcPr>
          <w:p>
            <w:pPr>
              <w:widowControl/>
              <w:spacing w:line="560" w:lineRule="exact"/>
              <w:rPr>
                <w:rFonts w:ascii="宋体" w:hAnsi="宋体" w:cs="宋体"/>
                <w:color w:val="000000"/>
                <w:kern w:val="0"/>
                <w:sz w:val="22"/>
                <w:szCs w:val="22"/>
              </w:rPr>
            </w:pPr>
            <w:r>
              <w:rPr>
                <w:rFonts w:hint="eastAsia" w:ascii="宋体" w:hAnsi="宋体" w:cs="宋体"/>
                <w:color w:val="000000"/>
                <w:kern w:val="0"/>
                <w:sz w:val="22"/>
                <w:szCs w:val="22"/>
              </w:rPr>
              <w:t>项目实际完成时间与计划完成时间的比较，用以反映和考核项目产出时效目标的实现程度。</w:t>
            </w:r>
          </w:p>
        </w:tc>
        <w:tc>
          <w:tcPr>
            <w:tcW w:w="3764" w:type="dxa"/>
            <w:shd w:val="clear" w:color="000000" w:fill="FFFFFF"/>
            <w:vAlign w:val="center"/>
          </w:tcPr>
          <w:p>
            <w:pPr>
              <w:widowControl/>
              <w:spacing w:line="560" w:lineRule="exact"/>
              <w:rPr>
                <w:rFonts w:ascii="宋体" w:hAnsi="宋体" w:cs="宋体"/>
                <w:color w:val="000000"/>
                <w:kern w:val="0"/>
                <w:sz w:val="22"/>
                <w:szCs w:val="22"/>
              </w:rPr>
            </w:pPr>
            <w:r>
              <w:rPr>
                <w:rFonts w:hint="eastAsia" w:ascii="宋体" w:hAnsi="宋体" w:cs="宋体"/>
                <w:color w:val="000000"/>
                <w:kern w:val="0"/>
                <w:sz w:val="22"/>
                <w:szCs w:val="22"/>
              </w:rPr>
              <w:t>实际完成时间：项目实施单位完成该项目实际所耗用的时间。</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计划完成时间：按照项目实施计划或相关规定完成该项目所需的时间。</w:t>
            </w:r>
          </w:p>
        </w:tc>
        <w:tc>
          <w:tcPr>
            <w:tcW w:w="560" w:type="dxa"/>
            <w:shd w:val="clear" w:color="000000" w:fill="FFFFFF"/>
            <w:vAlign w:val="center"/>
          </w:tcPr>
          <w:p>
            <w:pPr>
              <w:widowControl/>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15</w:t>
            </w:r>
          </w:p>
        </w:tc>
        <w:tc>
          <w:tcPr>
            <w:tcW w:w="656" w:type="dxa"/>
            <w:shd w:val="clear" w:color="000000" w:fill="FFFFFF"/>
            <w:vAlign w:val="center"/>
          </w:tcPr>
          <w:p>
            <w:pPr>
              <w:widowControl/>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517" w:type="dxa"/>
            <w:vMerge w:val="continue"/>
            <w:shd w:val="clear" w:color="auto" w:fill="FFFFFF"/>
            <w:vAlign w:val="center"/>
          </w:tcPr>
          <w:p>
            <w:pPr>
              <w:widowControl/>
              <w:spacing w:line="560" w:lineRule="exact"/>
              <w:jc w:val="center"/>
              <w:rPr>
                <w:rFonts w:ascii="宋体" w:hAnsi="宋体" w:cs="宋体"/>
                <w:color w:val="000000"/>
                <w:kern w:val="0"/>
                <w:sz w:val="22"/>
                <w:szCs w:val="22"/>
              </w:rPr>
            </w:pPr>
          </w:p>
        </w:tc>
        <w:tc>
          <w:tcPr>
            <w:tcW w:w="517" w:type="dxa"/>
            <w:shd w:val="clear" w:color="auto" w:fill="FFFFFF"/>
            <w:vAlign w:val="center"/>
          </w:tcPr>
          <w:p>
            <w:pPr>
              <w:widowControl/>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产出成本</w:t>
            </w:r>
          </w:p>
        </w:tc>
        <w:tc>
          <w:tcPr>
            <w:tcW w:w="544" w:type="dxa"/>
            <w:shd w:val="clear" w:color="auto" w:fill="FFFFFF"/>
            <w:vAlign w:val="center"/>
          </w:tcPr>
          <w:p>
            <w:pPr>
              <w:widowControl/>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成本节约率</w:t>
            </w:r>
          </w:p>
        </w:tc>
        <w:tc>
          <w:tcPr>
            <w:tcW w:w="2206" w:type="dxa"/>
            <w:shd w:val="clear" w:color="000000" w:fill="FFFFFF"/>
            <w:vAlign w:val="center"/>
          </w:tcPr>
          <w:p>
            <w:pPr>
              <w:widowControl/>
              <w:spacing w:line="560" w:lineRule="exact"/>
              <w:rPr>
                <w:rFonts w:ascii="宋体" w:hAnsi="宋体" w:cs="宋体"/>
                <w:color w:val="000000"/>
                <w:kern w:val="0"/>
                <w:sz w:val="22"/>
                <w:szCs w:val="22"/>
              </w:rPr>
            </w:pPr>
            <w:r>
              <w:rPr>
                <w:rFonts w:hint="eastAsia" w:ascii="宋体" w:hAnsi="宋体" w:cs="宋体"/>
                <w:color w:val="000000"/>
                <w:kern w:val="0"/>
                <w:sz w:val="22"/>
                <w:szCs w:val="22"/>
              </w:rPr>
              <w:t>完成项目计划工作目标的实际节约成本与计划成本的比率，用以反映和考核项目的成本节约程度。</w:t>
            </w:r>
          </w:p>
        </w:tc>
        <w:tc>
          <w:tcPr>
            <w:tcW w:w="3764" w:type="dxa"/>
            <w:shd w:val="clear" w:color="000000" w:fill="FFFFFF"/>
            <w:vAlign w:val="center"/>
          </w:tcPr>
          <w:p>
            <w:pPr>
              <w:widowControl/>
              <w:spacing w:line="560" w:lineRule="exact"/>
              <w:rPr>
                <w:rFonts w:ascii="宋体" w:hAnsi="宋体" w:cs="宋体"/>
                <w:color w:val="000000"/>
                <w:kern w:val="0"/>
                <w:sz w:val="22"/>
                <w:szCs w:val="22"/>
              </w:rPr>
            </w:pP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成本节约率=[（计划成本-实际成本）/计划成本]×100%。</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实际成本：项目实施单位如期、保质、保量完成既定工作目标实际所耗费的支出。</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计划成本：项目实施单位为完成工作目标计划安排的支出，一般以项目预算为参考。</w:t>
            </w:r>
          </w:p>
        </w:tc>
        <w:tc>
          <w:tcPr>
            <w:tcW w:w="560" w:type="dxa"/>
            <w:shd w:val="clear" w:color="000000" w:fill="FFFFFF"/>
            <w:vAlign w:val="center"/>
          </w:tcPr>
          <w:p>
            <w:pPr>
              <w:widowControl/>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656" w:type="dxa"/>
            <w:shd w:val="clear" w:color="000000" w:fill="FFFFFF"/>
            <w:vAlign w:val="center"/>
          </w:tcPr>
          <w:p>
            <w:pPr>
              <w:widowControl/>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517" w:type="dxa"/>
            <w:vMerge w:val="restart"/>
            <w:shd w:val="clear" w:color="auto" w:fill="FFFFFF"/>
            <w:vAlign w:val="center"/>
          </w:tcPr>
          <w:p>
            <w:pPr>
              <w:widowControl/>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效益　</w:t>
            </w:r>
          </w:p>
        </w:tc>
        <w:tc>
          <w:tcPr>
            <w:tcW w:w="517" w:type="dxa"/>
            <w:vMerge w:val="restart"/>
            <w:shd w:val="clear" w:color="auto" w:fill="FFFFFF"/>
            <w:vAlign w:val="center"/>
          </w:tcPr>
          <w:p>
            <w:pPr>
              <w:widowControl/>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项目效益　</w:t>
            </w:r>
          </w:p>
        </w:tc>
        <w:tc>
          <w:tcPr>
            <w:tcW w:w="544" w:type="dxa"/>
            <w:shd w:val="clear" w:color="auto" w:fill="FFFFFF"/>
            <w:vAlign w:val="center"/>
          </w:tcPr>
          <w:p>
            <w:pPr>
              <w:widowControl/>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实施效益</w:t>
            </w:r>
          </w:p>
        </w:tc>
        <w:tc>
          <w:tcPr>
            <w:tcW w:w="2206" w:type="dxa"/>
            <w:shd w:val="clear" w:color="auto" w:fill="FFFFFF"/>
            <w:vAlign w:val="center"/>
          </w:tcPr>
          <w:p>
            <w:pPr>
              <w:widowControl/>
              <w:spacing w:line="560" w:lineRule="exact"/>
              <w:jc w:val="left"/>
              <w:rPr>
                <w:rFonts w:ascii="宋体" w:hAnsi="宋体" w:cs="宋体"/>
                <w:color w:val="000000"/>
                <w:kern w:val="0"/>
                <w:sz w:val="22"/>
                <w:szCs w:val="22"/>
              </w:rPr>
            </w:pPr>
            <w:r>
              <w:rPr>
                <w:rFonts w:hint="eastAsia" w:ascii="宋体" w:hAnsi="宋体" w:cs="宋体"/>
                <w:color w:val="000000"/>
                <w:kern w:val="0"/>
                <w:sz w:val="22"/>
                <w:szCs w:val="22"/>
              </w:rPr>
              <w:t>项目实施所产生的效益。</w:t>
            </w:r>
          </w:p>
        </w:tc>
        <w:tc>
          <w:tcPr>
            <w:tcW w:w="3764" w:type="dxa"/>
            <w:shd w:val="clear" w:color="auto" w:fill="FFFFFF"/>
            <w:vAlign w:val="center"/>
          </w:tcPr>
          <w:p>
            <w:pPr>
              <w:widowControl/>
              <w:spacing w:line="560" w:lineRule="exact"/>
              <w:rPr>
                <w:rFonts w:ascii="宋体" w:hAnsi="宋体" w:cs="宋体"/>
                <w:color w:val="000000"/>
                <w:kern w:val="0"/>
                <w:sz w:val="22"/>
                <w:szCs w:val="22"/>
              </w:rPr>
            </w:pPr>
            <w:r>
              <w:rPr>
                <w:rFonts w:hint="eastAsia" w:ascii="宋体" w:hAnsi="宋体" w:cs="宋体"/>
                <w:color w:val="000000"/>
                <w:kern w:val="0"/>
                <w:sz w:val="22"/>
                <w:szCs w:val="22"/>
              </w:rPr>
              <w:t>项目实施所产生的社会效益、经济效益、生态效益、可持续影响等。可根据项目实际情况有选择地设置和细化。</w:t>
            </w:r>
          </w:p>
        </w:tc>
        <w:tc>
          <w:tcPr>
            <w:tcW w:w="560" w:type="dxa"/>
            <w:shd w:val="clear" w:color="auto" w:fill="FFFFFF"/>
            <w:vAlign w:val="center"/>
          </w:tcPr>
          <w:p>
            <w:pPr>
              <w:widowControl/>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30</w:t>
            </w:r>
          </w:p>
        </w:tc>
        <w:tc>
          <w:tcPr>
            <w:tcW w:w="656" w:type="dxa"/>
            <w:shd w:val="clear" w:color="auto" w:fill="FFFFFF"/>
            <w:vAlign w:val="center"/>
          </w:tcPr>
          <w:p>
            <w:pPr>
              <w:widowControl/>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30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517" w:type="dxa"/>
            <w:vMerge w:val="continue"/>
            <w:shd w:val="clear" w:color="auto" w:fill="FFFFFF"/>
            <w:vAlign w:val="center"/>
          </w:tcPr>
          <w:p>
            <w:pPr>
              <w:widowControl/>
              <w:spacing w:line="560" w:lineRule="exact"/>
              <w:jc w:val="center"/>
              <w:rPr>
                <w:rFonts w:ascii="宋体" w:hAnsi="宋体" w:cs="宋体"/>
                <w:color w:val="000000"/>
                <w:kern w:val="0"/>
                <w:sz w:val="22"/>
                <w:szCs w:val="22"/>
              </w:rPr>
            </w:pPr>
          </w:p>
        </w:tc>
        <w:tc>
          <w:tcPr>
            <w:tcW w:w="517" w:type="dxa"/>
            <w:vMerge w:val="continue"/>
            <w:shd w:val="clear" w:color="auto" w:fill="FFFFFF"/>
            <w:vAlign w:val="center"/>
          </w:tcPr>
          <w:p>
            <w:pPr>
              <w:widowControl/>
              <w:spacing w:line="560" w:lineRule="exact"/>
              <w:jc w:val="center"/>
              <w:rPr>
                <w:rFonts w:ascii="宋体" w:hAnsi="宋体" w:cs="宋体"/>
                <w:color w:val="000000"/>
                <w:kern w:val="0"/>
                <w:sz w:val="22"/>
                <w:szCs w:val="22"/>
              </w:rPr>
            </w:pPr>
          </w:p>
        </w:tc>
        <w:tc>
          <w:tcPr>
            <w:tcW w:w="544" w:type="dxa"/>
            <w:shd w:val="clear" w:color="auto" w:fill="FFFFFF"/>
            <w:vAlign w:val="center"/>
          </w:tcPr>
          <w:p>
            <w:pPr>
              <w:widowControl/>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满意度</w:t>
            </w:r>
          </w:p>
        </w:tc>
        <w:tc>
          <w:tcPr>
            <w:tcW w:w="2206" w:type="dxa"/>
            <w:shd w:val="clear" w:color="000000" w:fill="FFFFFF"/>
            <w:vAlign w:val="center"/>
          </w:tcPr>
          <w:p>
            <w:pPr>
              <w:widowControl/>
              <w:spacing w:line="560" w:lineRule="exact"/>
              <w:rPr>
                <w:rFonts w:ascii="宋体" w:hAnsi="宋体" w:cs="宋体"/>
                <w:color w:val="000000"/>
                <w:kern w:val="0"/>
                <w:sz w:val="22"/>
                <w:szCs w:val="22"/>
              </w:rPr>
            </w:pPr>
            <w:r>
              <w:rPr>
                <w:rFonts w:hint="eastAsia" w:ascii="宋体" w:hAnsi="宋体" w:cs="宋体"/>
                <w:color w:val="000000"/>
                <w:kern w:val="0"/>
                <w:sz w:val="22"/>
                <w:szCs w:val="22"/>
              </w:rPr>
              <w:t>社会公众或服务对象对项目实施效果的满意程度。</w:t>
            </w:r>
          </w:p>
        </w:tc>
        <w:tc>
          <w:tcPr>
            <w:tcW w:w="3764" w:type="dxa"/>
            <w:shd w:val="clear" w:color="000000" w:fill="FFFFFF"/>
            <w:vAlign w:val="center"/>
          </w:tcPr>
          <w:p>
            <w:pPr>
              <w:widowControl/>
              <w:spacing w:line="560" w:lineRule="exact"/>
              <w:rPr>
                <w:rFonts w:ascii="宋体" w:hAnsi="宋体" w:cs="宋体"/>
                <w:color w:val="000000"/>
                <w:kern w:val="0"/>
                <w:sz w:val="22"/>
                <w:szCs w:val="22"/>
              </w:rPr>
            </w:pPr>
            <w:r>
              <w:rPr>
                <w:rFonts w:hint="eastAsia" w:ascii="宋体" w:hAnsi="宋体" w:cs="宋体"/>
                <w:color w:val="000000"/>
                <w:kern w:val="0"/>
                <w:sz w:val="22"/>
                <w:szCs w:val="22"/>
              </w:rPr>
              <w:t>社会公众或服务对象是指因该项目实施而受到影响的部门（单位）、群体或个人。一般采取社会调查的方式。</w:t>
            </w:r>
          </w:p>
        </w:tc>
        <w:tc>
          <w:tcPr>
            <w:tcW w:w="560" w:type="dxa"/>
            <w:shd w:val="clear" w:color="000000" w:fill="FFFFFF"/>
            <w:vAlign w:val="center"/>
          </w:tcPr>
          <w:p>
            <w:pPr>
              <w:widowControl/>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656" w:type="dxa"/>
            <w:shd w:val="clear" w:color="000000" w:fill="FFFFFF"/>
            <w:vAlign w:val="center"/>
          </w:tcPr>
          <w:p>
            <w:pPr>
              <w:widowControl/>
              <w:spacing w:line="560" w:lineRule="exact"/>
              <w:jc w:val="center"/>
              <w:rPr>
                <w:rFonts w:ascii="宋体" w:hAnsi="宋体" w:cs="宋体"/>
                <w:color w:val="000000"/>
                <w:kern w:val="0"/>
                <w:sz w:val="22"/>
                <w:szCs w:val="22"/>
              </w:rPr>
            </w:pPr>
            <w:r>
              <w:rPr>
                <w:rFonts w:hint="eastAsia" w:ascii="宋体" w:hAnsi="宋体" w:cs="宋体"/>
                <w:color w:val="000000"/>
                <w:kern w:val="0"/>
                <w:sz w:val="22"/>
                <w:szCs w:val="22"/>
              </w:rPr>
              <w:t>10</w:t>
            </w:r>
          </w:p>
        </w:tc>
      </w:tr>
    </w:tbl>
    <w:p>
      <w:pPr>
        <w:pStyle w:val="18"/>
        <w:spacing w:before="0" w:after="0" w:line="560" w:lineRule="exact"/>
      </w:pPr>
    </w:p>
    <w:p>
      <w:pPr>
        <w:pStyle w:val="2"/>
      </w:pPr>
    </w:p>
    <w:p>
      <w:pPr>
        <w:pStyle w:val="2"/>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roma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altName w:val="黑体"/>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5"/>
          <w:jc w:val="center"/>
        </w:pPr>
        <w:r>
          <w:fldChar w:fldCharType="begin"/>
        </w:r>
        <w:r>
          <w:instrText xml:space="preserve">PAGE   \* MERGEFORMAT</w:instrText>
        </w:r>
        <w:r>
          <w:fldChar w:fldCharType="separate"/>
        </w:r>
        <w:r>
          <w:rPr>
            <w:lang w:val="zh-CN"/>
          </w:rPr>
          <w:t>7</w:t>
        </w:r>
        <w:r>
          <w:fldChar w:fldCharType="end"/>
        </w:r>
      </w:p>
    </w:sdtContent>
  </w:sdt>
  <w:p>
    <w:pPr>
      <w:pStyle w:val="1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7136C42"/>
    <w:multiLevelType w:val="singleLevel"/>
    <w:tmpl w:val="C7136C42"/>
    <w:lvl w:ilvl="0" w:tentative="0">
      <w:start w:val="2"/>
      <w:numFmt w:val="decimal"/>
      <w:suff w:val="nothing"/>
      <w:lvlText w:val="%1、"/>
      <w:lvlJc w:val="left"/>
    </w:lvl>
  </w:abstractNum>
  <w:abstractNum w:abstractNumId="1">
    <w:nsid w:val="DEF60FE1"/>
    <w:multiLevelType w:val="singleLevel"/>
    <w:tmpl w:val="DEF60FE1"/>
    <w:lvl w:ilvl="0" w:tentative="0">
      <w:start w:val="1"/>
      <w:numFmt w:val="decimal"/>
      <w:suff w:val="nothing"/>
      <w:lvlText w:val="（%1）"/>
      <w:lvlJc w:val="left"/>
    </w:lvl>
  </w:abstractNum>
  <w:abstractNum w:abstractNumId="2">
    <w:nsid w:val="FF4BB6DE"/>
    <w:multiLevelType w:val="singleLevel"/>
    <w:tmpl w:val="FF4BB6DE"/>
    <w:lvl w:ilvl="0" w:tentative="0">
      <w:start w:val="1"/>
      <w:numFmt w:val="decimal"/>
      <w:suff w:val="nothing"/>
      <w:lvlText w:val="%1、"/>
      <w:lvlJc w:val="left"/>
    </w:lvl>
  </w:abstractNum>
  <w:abstractNum w:abstractNumId="3">
    <w:nsid w:val="07255747"/>
    <w:multiLevelType w:val="singleLevel"/>
    <w:tmpl w:val="07255747"/>
    <w:lvl w:ilvl="0" w:tentative="0">
      <w:start w:val="7"/>
      <w:numFmt w:val="chineseCounting"/>
      <w:suff w:val="nothing"/>
      <w:lvlText w:val="%1、"/>
      <w:lvlJc w:val="left"/>
      <w:rPr>
        <w:rFonts w:hint="eastAsia"/>
      </w:rPr>
    </w:lvl>
  </w:abstractNum>
  <w:abstractNum w:abstractNumId="4">
    <w:nsid w:val="6FAA0AB1"/>
    <w:multiLevelType w:val="singleLevel"/>
    <w:tmpl w:val="6FAA0AB1"/>
    <w:lvl w:ilvl="0" w:tentative="0">
      <w:start w:val="2"/>
      <w:numFmt w:val="chineseCounting"/>
      <w:suff w:val="nothing"/>
      <w:lvlText w:val="（%1）"/>
      <w:lvlJc w:val="left"/>
      <w:rPr>
        <w:rFonts w:hint="eastAsia"/>
      </w:rPr>
    </w:lvl>
  </w:abstractNum>
  <w:num w:numId="1">
    <w:abstractNumId w:val="1"/>
  </w:num>
  <w:num w:numId="2">
    <w:abstractNumId w:val="0"/>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A6457"/>
    <w:rsid w:val="00011724"/>
    <w:rsid w:val="0001287D"/>
    <w:rsid w:val="00020EC7"/>
    <w:rsid w:val="00056465"/>
    <w:rsid w:val="000E50F0"/>
    <w:rsid w:val="000E586C"/>
    <w:rsid w:val="000E58AC"/>
    <w:rsid w:val="000F0AB8"/>
    <w:rsid w:val="00121AE4"/>
    <w:rsid w:val="00146AAD"/>
    <w:rsid w:val="0017058D"/>
    <w:rsid w:val="001B3A40"/>
    <w:rsid w:val="001B502E"/>
    <w:rsid w:val="001D6988"/>
    <w:rsid w:val="0039382F"/>
    <w:rsid w:val="003B625A"/>
    <w:rsid w:val="003C18BC"/>
    <w:rsid w:val="003D4739"/>
    <w:rsid w:val="003E1386"/>
    <w:rsid w:val="004222D5"/>
    <w:rsid w:val="00432D28"/>
    <w:rsid w:val="004366A8"/>
    <w:rsid w:val="00464900"/>
    <w:rsid w:val="004E5195"/>
    <w:rsid w:val="00502BA7"/>
    <w:rsid w:val="005162F1"/>
    <w:rsid w:val="00527559"/>
    <w:rsid w:val="00535153"/>
    <w:rsid w:val="00552ACB"/>
    <w:rsid w:val="00554F82"/>
    <w:rsid w:val="0056390D"/>
    <w:rsid w:val="005719B0"/>
    <w:rsid w:val="005D10D6"/>
    <w:rsid w:val="00604FEF"/>
    <w:rsid w:val="00636E64"/>
    <w:rsid w:val="006E6B4D"/>
    <w:rsid w:val="00726E41"/>
    <w:rsid w:val="007806A5"/>
    <w:rsid w:val="00795789"/>
    <w:rsid w:val="007E7B64"/>
    <w:rsid w:val="00842F0D"/>
    <w:rsid w:val="00855E3A"/>
    <w:rsid w:val="008D48B6"/>
    <w:rsid w:val="009070CD"/>
    <w:rsid w:val="00922CB9"/>
    <w:rsid w:val="00975E27"/>
    <w:rsid w:val="009E5CD9"/>
    <w:rsid w:val="00A21680"/>
    <w:rsid w:val="00A26421"/>
    <w:rsid w:val="00A4293B"/>
    <w:rsid w:val="00A569ED"/>
    <w:rsid w:val="00A67D50"/>
    <w:rsid w:val="00A8691A"/>
    <w:rsid w:val="00AA036B"/>
    <w:rsid w:val="00AC1946"/>
    <w:rsid w:val="00B23B07"/>
    <w:rsid w:val="00B40063"/>
    <w:rsid w:val="00B41F61"/>
    <w:rsid w:val="00BA46E6"/>
    <w:rsid w:val="00C469C5"/>
    <w:rsid w:val="00C56C72"/>
    <w:rsid w:val="00C9001B"/>
    <w:rsid w:val="00CA6457"/>
    <w:rsid w:val="00D17F2E"/>
    <w:rsid w:val="00D30354"/>
    <w:rsid w:val="00D53A03"/>
    <w:rsid w:val="00D56006"/>
    <w:rsid w:val="00DA6395"/>
    <w:rsid w:val="00DB444A"/>
    <w:rsid w:val="00DF42A0"/>
    <w:rsid w:val="00DF7C45"/>
    <w:rsid w:val="00E252EB"/>
    <w:rsid w:val="00E31565"/>
    <w:rsid w:val="00E34C51"/>
    <w:rsid w:val="00E46C51"/>
    <w:rsid w:val="00E769FE"/>
    <w:rsid w:val="00EA2CBE"/>
    <w:rsid w:val="00F247A0"/>
    <w:rsid w:val="00F32FEE"/>
    <w:rsid w:val="00F369F8"/>
    <w:rsid w:val="00F54F18"/>
    <w:rsid w:val="00F71278"/>
    <w:rsid w:val="00FB10BB"/>
    <w:rsid w:val="00FD50C3"/>
    <w:rsid w:val="051A56F5"/>
    <w:rsid w:val="066D6EAA"/>
    <w:rsid w:val="068A17AC"/>
    <w:rsid w:val="072C299F"/>
    <w:rsid w:val="08C662D4"/>
    <w:rsid w:val="092134FC"/>
    <w:rsid w:val="09BD4D95"/>
    <w:rsid w:val="0CC414AB"/>
    <w:rsid w:val="0F8D41CB"/>
    <w:rsid w:val="0FC14BC2"/>
    <w:rsid w:val="11C75270"/>
    <w:rsid w:val="12637CC3"/>
    <w:rsid w:val="12E657C5"/>
    <w:rsid w:val="167C7687"/>
    <w:rsid w:val="168B3546"/>
    <w:rsid w:val="1A2374E0"/>
    <w:rsid w:val="1AE92481"/>
    <w:rsid w:val="1C317CE2"/>
    <w:rsid w:val="1DD45808"/>
    <w:rsid w:val="1DED42AC"/>
    <w:rsid w:val="20005763"/>
    <w:rsid w:val="20FB313D"/>
    <w:rsid w:val="220B4804"/>
    <w:rsid w:val="22B73D08"/>
    <w:rsid w:val="23A56A72"/>
    <w:rsid w:val="282475E3"/>
    <w:rsid w:val="2B105E7E"/>
    <w:rsid w:val="2C6100C1"/>
    <w:rsid w:val="2E466F84"/>
    <w:rsid w:val="3264220D"/>
    <w:rsid w:val="338E412D"/>
    <w:rsid w:val="3963178C"/>
    <w:rsid w:val="3A26044A"/>
    <w:rsid w:val="3A3B75C7"/>
    <w:rsid w:val="3B6C030C"/>
    <w:rsid w:val="3FB13B1B"/>
    <w:rsid w:val="41CC2676"/>
    <w:rsid w:val="46B21672"/>
    <w:rsid w:val="49BF7796"/>
    <w:rsid w:val="4F552460"/>
    <w:rsid w:val="4FCC6863"/>
    <w:rsid w:val="500A214A"/>
    <w:rsid w:val="522D604D"/>
    <w:rsid w:val="5297585E"/>
    <w:rsid w:val="52AD7D6F"/>
    <w:rsid w:val="5549519D"/>
    <w:rsid w:val="5557596B"/>
    <w:rsid w:val="5B596DFC"/>
    <w:rsid w:val="5DF03945"/>
    <w:rsid w:val="5E543E59"/>
    <w:rsid w:val="5FCF1AA4"/>
    <w:rsid w:val="637C2815"/>
    <w:rsid w:val="649F183D"/>
    <w:rsid w:val="65156C5C"/>
    <w:rsid w:val="6528195B"/>
    <w:rsid w:val="6AA71A07"/>
    <w:rsid w:val="6CB748DE"/>
    <w:rsid w:val="6EC96434"/>
    <w:rsid w:val="71597523"/>
    <w:rsid w:val="73134238"/>
    <w:rsid w:val="73C66451"/>
    <w:rsid w:val="75AC1795"/>
    <w:rsid w:val="79917825"/>
    <w:rsid w:val="7A353D0B"/>
    <w:rsid w:val="7D3A5E2F"/>
    <w:rsid w:val="7F4B366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4"/>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5"/>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6"/>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7"/>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28"/>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29"/>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30"/>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31"/>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2"/>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1">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qFormat/>
    <w:uiPriority w:val="0"/>
    <w:pPr>
      <w:spacing w:before="100" w:beforeAutospacing="1" w:after="100" w:afterAutospacing="1" w:line="480" w:lineRule="auto"/>
      <w:ind w:left="200" w:leftChars="200"/>
    </w:pPr>
  </w:style>
  <w:style w:type="paragraph" w:styleId="12">
    <w:name w:val="annotation text"/>
    <w:basedOn w:val="1"/>
    <w:semiHidden/>
    <w:unhideWhenUsed/>
    <w:uiPriority w:val="99"/>
    <w:pPr>
      <w:jc w:val="left"/>
    </w:pPr>
  </w:style>
  <w:style w:type="paragraph" w:styleId="13">
    <w:name w:val="Body Text"/>
    <w:basedOn w:val="1"/>
    <w:qFormat/>
    <w:uiPriority w:val="0"/>
    <w:pPr>
      <w:spacing w:after="120"/>
    </w:pPr>
  </w:style>
  <w:style w:type="paragraph" w:styleId="14">
    <w:name w:val="Balloon Text"/>
    <w:basedOn w:val="1"/>
    <w:link w:val="49"/>
    <w:semiHidden/>
    <w:unhideWhenUsed/>
    <w:qFormat/>
    <w:uiPriority w:val="99"/>
    <w:rPr>
      <w:sz w:val="18"/>
      <w:szCs w:val="18"/>
    </w:rPr>
  </w:style>
  <w:style w:type="paragraph" w:styleId="15">
    <w:name w:val="footer"/>
    <w:basedOn w:val="1"/>
    <w:link w:val="48"/>
    <w:unhideWhenUsed/>
    <w:qFormat/>
    <w:uiPriority w:val="99"/>
    <w:pPr>
      <w:tabs>
        <w:tab w:val="center" w:pos="4153"/>
        <w:tab w:val="right" w:pos="8306"/>
      </w:tabs>
      <w:snapToGrid w:val="0"/>
      <w:jc w:val="left"/>
    </w:pPr>
    <w:rPr>
      <w:rFonts w:ascii="Calibri" w:hAnsi="Calibri"/>
      <w:sz w:val="18"/>
      <w:szCs w:val="18"/>
    </w:rPr>
  </w:style>
  <w:style w:type="paragraph" w:styleId="16">
    <w:name w:val="header"/>
    <w:basedOn w:val="1"/>
    <w:link w:val="47"/>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7">
    <w:name w:val="Subtitle"/>
    <w:basedOn w:val="1"/>
    <w:next w:val="1"/>
    <w:link w:val="34"/>
    <w:qFormat/>
    <w:uiPriority w:val="11"/>
    <w:pPr>
      <w:widowControl/>
      <w:spacing w:after="60"/>
      <w:jc w:val="center"/>
      <w:outlineLvl w:val="1"/>
    </w:pPr>
    <w:rPr>
      <w:rFonts w:asciiTheme="majorHAnsi" w:hAnsiTheme="majorHAnsi" w:eastAsiaTheme="majorEastAsia"/>
      <w:kern w:val="0"/>
      <w:sz w:val="24"/>
    </w:rPr>
  </w:style>
  <w:style w:type="paragraph" w:styleId="18">
    <w:name w:val="Title"/>
    <w:basedOn w:val="1"/>
    <w:next w:val="1"/>
    <w:link w:val="33"/>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9">
    <w:name w:val="Body Text First Indent"/>
    <w:basedOn w:val="13"/>
    <w:qFormat/>
    <w:uiPriority w:val="0"/>
    <w:pPr>
      <w:spacing w:after="0"/>
      <w:ind w:firstLine="200" w:firstLineChars="200"/>
    </w:pPr>
  </w:style>
  <w:style w:type="character" w:styleId="22">
    <w:name w:val="Strong"/>
    <w:basedOn w:val="21"/>
    <w:qFormat/>
    <w:uiPriority w:val="0"/>
    <w:rPr>
      <w:b/>
      <w:bCs/>
    </w:rPr>
  </w:style>
  <w:style w:type="character" w:styleId="23">
    <w:name w:val="Emphasis"/>
    <w:basedOn w:val="21"/>
    <w:qFormat/>
    <w:uiPriority w:val="20"/>
    <w:rPr>
      <w:rFonts w:asciiTheme="minorHAnsi" w:hAnsiTheme="minorHAnsi"/>
      <w:b/>
      <w:i/>
      <w:iCs/>
    </w:rPr>
  </w:style>
  <w:style w:type="character" w:customStyle="1" w:styleId="24">
    <w:name w:val="标题 1 Char"/>
    <w:basedOn w:val="21"/>
    <w:link w:val="3"/>
    <w:qFormat/>
    <w:uiPriority w:val="9"/>
    <w:rPr>
      <w:rFonts w:asciiTheme="majorHAnsi" w:hAnsiTheme="majorHAnsi" w:eastAsiaTheme="majorEastAsia"/>
      <w:b/>
      <w:bCs/>
      <w:kern w:val="32"/>
      <w:sz w:val="32"/>
      <w:szCs w:val="32"/>
    </w:rPr>
  </w:style>
  <w:style w:type="character" w:customStyle="1" w:styleId="25">
    <w:name w:val="标题 2 Char"/>
    <w:basedOn w:val="21"/>
    <w:link w:val="4"/>
    <w:semiHidden/>
    <w:qFormat/>
    <w:uiPriority w:val="9"/>
    <w:rPr>
      <w:rFonts w:asciiTheme="majorHAnsi" w:hAnsiTheme="majorHAnsi" w:eastAsiaTheme="majorEastAsia"/>
      <w:b/>
      <w:bCs/>
      <w:i/>
      <w:iCs/>
      <w:sz w:val="28"/>
      <w:szCs w:val="28"/>
    </w:rPr>
  </w:style>
  <w:style w:type="character" w:customStyle="1" w:styleId="26">
    <w:name w:val="标题 3 Char"/>
    <w:basedOn w:val="21"/>
    <w:link w:val="5"/>
    <w:semiHidden/>
    <w:qFormat/>
    <w:uiPriority w:val="9"/>
    <w:rPr>
      <w:rFonts w:asciiTheme="majorHAnsi" w:hAnsiTheme="majorHAnsi" w:eastAsiaTheme="majorEastAsia"/>
      <w:b/>
      <w:bCs/>
      <w:sz w:val="26"/>
      <w:szCs w:val="26"/>
    </w:rPr>
  </w:style>
  <w:style w:type="character" w:customStyle="1" w:styleId="27">
    <w:name w:val="标题 4 Char"/>
    <w:basedOn w:val="21"/>
    <w:link w:val="6"/>
    <w:semiHidden/>
    <w:qFormat/>
    <w:uiPriority w:val="9"/>
    <w:rPr>
      <w:b/>
      <w:bCs/>
      <w:sz w:val="28"/>
      <w:szCs w:val="28"/>
    </w:rPr>
  </w:style>
  <w:style w:type="character" w:customStyle="1" w:styleId="28">
    <w:name w:val="标题 5 Char"/>
    <w:basedOn w:val="21"/>
    <w:link w:val="7"/>
    <w:semiHidden/>
    <w:qFormat/>
    <w:uiPriority w:val="9"/>
    <w:rPr>
      <w:b/>
      <w:bCs/>
      <w:i/>
      <w:iCs/>
      <w:sz w:val="26"/>
      <w:szCs w:val="26"/>
    </w:rPr>
  </w:style>
  <w:style w:type="character" w:customStyle="1" w:styleId="29">
    <w:name w:val="标题 6 Char"/>
    <w:basedOn w:val="21"/>
    <w:link w:val="8"/>
    <w:semiHidden/>
    <w:qFormat/>
    <w:uiPriority w:val="9"/>
    <w:rPr>
      <w:b/>
      <w:bCs/>
    </w:rPr>
  </w:style>
  <w:style w:type="character" w:customStyle="1" w:styleId="30">
    <w:name w:val="标题 7 Char"/>
    <w:basedOn w:val="21"/>
    <w:link w:val="9"/>
    <w:semiHidden/>
    <w:qFormat/>
    <w:uiPriority w:val="9"/>
    <w:rPr>
      <w:sz w:val="24"/>
      <w:szCs w:val="24"/>
    </w:rPr>
  </w:style>
  <w:style w:type="character" w:customStyle="1" w:styleId="31">
    <w:name w:val="标题 8 Char"/>
    <w:basedOn w:val="21"/>
    <w:link w:val="10"/>
    <w:semiHidden/>
    <w:qFormat/>
    <w:uiPriority w:val="9"/>
    <w:rPr>
      <w:i/>
      <w:iCs/>
      <w:sz w:val="24"/>
      <w:szCs w:val="24"/>
    </w:rPr>
  </w:style>
  <w:style w:type="character" w:customStyle="1" w:styleId="32">
    <w:name w:val="标题 9 Char"/>
    <w:basedOn w:val="21"/>
    <w:link w:val="11"/>
    <w:semiHidden/>
    <w:qFormat/>
    <w:uiPriority w:val="9"/>
    <w:rPr>
      <w:rFonts w:asciiTheme="majorHAnsi" w:hAnsiTheme="majorHAnsi" w:eastAsiaTheme="majorEastAsia"/>
    </w:rPr>
  </w:style>
  <w:style w:type="character" w:customStyle="1" w:styleId="33">
    <w:name w:val="标题 Char"/>
    <w:basedOn w:val="21"/>
    <w:link w:val="18"/>
    <w:qFormat/>
    <w:uiPriority w:val="10"/>
    <w:rPr>
      <w:rFonts w:asciiTheme="majorHAnsi" w:hAnsiTheme="majorHAnsi" w:eastAsiaTheme="majorEastAsia"/>
      <w:b/>
      <w:bCs/>
      <w:kern w:val="28"/>
      <w:sz w:val="32"/>
      <w:szCs w:val="32"/>
    </w:rPr>
  </w:style>
  <w:style w:type="character" w:customStyle="1" w:styleId="34">
    <w:name w:val="副标题 Char"/>
    <w:basedOn w:val="21"/>
    <w:link w:val="17"/>
    <w:qFormat/>
    <w:uiPriority w:val="11"/>
    <w:rPr>
      <w:rFonts w:asciiTheme="majorHAnsi" w:hAnsiTheme="majorHAnsi" w:eastAsiaTheme="majorEastAsia"/>
      <w:sz w:val="24"/>
      <w:szCs w:val="24"/>
    </w:rPr>
  </w:style>
  <w:style w:type="paragraph" w:styleId="35">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6">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7">
    <w:name w:val="Quote"/>
    <w:basedOn w:val="1"/>
    <w:next w:val="1"/>
    <w:link w:val="38"/>
    <w:qFormat/>
    <w:uiPriority w:val="29"/>
    <w:pPr>
      <w:widowControl/>
      <w:jc w:val="left"/>
    </w:pPr>
    <w:rPr>
      <w:rFonts w:asciiTheme="minorHAnsi" w:hAnsiTheme="minorHAnsi" w:eastAsiaTheme="minorEastAsia"/>
      <w:i/>
      <w:kern w:val="0"/>
      <w:sz w:val="24"/>
    </w:rPr>
  </w:style>
  <w:style w:type="character" w:customStyle="1" w:styleId="38">
    <w:name w:val="引用 Char"/>
    <w:basedOn w:val="21"/>
    <w:link w:val="37"/>
    <w:qFormat/>
    <w:uiPriority w:val="29"/>
    <w:rPr>
      <w:i/>
      <w:sz w:val="24"/>
      <w:szCs w:val="24"/>
    </w:rPr>
  </w:style>
  <w:style w:type="paragraph" w:styleId="39">
    <w:name w:val="Intense Quote"/>
    <w:basedOn w:val="1"/>
    <w:next w:val="1"/>
    <w:link w:val="40"/>
    <w:qFormat/>
    <w:uiPriority w:val="30"/>
    <w:pPr>
      <w:widowControl/>
      <w:ind w:left="720" w:right="720"/>
      <w:jc w:val="left"/>
    </w:pPr>
    <w:rPr>
      <w:rFonts w:asciiTheme="minorHAnsi" w:hAnsiTheme="minorHAnsi" w:eastAsiaTheme="minorEastAsia"/>
      <w:b/>
      <w:i/>
      <w:kern w:val="0"/>
      <w:sz w:val="24"/>
      <w:szCs w:val="22"/>
    </w:rPr>
  </w:style>
  <w:style w:type="character" w:customStyle="1" w:styleId="40">
    <w:name w:val="明显引用 Char"/>
    <w:basedOn w:val="21"/>
    <w:link w:val="39"/>
    <w:qFormat/>
    <w:uiPriority w:val="30"/>
    <w:rPr>
      <w:b/>
      <w:i/>
      <w:sz w:val="24"/>
    </w:rPr>
  </w:style>
  <w:style w:type="character" w:customStyle="1" w:styleId="41">
    <w:name w:val="不明显强调1"/>
    <w:qFormat/>
    <w:uiPriority w:val="19"/>
    <w:rPr>
      <w:i/>
      <w:color w:val="585858" w:themeColor="text1" w:themeTint="A6"/>
    </w:rPr>
  </w:style>
  <w:style w:type="character" w:customStyle="1" w:styleId="42">
    <w:name w:val="明显强调1"/>
    <w:basedOn w:val="21"/>
    <w:qFormat/>
    <w:uiPriority w:val="21"/>
    <w:rPr>
      <w:b/>
      <w:i/>
      <w:sz w:val="24"/>
      <w:szCs w:val="24"/>
      <w:u w:val="single"/>
    </w:rPr>
  </w:style>
  <w:style w:type="character" w:customStyle="1" w:styleId="43">
    <w:name w:val="不明显参考1"/>
    <w:basedOn w:val="21"/>
    <w:qFormat/>
    <w:uiPriority w:val="31"/>
    <w:rPr>
      <w:sz w:val="24"/>
      <w:szCs w:val="24"/>
      <w:u w:val="single"/>
    </w:rPr>
  </w:style>
  <w:style w:type="character" w:customStyle="1" w:styleId="44">
    <w:name w:val="明显参考1"/>
    <w:basedOn w:val="21"/>
    <w:qFormat/>
    <w:uiPriority w:val="32"/>
    <w:rPr>
      <w:b/>
      <w:sz w:val="24"/>
      <w:u w:val="single"/>
    </w:rPr>
  </w:style>
  <w:style w:type="character" w:customStyle="1" w:styleId="45">
    <w:name w:val="书籍标题1"/>
    <w:basedOn w:val="21"/>
    <w:qFormat/>
    <w:uiPriority w:val="33"/>
    <w:rPr>
      <w:rFonts w:asciiTheme="majorHAnsi" w:hAnsiTheme="majorHAnsi" w:eastAsiaTheme="majorEastAsia"/>
      <w:b/>
      <w:i/>
      <w:sz w:val="24"/>
      <w:szCs w:val="24"/>
    </w:rPr>
  </w:style>
  <w:style w:type="paragraph" w:customStyle="1" w:styleId="46">
    <w:name w:val="TOC 标题1"/>
    <w:basedOn w:val="3"/>
    <w:next w:val="1"/>
    <w:semiHidden/>
    <w:unhideWhenUsed/>
    <w:qFormat/>
    <w:uiPriority w:val="39"/>
    <w:pPr>
      <w:outlineLvl w:val="9"/>
    </w:pPr>
    <w:rPr>
      <w:lang w:eastAsia="en-US" w:bidi="en-US"/>
    </w:rPr>
  </w:style>
  <w:style w:type="character" w:customStyle="1" w:styleId="47">
    <w:name w:val="页眉 Char"/>
    <w:basedOn w:val="21"/>
    <w:link w:val="16"/>
    <w:qFormat/>
    <w:uiPriority w:val="99"/>
    <w:rPr>
      <w:rFonts w:ascii="Calibri" w:hAnsi="Calibri" w:eastAsia="宋体"/>
      <w:kern w:val="2"/>
      <w:sz w:val="18"/>
      <w:szCs w:val="18"/>
    </w:rPr>
  </w:style>
  <w:style w:type="character" w:customStyle="1" w:styleId="48">
    <w:name w:val="页脚 Char"/>
    <w:basedOn w:val="21"/>
    <w:link w:val="15"/>
    <w:qFormat/>
    <w:uiPriority w:val="99"/>
    <w:rPr>
      <w:rFonts w:ascii="Calibri" w:hAnsi="Calibri" w:eastAsia="宋体"/>
      <w:kern w:val="2"/>
      <w:sz w:val="18"/>
      <w:szCs w:val="18"/>
    </w:rPr>
  </w:style>
  <w:style w:type="character" w:customStyle="1" w:styleId="49">
    <w:name w:val="批注框文本 Char"/>
    <w:basedOn w:val="21"/>
    <w:link w:val="14"/>
    <w:semiHidden/>
    <w:qFormat/>
    <w:uiPriority w:val="99"/>
    <w:rPr>
      <w:rFonts w:ascii="Times New Roman" w:hAnsi="Times New Roman" w:eastAsia="宋体"/>
      <w:kern w:val="2"/>
      <w:sz w:val="18"/>
      <w:szCs w:val="18"/>
    </w:rPr>
  </w:style>
  <w:style w:type="paragraph" w:customStyle="1" w:styleId="50">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51">
    <w:name w:val="fontstyle01"/>
    <w:qFormat/>
    <w:uiPriority w:val="0"/>
    <w:rPr>
      <w:rFonts w:ascii="仿宋_GB2312" w:hAnsi="仿宋_GB2312" w:eastAsia="仿宋_GB2312" w:cs="仿宋_GB2312"/>
      <w:color w:val="00000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友明电脑</Company>
  <Pages>12</Pages>
  <Words>787</Words>
  <Characters>4492</Characters>
  <Lines>37</Lines>
  <Paragraphs>10</Paragraphs>
  <TotalTime>5</TotalTime>
  <ScaleCrop>false</ScaleCrop>
  <LinksUpToDate>false</LinksUpToDate>
  <CharactersWithSpaces>5269</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2021-04-07T23:14:00Z</dcterms:created>
  <dc:creator>赵 恺（预算处）</dc:creator>
  <cp:lastModifiedBy>Administrator</cp:lastModifiedBy>
  <cp:lastPrinted>2021-04-06T09:17:00Z</cp:lastPrinted>
  <dcterms:modified xsi:type="dcterms:W3CDTF">2025-09-10T01:53:46Z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04A297FBA22F4CE3BD28145AB9FEE61F</vt:lpwstr>
  </property>
  <property fmtid="{D5CDD505-2E9C-101B-9397-08002B2CF9AE}" pid="4" name="KSOSaveFontToCloudKey">
    <vt:lpwstr>728097718_cloud</vt:lpwstr>
  </property>
</Properties>
</file>