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ind w:firstLine="960" w:firstLineChars="200"/>
        <w:jc w:val="both"/>
        <w:rPr>
          <w:rFonts w:hint="eastAsia"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辽塔县市农业科技示范</w:t>
      </w:r>
      <w:r>
        <w:rPr>
          <w:rFonts w:hint="eastAsia" w:ascii="方正小标宋_GBK" w:hAnsi="华文中宋" w:eastAsia="方正小标宋_GBK" w:cs="宋体"/>
          <w:kern w:val="0"/>
          <w:sz w:val="48"/>
          <w:szCs w:val="48"/>
          <w:lang w:val="en-US" w:eastAsia="zh-CN"/>
        </w:rPr>
        <w:t>项目</w:t>
      </w:r>
      <w:r>
        <w:rPr>
          <w:rFonts w:hint="eastAsia" w:ascii="方正小标宋_GBK" w:hAnsi="华文中宋" w:eastAsia="方正小标宋_GBK" w:cs="宋体"/>
          <w:kern w:val="0"/>
          <w:sz w:val="48"/>
          <w:szCs w:val="48"/>
        </w:rPr>
        <w:t>资金</w:t>
      </w:r>
    </w:p>
    <w:p>
      <w:pPr>
        <w:spacing w:line="540" w:lineRule="exact"/>
        <w:jc w:val="center"/>
        <w:rPr>
          <w:rFonts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项目支出绩效评价报告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项目名称：辽塔县市农业科技示范基地建设</w:t>
      </w:r>
    </w:p>
    <w:p>
      <w:pPr>
        <w:spacing w:line="700" w:lineRule="exact"/>
        <w:ind w:firstLine="720" w:firstLineChars="200"/>
        <w:jc w:val="left"/>
        <w:rPr>
          <w:rFonts w:hint="eastAsia" w:hAnsi="宋体" w:eastAsia="仿宋_GB2312" w:cs="宋体"/>
          <w:kern w:val="0"/>
          <w:sz w:val="36"/>
          <w:szCs w:val="36"/>
        </w:rPr>
      </w:pPr>
      <w:r>
        <w:rPr>
          <w:rFonts w:hint="eastAsia" w:hAnsi="宋体" w:eastAsia="仿宋_GB2312" w:cs="宋体"/>
          <w:kern w:val="0"/>
          <w:sz w:val="36"/>
          <w:szCs w:val="36"/>
        </w:rPr>
        <w:t xml:space="preserve">实施单位（公章）：辽宁农科院塔城分院  </w:t>
      </w:r>
    </w:p>
    <w:p>
      <w:pPr>
        <w:spacing w:line="700" w:lineRule="exact"/>
        <w:ind w:firstLine="3960" w:firstLineChars="11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塔城地区农</w:t>
      </w:r>
      <w:r>
        <w:rPr>
          <w:rFonts w:hint="eastAsia" w:hAnsi="宋体" w:eastAsia="仿宋_GB2312" w:cs="宋体"/>
          <w:kern w:val="0"/>
          <w:sz w:val="36"/>
          <w:szCs w:val="36"/>
          <w:lang w:val="en-US" w:eastAsia="zh-CN"/>
        </w:rPr>
        <w:t>业科学研究</w:t>
      </w:r>
      <w:r>
        <w:rPr>
          <w:rFonts w:hint="eastAsia" w:hAnsi="宋体" w:eastAsia="仿宋_GB2312" w:cs="宋体"/>
          <w:kern w:val="0"/>
          <w:sz w:val="36"/>
          <w:szCs w:val="36"/>
        </w:rPr>
        <w:t>所</w:t>
      </w:r>
    </w:p>
    <w:p>
      <w:pPr>
        <w:spacing w:line="70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塔城地区农业农村局</w:t>
      </w:r>
    </w:p>
    <w:p>
      <w:pPr>
        <w:spacing w:line="70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吴海东  史永清</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2021</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3</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24"/>
          <w:rFonts w:ascii="黑体" w:hAnsi="黑体" w:eastAsia="黑体"/>
          <w:b w:val="0"/>
          <w:spacing w:val="-4"/>
          <w:sz w:val="32"/>
          <w:szCs w:val="32"/>
        </w:rPr>
      </w:pPr>
    </w:p>
    <w:p>
      <w:pPr>
        <w:spacing w:line="540" w:lineRule="exact"/>
        <w:ind w:firstLine="640"/>
        <w:rPr>
          <w:rStyle w:val="24"/>
          <w:rFonts w:ascii="黑体" w:hAnsi="黑体" w:eastAsia="黑体"/>
          <w:b w:val="0"/>
          <w:spacing w:val="-4"/>
          <w:sz w:val="32"/>
          <w:szCs w:val="32"/>
        </w:rPr>
      </w:pPr>
    </w:p>
    <w:p>
      <w:pPr>
        <w:spacing w:line="540" w:lineRule="exact"/>
        <w:rPr>
          <w:rStyle w:val="24"/>
          <w:rFonts w:ascii="黑体" w:hAnsi="黑体" w:eastAsia="黑体"/>
          <w:b w:val="0"/>
          <w:spacing w:val="-4"/>
          <w:sz w:val="32"/>
          <w:szCs w:val="32"/>
        </w:rPr>
      </w:pPr>
    </w:p>
    <w:p>
      <w:pPr>
        <w:spacing w:line="600" w:lineRule="exact"/>
        <w:rPr>
          <w:rFonts w:hint="eastAsia" w:ascii="黑体" w:hAnsi="黑体" w:eastAsia="黑体" w:cs="黑体"/>
          <w:bCs/>
          <w:sz w:val="32"/>
          <w:szCs w:val="32"/>
        </w:rPr>
      </w:pPr>
    </w:p>
    <w:p>
      <w:pPr>
        <w:spacing w:line="600" w:lineRule="exact"/>
        <w:rPr>
          <w:rFonts w:ascii="黑体" w:hAnsi="黑体" w:eastAsia="黑体" w:cs="黑体"/>
          <w:bCs/>
          <w:sz w:val="32"/>
          <w:szCs w:val="32"/>
        </w:rPr>
      </w:pPr>
      <w:r>
        <w:rPr>
          <w:rFonts w:hint="eastAsia" w:ascii="黑体" w:hAnsi="黑体" w:eastAsia="黑体" w:cs="黑体"/>
          <w:bCs/>
          <w:sz w:val="32"/>
          <w:szCs w:val="32"/>
        </w:rPr>
        <w:t>一、基本情况</w:t>
      </w:r>
    </w:p>
    <w:p>
      <w:pPr>
        <w:spacing w:line="60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1、项目背景</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ind w:firstLine="640" w:firstLineChars="200"/>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根据党中央统一部署，辽宁省对口支援新疆塔城地区、兵团第八师石河子市、兵团第九师。辽宁省委、省政府以高度的政治责任感和使命感，不断完善全方位、多层次、宽领域的援疆工作格局，截至目前，辽宁省累积安排援疆资金60.12亿元，支持建设了457个援疆项目，有力促进“一地两师”经济社会发展。塔城地区区位优势突出，自然资源丰富，人文景观独特，经济发展潜力巨大。区内有良田万顷，土地平整肥沃，水量充沛，光照充足，昼夜温差大，有利于农作物糖分积累，是新疆重要的粮、棉、油料、糖料生产基地。欧亚大陆桥的开通和塔城市巴克图边境口岸的开放，使塔城地区成为新疆实施西进战略、开拓中亚市场的前沿，并将建成新疆重要的出口商品基地和对外贸易集散地。但从塔城地区目前的农业产业发展来看，仍然存在产业结构不尽合理，龙头企业科技含量较低，精深加工发展不足，高品质高附加值的绿色、有机农产品品类及数量较少，缺乏农产品品牌，口岸辐射带动作用不显著，农业科技水平不高、专业队伍不健全等问题，直接制约了塔城优势特色农业产业发展。</w:t>
      </w:r>
    </w:p>
    <w:p>
      <w:pPr>
        <w:ind w:firstLine="640" w:firstLineChars="200"/>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为了更好发挥现代农业在塔城地区的科技带动作用，充分发挥辽宁省农业新品种新技术的科技引领，提高对口援助成效，辽宁援疆前方指挥部提出了农业科技援疆的工作部署，辽宁省农业科学院作为主要依托单位与辽宁援疆前方指挥部共同配合实施《辽塔县市农业科技示范》项目。自2018年7月，辽宁省农业科学院党组书记、院长隋国民带领院属相关单位负责人组成专家组，前往新疆塔城地区沙湾县、乌苏市、裕民县、塔城市进行工作对接，确定了在塔城地区依托此项目实施以棉花、蔬菜、果树、玉米新品种、新技术示范及推广为主的重点科技推广项目，并依托省农科院科技和规划设计优势，根据塔城地区农业产业发展实际需要，编制塔城地区现代农业科技示范园区建设规划，引领塔城地区农业产业发展。</w:t>
      </w:r>
    </w:p>
    <w:p>
      <w:pPr>
        <w:pStyle w:val="20"/>
        <w:numPr>
          <w:ilvl w:val="0"/>
          <w:numId w:val="1"/>
        </w:numPr>
        <w:ind w:firstLine="640" w:firstLineChars="200"/>
        <w:jc w:val="both"/>
        <w:rPr>
          <w:rFonts w:ascii="仿宋_GB2312" w:hAnsi="仿宋_GB2312" w:eastAsia="仿宋_GB2312" w:cs="仿宋_GB2312"/>
          <w:b w:val="0"/>
          <w:bCs w:val="0"/>
          <w:kern w:val="0"/>
        </w:rPr>
      </w:pPr>
      <w:r>
        <w:rPr>
          <w:rFonts w:hint="eastAsia" w:ascii="仿宋_GB2312" w:hAnsi="仿宋_GB2312" w:eastAsia="仿宋_GB2312" w:cs="仿宋_GB2312"/>
          <w:b w:val="0"/>
          <w:bCs w:val="0"/>
          <w:kern w:val="0"/>
        </w:rPr>
        <w:t>项目实施的历史概况</w:t>
      </w:r>
    </w:p>
    <w:p>
      <w:pPr>
        <w:ind w:firstLine="640" w:firstLineChars="200"/>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辽塔县市农业科技示范基地建设项目，项目计划2年时间完成（即2019-2020）。2020年，该项目在塔城地区示范推广果树、蔬菜、玉米、棉花、食用菌等新品种30个；示范推广果树、蔬菜、玉米、棉花、食用菌等作物绿色高效栽培技术7项，示范面积800亩；开展蔬菜、棉花、果树栽培和病虫害防治技术等内容专题培训班20个，开展田间技术指导咨询服务150次，培训指导当地农民2100人次。项目的实施，为塔城地区农业生产注入了新的活力，尤其在设施果蔬产业方面起到科技引领作用，极大的促进塔城地区以绿色农产品生产与出口为导向的农业种植产业的发展。</w:t>
      </w:r>
    </w:p>
    <w:p>
      <w:pPr>
        <w:ind w:firstLine="640" w:firstLineChars="200"/>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lang w:val="en-US" w:eastAsia="zh-CN"/>
        </w:rPr>
        <w:t>该项目资金主要用于2020年分院开展玉米、果树、蔬菜、棉花等各项试验示范工作使用经费。2020年辽塔分院“辽塔县市农业科技示范基地建设项目”项目费项目初预算资金为960561.49元。根据项目实际实施情况，2020年已使用资金960561.49元。主要用于开展科技援疆项目的咨询费、手续费、差旅费、专用材料费、劳务费、委托业务费、公务用车运行维护费和房屋建筑物构建等，其中，办公费27483元、咨询费27700元、差旅费149279.33元、维修（护）费217200元、专用材料费346179元、劳务费192720.16元。</w:t>
      </w:r>
    </w:p>
    <w:p>
      <w:pPr>
        <w:spacing w:line="540" w:lineRule="exact"/>
        <w:rPr>
          <w:rStyle w:val="24"/>
          <w:rFonts w:ascii="黑体" w:hAnsi="黑体" w:eastAsia="黑体"/>
          <w:bCs w:val="0"/>
          <w:spacing w:val="-4"/>
          <w:sz w:val="32"/>
          <w:szCs w:val="32"/>
        </w:rPr>
      </w:pPr>
    </w:p>
    <w:p>
      <w:pPr>
        <w:numPr>
          <w:ilvl w:val="0"/>
          <w:numId w:val="2"/>
        </w:num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项目主要内容及实施情况</w:t>
      </w:r>
    </w:p>
    <w:p>
      <w:pPr>
        <w:ind w:firstLine="640" w:firstLineChars="200"/>
        <w:rPr>
          <w:rFonts w:hint="eastAsia" w:ascii="仿宋_GB2312" w:hAnsi="仿宋_GB2312" w:eastAsia="仿宋_GB2312" w:cs="仿宋_GB2312"/>
          <w:b w:val="0"/>
          <w:bCs w:val="0"/>
          <w:kern w:val="2"/>
          <w:sz w:val="32"/>
          <w:szCs w:val="32"/>
          <w:lang w:val="en-US" w:eastAsia="zh-CN"/>
        </w:rPr>
      </w:pPr>
      <w:r>
        <w:rPr>
          <w:rFonts w:hint="eastAsia" w:ascii="仿宋_GB2312" w:hAnsi="仿宋_GB2312" w:eastAsia="仿宋_GB2312" w:cs="仿宋_GB2312"/>
          <w:b w:val="0"/>
          <w:bCs w:val="0"/>
          <w:kern w:val="2"/>
          <w:sz w:val="32"/>
          <w:szCs w:val="32"/>
        </w:rPr>
        <w:t>项目主要内容：项目示范实施地点设定在塔城地区农科所西郊巴克图基地，拟建设高标准设施大棚5座，其中用于优质果品生产温室大棚2座、优质蔬菜生产温室大棚2座和相关种苗繁育温室大棚1座</w:t>
      </w:r>
      <w:r>
        <w:rPr>
          <w:rFonts w:hint="eastAsia" w:ascii="仿宋_GB2312" w:hAnsi="仿宋_GB2312" w:eastAsia="仿宋_GB2312" w:cs="仿宋_GB2312"/>
          <w:b w:val="0"/>
          <w:bCs w:val="0"/>
          <w:kern w:val="2"/>
          <w:sz w:val="32"/>
          <w:szCs w:val="32"/>
          <w:lang w:eastAsia="zh-CN"/>
        </w:rPr>
        <w:t>。</w:t>
      </w:r>
    </w:p>
    <w:p>
      <w:pPr>
        <w:ind w:firstLine="640" w:firstLineChars="200"/>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54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eastAsia="仿宋" w:cs="仿宋"/>
          <w:kern w:val="0"/>
          <w:sz w:val="32"/>
          <w:szCs w:val="32"/>
          <w:lang w:val="en-US" w:eastAsia="zh-CN"/>
        </w:rPr>
        <w:t>137.07</w:t>
      </w:r>
      <w:r>
        <w:rPr>
          <w:rFonts w:hint="eastAsia" w:ascii="仿宋_GB2312" w:hAnsi="仿宋_GB2312" w:eastAsia="仿宋_GB2312" w:cs="仿宋_GB2312"/>
          <w:sz w:val="32"/>
          <w:szCs w:val="32"/>
        </w:rPr>
        <w:t>万元，其中：财政本级资金</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辽宁援疆资金</w:t>
      </w:r>
      <w:r>
        <w:rPr>
          <w:rFonts w:hint="eastAsia" w:eastAsia="仿宋" w:cs="仿宋"/>
          <w:kern w:val="0"/>
          <w:sz w:val="32"/>
          <w:szCs w:val="32"/>
          <w:lang w:val="en-US" w:eastAsia="zh-CN"/>
        </w:rPr>
        <w:t>137.07</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。项目实际支出</w:t>
      </w:r>
      <w:r>
        <w:rPr>
          <w:rFonts w:hint="eastAsia" w:ascii="仿宋_GB2312" w:hAnsi="仿宋_GB2312" w:eastAsia="仿宋_GB2312" w:cs="仿宋_GB2312"/>
          <w:sz w:val="32"/>
          <w:szCs w:val="32"/>
          <w:lang w:val="en-US" w:eastAsia="zh-CN"/>
        </w:rPr>
        <w:t>96.06</w:t>
      </w:r>
      <w:r>
        <w:rPr>
          <w:rFonts w:hint="eastAsia" w:ascii="仿宋_GB2312" w:hAnsi="仿宋_GB2312" w:eastAsia="仿宋_GB2312" w:cs="仿宋_GB2312"/>
          <w:sz w:val="32"/>
          <w:szCs w:val="32"/>
        </w:rPr>
        <w:t>元，支出率为</w:t>
      </w:r>
      <w:r>
        <w:rPr>
          <w:rFonts w:hint="eastAsia" w:ascii="仿宋_GB2312" w:hAnsi="仿宋_GB2312" w:eastAsia="仿宋_GB2312" w:cs="仿宋_GB2312"/>
          <w:sz w:val="32"/>
          <w:szCs w:val="32"/>
          <w:lang w:val="en-US" w:eastAsia="zh-CN"/>
        </w:rPr>
        <w:t xml:space="preserve">70.08 </w:t>
      </w:r>
      <w:r>
        <w:rPr>
          <w:rFonts w:hint="eastAsia" w:ascii="仿宋_GB2312" w:hAnsi="仿宋_GB2312" w:eastAsia="仿宋_GB2312" w:cs="仿宋_GB2312"/>
          <w:sz w:val="32"/>
          <w:szCs w:val="32"/>
        </w:rPr>
        <w:t>%。</w:t>
      </w:r>
    </w:p>
    <w:p>
      <w:p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3、资金投入和使用情况</w:t>
      </w:r>
    </w:p>
    <w:p>
      <w:pPr>
        <w:spacing w:line="600" w:lineRule="exact"/>
        <w:ind w:firstLine="641"/>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spacing w:line="54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w:t>
      </w:r>
      <w:r>
        <w:rPr>
          <w:rFonts w:hint="eastAsia" w:eastAsia="仿宋" w:cs="仿宋"/>
          <w:kern w:val="0"/>
          <w:sz w:val="32"/>
          <w:szCs w:val="32"/>
          <w:lang w:val="en-US" w:eastAsia="zh-CN"/>
        </w:rPr>
        <w:t>137.07</w:t>
      </w:r>
      <w:r>
        <w:rPr>
          <w:rFonts w:hint="eastAsia" w:ascii="仿宋_GB2312" w:hAnsi="仿宋_GB2312" w:eastAsia="仿宋_GB2312" w:cs="仿宋_GB2312"/>
          <w:sz w:val="32"/>
          <w:szCs w:val="32"/>
        </w:rPr>
        <w:t>万元，按照《</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资金管理办法》及单位财务制度等相关规定，资金支出符合</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资金的拨付程序，认真审核项目实施各阶段的相关材料和手续，根据项目实施进展情况拨付资金。</w:t>
      </w:r>
    </w:p>
    <w:p>
      <w:p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spacing w:line="540" w:lineRule="exact"/>
        <w:ind w:firstLine="579" w:firstLineChars="18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w:t>
      </w:r>
      <w:r>
        <w:rPr>
          <w:rFonts w:hint="eastAsia" w:ascii="仿宋_GB2312" w:hAnsi="仿宋_GB2312" w:eastAsia="仿宋_GB2312" w:cs="仿宋_GB2312"/>
          <w:sz w:val="32"/>
          <w:szCs w:val="32"/>
          <w:lang w:val="en-US" w:eastAsia="zh-CN"/>
        </w:rPr>
        <w:t>辽宁援疆</w:t>
      </w:r>
      <w:r>
        <w:rPr>
          <w:rFonts w:hint="eastAsia" w:ascii="仿宋_GB2312" w:hAnsi="仿宋_GB2312" w:eastAsia="仿宋_GB2312" w:cs="仿宋_GB2312"/>
          <w:sz w:val="32"/>
          <w:szCs w:val="32"/>
        </w:rPr>
        <w:t>资金，项目资金到位</w:t>
      </w:r>
      <w:r>
        <w:rPr>
          <w:rFonts w:hint="eastAsia" w:eastAsia="仿宋" w:cs="仿宋"/>
          <w:kern w:val="0"/>
          <w:sz w:val="32"/>
          <w:szCs w:val="32"/>
          <w:lang w:val="en-US" w:eastAsia="zh-CN"/>
        </w:rPr>
        <w:t>137.07</w:t>
      </w:r>
      <w:r>
        <w:rPr>
          <w:rFonts w:hint="eastAsia" w:ascii="仿宋_GB2312" w:hAnsi="仿宋_GB2312" w:eastAsia="仿宋_GB2312" w:cs="仿宋_GB2312"/>
          <w:sz w:val="32"/>
          <w:szCs w:val="32"/>
        </w:rPr>
        <w:t>万元，实际支出</w:t>
      </w:r>
      <w:r>
        <w:rPr>
          <w:rFonts w:hint="eastAsia" w:ascii="仿宋_GB2312" w:hAnsi="仿宋_GB2312" w:eastAsia="仿宋_GB2312" w:cs="仿宋_GB2312"/>
          <w:sz w:val="32"/>
          <w:szCs w:val="32"/>
          <w:lang w:val="en-US" w:eastAsia="zh-CN"/>
        </w:rPr>
        <w:t>96.06</w:t>
      </w:r>
      <w:r>
        <w:rPr>
          <w:rFonts w:hint="eastAsia" w:ascii="仿宋_GB2312" w:hAnsi="仿宋_GB2312" w:eastAsia="仿宋_GB2312" w:cs="仿宋_GB2312"/>
          <w:sz w:val="32"/>
          <w:szCs w:val="32"/>
        </w:rPr>
        <w:t>元，</w:t>
      </w:r>
      <w:bookmarkStart w:id="2" w:name="_GoBack"/>
      <w:bookmarkEnd w:id="2"/>
      <w:r>
        <w:rPr>
          <w:rFonts w:hint="eastAsia" w:ascii="仿宋_GB2312" w:hAnsi="仿宋_GB2312" w:eastAsia="仿宋_GB2312" w:cs="仿宋_GB2312"/>
          <w:sz w:val="32"/>
          <w:szCs w:val="32"/>
        </w:rPr>
        <w:t>用于支付项目实施进程中的各项费用。</w:t>
      </w:r>
    </w:p>
    <w:p>
      <w:pPr>
        <w:spacing w:line="60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spacing w:line="600" w:lineRule="exact"/>
        <w:ind w:firstLine="641"/>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1、总体目标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拟建设高标准设施大棚5座，其中用于优质果品生产温室大棚2座、优质蔬菜生产温室大棚2座和相关种苗繁育温室大棚1座</w:t>
      </w:r>
      <w:r>
        <w:rPr>
          <w:rFonts w:hint="eastAsia" w:ascii="仿宋_GB2312" w:hAnsi="仿宋_GB2312" w:eastAsia="仿宋_GB2312" w:cs="仿宋_GB2312"/>
          <w:sz w:val="32"/>
          <w:szCs w:val="32"/>
          <w:lang w:eastAsia="zh-CN"/>
        </w:rPr>
        <w:t>。</w:t>
      </w:r>
    </w:p>
    <w:p>
      <w:p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2、阶段性目标</w:t>
      </w:r>
    </w:p>
    <w:p>
      <w:p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（1）前期准备：根据《辽塔县市农业科技示范基地建设项目实施方案方案》，通过制定项目实施方案，经项目负责人审核通过后，有序开展后续工程。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highlight w:val="none"/>
          <w:lang w:val="en-US" w:eastAsia="zh-CN"/>
        </w:rPr>
        <w:t>辽塔县市农业科技示范基地建设项目实施</w:t>
      </w:r>
      <w:r>
        <w:rPr>
          <w:rFonts w:hint="eastAsia" w:ascii="仿宋_GB2312" w:hAnsi="仿宋_GB2312" w:eastAsia="仿宋_GB2312" w:cs="仿宋_GB2312"/>
          <w:sz w:val="32"/>
          <w:szCs w:val="32"/>
        </w:rPr>
        <w:t>方案》要求逐一进行项目部署安排，提高项目质量及效率性。</w:t>
      </w:r>
    </w:p>
    <w:p>
      <w:pPr>
        <w:spacing w:line="600" w:lineRule="exact"/>
        <w:ind w:firstLine="641"/>
        <w:rPr>
          <w:rFonts w:ascii="黑体" w:hAnsi="黑体" w:eastAsia="黑体"/>
          <w:sz w:val="32"/>
          <w:szCs w:val="32"/>
        </w:rPr>
      </w:pPr>
      <w:r>
        <w:rPr>
          <w:rFonts w:hint="eastAsia" w:ascii="黑体" w:hAnsi="黑体" w:eastAsia="黑体"/>
          <w:sz w:val="32"/>
          <w:szCs w:val="32"/>
        </w:rPr>
        <w:t>二、绩效评价工作开展情况</w:t>
      </w:r>
    </w:p>
    <w:p>
      <w:pPr>
        <w:spacing w:line="60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0"/>
        <w:widowControl w:val="0"/>
        <w:spacing w:line="60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1、绩效评价的目的</w:t>
      </w:r>
    </w:p>
    <w:p>
      <w:p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3"/>
        </w:num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spacing w:line="600" w:lineRule="exact"/>
        <w:ind w:left="641"/>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0"/>
        <w:widowControl w:val="0"/>
        <w:spacing w:line="600" w:lineRule="exact"/>
        <w:ind w:firstLine="641"/>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lang w:val="en-US" w:eastAsia="zh-CN"/>
        </w:rPr>
        <w:t>2、</w:t>
      </w:r>
      <w:r>
        <w:rPr>
          <w:rFonts w:hint="eastAsia" w:ascii="仿宋_GB2312" w:hAnsi="仿宋_GB2312" w:eastAsia="仿宋_GB2312" w:cs="仿宋_GB2312"/>
          <w:b w:val="0"/>
          <w:bCs w:val="0"/>
        </w:rPr>
        <w:t>绩效评价的对象</w:t>
      </w:r>
    </w:p>
    <w:p>
      <w:pPr>
        <w:spacing w:line="600" w:lineRule="exact"/>
        <w:ind w:firstLine="641"/>
        <w:rPr>
          <w:rFonts w:hint="default" w:eastAsia="宋体"/>
          <w:lang w:val="en-US" w:eastAsia="zh-CN"/>
        </w:rPr>
      </w:pPr>
      <w:r>
        <w:rPr>
          <w:rFonts w:hint="eastAsia" w:ascii="仿宋_GB2312" w:hAnsi="仿宋_GB2312" w:eastAsia="仿宋_GB2312" w:cs="仿宋_GB2312"/>
          <w:sz w:val="32"/>
          <w:szCs w:val="32"/>
          <w:lang w:val="en-US" w:eastAsia="zh-CN"/>
        </w:rPr>
        <w:t>评价对象为</w:t>
      </w:r>
      <w:r>
        <w:rPr>
          <w:rFonts w:hint="eastAsia" w:ascii="仿宋_GB2312" w:hAnsi="仿宋_GB2312" w:eastAsia="仿宋_GB2312" w:cs="仿宋_GB2312"/>
          <w:sz w:val="32"/>
          <w:szCs w:val="32"/>
        </w:rPr>
        <w:t>辽塔县市农业科技示范基地建设</w:t>
      </w:r>
      <w:r>
        <w:rPr>
          <w:rFonts w:hint="eastAsia" w:ascii="仿宋_GB2312" w:hAnsi="仿宋_GB2312" w:eastAsia="仿宋_GB2312" w:cs="仿宋_GB2312"/>
          <w:sz w:val="32"/>
          <w:szCs w:val="32"/>
          <w:lang w:val="en-US" w:eastAsia="zh-CN"/>
        </w:rPr>
        <w:t>项目。</w:t>
      </w:r>
    </w:p>
    <w:p>
      <w:pPr>
        <w:pStyle w:val="20"/>
        <w:widowControl w:val="0"/>
        <w:spacing w:line="600" w:lineRule="exact"/>
        <w:ind w:firstLine="641"/>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lang w:val="en-US" w:eastAsia="zh-CN"/>
        </w:rPr>
        <w:t>3、</w:t>
      </w:r>
      <w:r>
        <w:rPr>
          <w:rFonts w:hint="eastAsia" w:ascii="仿宋_GB2312" w:hAnsi="仿宋_GB2312" w:eastAsia="仿宋_GB2312" w:cs="仿宋_GB2312"/>
          <w:b w:val="0"/>
          <w:bCs w:val="0"/>
        </w:rPr>
        <w:t>绩效评价的范围</w:t>
      </w:r>
    </w:p>
    <w:p>
      <w:pPr>
        <w:numPr>
          <w:ilvl w:val="0"/>
          <w:numId w:val="0"/>
        </w:numPr>
        <w:ind w:firstLine="640" w:firstLineChars="200"/>
        <w:rPr>
          <w:rFonts w:hint="default" w:eastAsia="宋体"/>
          <w:lang w:val="en-US" w:eastAsia="zh-CN"/>
        </w:rPr>
      </w:pPr>
      <w:r>
        <w:rPr>
          <w:rFonts w:hint="eastAsia" w:ascii="仿宋_GB2312" w:hAnsi="仿宋_GB2312" w:eastAsia="仿宋_GB2312" w:cs="仿宋_GB2312"/>
          <w:sz w:val="32"/>
          <w:szCs w:val="32"/>
          <w:lang w:val="en-US" w:eastAsia="zh-CN"/>
        </w:rPr>
        <w:t>评价的范围为</w:t>
      </w:r>
      <w:r>
        <w:rPr>
          <w:rFonts w:hint="eastAsia" w:ascii="仿宋_GB2312" w:hAnsi="仿宋_GB2312" w:eastAsia="仿宋_GB2312" w:cs="仿宋_GB2312"/>
          <w:sz w:val="32"/>
          <w:szCs w:val="32"/>
        </w:rPr>
        <w:t>辽塔县市农业科技示范基地建设</w:t>
      </w:r>
      <w:r>
        <w:rPr>
          <w:rFonts w:hint="eastAsia" w:ascii="仿宋_GB2312" w:hAnsi="仿宋_GB2312" w:eastAsia="仿宋_GB2312" w:cs="仿宋_GB2312"/>
          <w:sz w:val="32"/>
          <w:szCs w:val="32"/>
          <w:lang w:val="en-US" w:eastAsia="zh-CN"/>
        </w:rPr>
        <w:t>项目的项目决策、项目过程、项目产出、项目效益等方面来进行评价。</w:t>
      </w:r>
    </w:p>
    <w:p>
      <w:pPr>
        <w:spacing w:line="600" w:lineRule="exact"/>
        <w:ind w:firstLine="641"/>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0"/>
        <w:widowControl w:val="0"/>
        <w:spacing w:line="60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1、绩效评价原则</w:t>
      </w:r>
    </w:p>
    <w:p>
      <w:pPr>
        <w:spacing w:line="600" w:lineRule="exact"/>
        <w:ind w:firstLine="641"/>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（1）科学公正。绩效评价应当运用科学合理的方法，按照规范的程序，对项目绩效进行客观、公正的反映。</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（2）统筹兼顾。单位自评、部门评价和财政评价应职责明确，各有侧重，相互衔接。单位自评应由项目单位自主实施，即“谁支出、谁自评”。部门评价和财政评价应在单位自评的基础上开展。</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（3）激励约束。绩效评价结果应与预算安排、政策调整、改进管理实质性挂钩，体现奖优罚劣和激励相容导向，有效要安排、低效要压减、无效要问责。</w:t>
      </w:r>
    </w:p>
    <w:p>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（4）公开透明。绩效评价结果应依法依规公开，并自觉接受社会监督。</w:t>
      </w:r>
    </w:p>
    <w:p>
      <w:pPr>
        <w:pStyle w:val="20"/>
        <w:widowControl w:val="0"/>
        <w:spacing w:line="60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2、评价指标体系</w:t>
      </w:r>
    </w:p>
    <w:p>
      <w:pPr>
        <w:spacing w:line="600" w:lineRule="exact"/>
        <w:ind w:firstLine="641"/>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、项目产出、项目效益、项目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指标四个维度，最终形成一个由多个相互联系的指标组成的多层次指标体系。</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spacing w:line="600" w:lineRule="exact"/>
        <w:ind w:firstLine="641"/>
        <w:rPr>
          <w:rFonts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权重</w:t>
      </w:r>
      <w:r>
        <w:rPr>
          <w:rFonts w:hint="eastAsia" w:ascii="仿宋_GB2312" w:hAnsi="仿宋_GB2312" w:eastAsia="仿宋_GB2312" w:cs="仿宋_GB2312"/>
          <w:color w:val="000000"/>
          <w:spacing w:val="17"/>
          <w:sz w:val="32"/>
          <w:szCs w:val="32"/>
          <w:highlight w:val="none"/>
        </w:rPr>
        <w:t>为</w:t>
      </w:r>
      <w:r>
        <w:rPr>
          <w:rFonts w:hint="eastAsia" w:ascii="仿宋_GB2312" w:hAnsi="仿宋_GB2312" w:eastAsia="仿宋_GB2312" w:cs="仿宋_GB2312"/>
          <w:color w:val="000000"/>
          <w:spacing w:val="17"/>
          <w:sz w:val="32"/>
          <w:szCs w:val="32"/>
          <w:highlight w:val="none"/>
          <w:lang w:val="en-US" w:eastAsia="zh-CN"/>
        </w:rPr>
        <w:t>5分</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权重值占</w:t>
      </w:r>
      <w:r>
        <w:rPr>
          <w:rFonts w:hint="eastAsia" w:ascii="仿宋_GB2312" w:hAnsi="仿宋_GB2312" w:eastAsia="仿宋_GB2312" w:cs="仿宋_GB2312"/>
          <w:color w:val="000000"/>
          <w:spacing w:val="17"/>
          <w:sz w:val="32"/>
          <w:szCs w:val="32"/>
          <w:highlight w:val="none"/>
          <w:lang w:val="en-US" w:eastAsia="zh-CN"/>
        </w:rPr>
        <w:t>5分</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产出</w:t>
      </w:r>
      <w:r>
        <w:rPr>
          <w:rFonts w:hint="eastAsia" w:ascii="仿宋_GB2312" w:hAnsi="仿宋_GB2312" w:eastAsia="仿宋_GB2312" w:cs="仿宋_GB2312"/>
          <w:color w:val="000000"/>
          <w:spacing w:val="17"/>
          <w:sz w:val="32"/>
          <w:szCs w:val="32"/>
          <w:highlight w:val="none"/>
        </w:rPr>
        <w:t>权重值占</w:t>
      </w:r>
      <w:r>
        <w:rPr>
          <w:rFonts w:hint="eastAsia" w:ascii="仿宋_GB2312" w:hAnsi="仿宋_GB2312" w:eastAsia="仿宋_GB2312" w:cs="仿宋_GB2312"/>
          <w:color w:val="000000"/>
          <w:spacing w:val="17"/>
          <w:sz w:val="32"/>
          <w:szCs w:val="32"/>
          <w:highlight w:val="none"/>
          <w:lang w:val="en-US" w:eastAsia="zh-CN"/>
        </w:rPr>
        <w:t>50分</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效益</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40分</w:t>
      </w:r>
      <w:r>
        <w:rPr>
          <w:rFonts w:hint="eastAsia" w:ascii="仿宋_GB2312" w:hAnsi="仿宋_GB2312" w:eastAsia="仿宋_GB2312" w:cs="仿宋_GB2312"/>
          <w:color w:val="000000"/>
          <w:spacing w:val="17"/>
          <w:sz w:val="32"/>
          <w:szCs w:val="32"/>
          <w:highlight w:val="none"/>
        </w:rPr>
        <w:t>。</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0"/>
        <w:spacing w:line="600" w:lineRule="exact"/>
        <w:ind w:firstLine="708" w:firstLineChars="2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0"/>
        <w:widowControl w:val="0"/>
        <w:spacing w:line="600" w:lineRule="exact"/>
        <w:jc w:val="both"/>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0"/>
        <w:widowControl w:val="0"/>
        <w:spacing w:line="60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3、绩效评价方法</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spacing w:line="60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0"/>
        <w:widowControl w:val="0"/>
        <w:spacing w:line="600" w:lineRule="exact"/>
        <w:ind w:firstLine="641"/>
        <w:jc w:val="both"/>
        <w:outlineLvl w:val="9"/>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4、评价标准</w:t>
      </w:r>
    </w:p>
    <w:p>
      <w:pPr>
        <w:spacing w:line="600" w:lineRule="exact"/>
        <w:ind w:firstLine="641"/>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pPr>
        <w:pStyle w:val="20"/>
        <w:numPr>
          <w:ilvl w:val="0"/>
          <w:numId w:val="4"/>
        </w:numPr>
        <w:jc w:val="both"/>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绩效评价工作过程</w:t>
      </w:r>
    </w:p>
    <w:p>
      <w:pPr>
        <w:spacing w:line="600" w:lineRule="exact"/>
        <w:ind w:firstLine="641"/>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600" w:lineRule="exact"/>
        <w:ind w:firstLine="641"/>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600" w:lineRule="exact"/>
        <w:ind w:firstLine="641"/>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5"/>
        </w:numPr>
        <w:spacing w:line="600" w:lineRule="exact"/>
        <w:ind w:firstLine="641"/>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0"/>
        <w:widowControl w:val="0"/>
        <w:spacing w:line="600" w:lineRule="exact"/>
        <w:ind w:firstLine="641"/>
        <w:jc w:val="both"/>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 xml:space="preserve">对辽塔县市农业科技示范基地建设项目进行客观评价，最终评分结果：总得分为 </w:t>
      </w:r>
      <w:r>
        <w:rPr>
          <w:rFonts w:hint="eastAsia" w:ascii="仿宋_GB2312" w:hAnsi="仿宋_GB2312" w:eastAsia="仿宋_GB2312" w:cs="仿宋_GB2312"/>
          <w:b w:val="0"/>
          <w:bCs w:val="0"/>
          <w:highlight w:val="none"/>
          <w:lang w:val="en-US" w:eastAsia="zh-CN"/>
        </w:rPr>
        <w:t>96</w:t>
      </w:r>
      <w:r>
        <w:rPr>
          <w:rFonts w:hint="eastAsia" w:ascii="仿宋_GB2312" w:hAnsi="仿宋_GB2312" w:eastAsia="仿宋_GB2312" w:cs="仿宋_GB2312"/>
          <w:b w:val="0"/>
          <w:bCs w:val="0"/>
          <w:highlight w:val="none"/>
        </w:rPr>
        <w:t>分，属于“优”。其中，项目决策类指标权重为5分，得分为 5分，得分率为 100%。项目过程类指标权重为5分，得分为5 分，得分率为 100%。项目产出类指标权重为</w:t>
      </w:r>
      <w:r>
        <w:rPr>
          <w:rFonts w:hint="eastAsia" w:ascii="仿宋_GB2312" w:hAnsi="仿宋_GB2312" w:eastAsia="仿宋_GB2312" w:cs="仿宋_GB2312"/>
          <w:b w:val="0"/>
          <w:bCs w:val="0"/>
          <w:highlight w:val="none"/>
          <w:lang w:val="en-US" w:eastAsia="zh-CN"/>
        </w:rPr>
        <w:t>50</w:t>
      </w:r>
      <w:r>
        <w:rPr>
          <w:rFonts w:hint="eastAsia" w:ascii="仿宋_GB2312" w:hAnsi="仿宋_GB2312" w:eastAsia="仿宋_GB2312" w:cs="仿宋_GB2312"/>
          <w:b w:val="0"/>
          <w:bCs w:val="0"/>
          <w:highlight w:val="none"/>
        </w:rPr>
        <w:t>分，得分为</w:t>
      </w:r>
      <w:r>
        <w:rPr>
          <w:rFonts w:hint="eastAsia" w:ascii="仿宋_GB2312" w:hAnsi="仿宋_GB2312" w:eastAsia="仿宋_GB2312" w:cs="仿宋_GB2312"/>
          <w:b w:val="0"/>
          <w:bCs w:val="0"/>
          <w:highlight w:val="none"/>
          <w:lang w:val="en-US" w:eastAsia="zh-CN"/>
        </w:rPr>
        <w:t>46</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92</w:t>
      </w:r>
      <w:r>
        <w:rPr>
          <w:rFonts w:hint="eastAsia" w:ascii="仿宋_GB2312" w:hAnsi="仿宋_GB2312" w:eastAsia="仿宋_GB2312" w:cs="仿宋_GB2312"/>
          <w:b w:val="0"/>
          <w:bCs w:val="0"/>
          <w:highlight w:val="none"/>
        </w:rPr>
        <w:t>%。项目效益类指标权重为40分，得分为38分，得分率为 95%。</w:t>
      </w:r>
    </w:p>
    <w:p>
      <w:pPr>
        <w:pStyle w:val="20"/>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tbl>
      <w:tblPr>
        <w:tblStyle w:val="22"/>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keepNext w:val="0"/>
              <w:keepLines w:val="0"/>
              <w:widowControl/>
              <w:suppressLineNumbers w:val="0"/>
              <w:spacing w:before="0" w:beforeAutospacing="0" w:after="0" w:afterAutospacing="0" w:line="0" w:lineRule="atLeast"/>
              <w:ind w:left="0" w:right="0"/>
              <w:rPr>
                <w:rFonts w:hint="default"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keepNext w:val="0"/>
              <w:keepLines w:val="0"/>
              <w:widowControl/>
              <w:suppressLineNumbers w:val="0"/>
              <w:tabs>
                <w:tab w:val="left" w:pos="1333"/>
                <w:tab w:val="center" w:pos="3623"/>
              </w:tabs>
              <w:spacing w:before="0" w:beforeAutospacing="0" w:after="0" w:afterAutospacing="0" w:line="0" w:lineRule="atLeast"/>
              <w:ind w:left="0" w:right="0"/>
              <w:jc w:val="center"/>
              <w:rPr>
                <w:rFonts w:hint="default"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keepNext w:val="0"/>
              <w:keepLines w:val="0"/>
              <w:widowControl/>
              <w:suppressLineNumbers w:val="0"/>
              <w:tabs>
                <w:tab w:val="left" w:pos="1333"/>
                <w:tab w:val="center" w:pos="3623"/>
              </w:tabs>
              <w:spacing w:before="0" w:beforeAutospacing="0" w:after="0" w:afterAutospacing="0" w:line="0" w:lineRule="atLeast"/>
              <w:ind w:left="0" w:right="0"/>
              <w:jc w:val="center"/>
              <w:rPr>
                <w:rFonts w:hint="default"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keepNext w:val="0"/>
              <w:keepLines w:val="0"/>
              <w:widowControl/>
              <w:suppressLineNumbers w:val="0"/>
              <w:tabs>
                <w:tab w:val="left" w:pos="1333"/>
                <w:tab w:val="center" w:pos="3623"/>
              </w:tabs>
              <w:spacing w:before="0" w:beforeAutospacing="0" w:after="0" w:afterAutospacing="0" w:line="0" w:lineRule="atLeast"/>
              <w:ind w:left="0" w:right="0"/>
              <w:jc w:val="center"/>
              <w:rPr>
                <w:rFonts w:hint="default"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keepNext w:val="0"/>
              <w:keepLines w:val="0"/>
              <w:widowControl/>
              <w:suppressLineNumbers w:val="0"/>
              <w:tabs>
                <w:tab w:val="left" w:pos="1333"/>
                <w:tab w:val="center" w:pos="3623"/>
              </w:tabs>
              <w:spacing w:before="0" w:beforeAutospacing="0" w:after="0" w:afterAutospacing="0" w:line="0" w:lineRule="atLeast"/>
              <w:ind w:left="0" w:right="0"/>
              <w:jc w:val="center"/>
              <w:rPr>
                <w:rFonts w:hint="default"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决策　</w:t>
            </w:r>
          </w:p>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　</w:t>
            </w:r>
          </w:p>
          <w:p>
            <w:pPr>
              <w:keepNext w:val="0"/>
              <w:keepLines w:val="0"/>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　</w:t>
            </w:r>
          </w:p>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立项依据</w:t>
            </w:r>
          </w:p>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924"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215"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960"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990"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283"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立项程序</w:t>
            </w:r>
          </w:p>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0.5</w:t>
            </w:r>
          </w:p>
        </w:tc>
        <w:tc>
          <w:tcPr>
            <w:tcW w:w="960"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990"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283" w:type="dxa"/>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绩效目标</w:t>
            </w:r>
          </w:p>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1</w:t>
            </w:r>
          </w:p>
        </w:tc>
        <w:tc>
          <w:tcPr>
            <w:tcW w:w="1044"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60"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990"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283"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绩效指标</w:t>
            </w:r>
          </w:p>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044"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60"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990" w:type="dxa"/>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283" w:type="dxa"/>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预算编制</w:t>
            </w:r>
          </w:p>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60"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990"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283"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资金分配</w:t>
            </w:r>
          </w:p>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60" w:type="dxa"/>
            <w:shd w:val="clear" w:color="auto"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过程</w:t>
            </w:r>
          </w:p>
          <w:p>
            <w:pPr>
              <w:keepNext w:val="0"/>
              <w:keepLines w:val="0"/>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60"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990" w:type="dxa"/>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283" w:type="dxa"/>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lang w:val="en-US"/>
              </w:rPr>
            </w:pPr>
            <w:r>
              <w:rPr>
                <w:rFonts w:hint="default" w:ascii="宋体" w:hAnsi="宋体" w:cs="宋体"/>
                <w:color w:val="000000"/>
                <w:kern w:val="0"/>
                <w:sz w:val="22"/>
                <w:szCs w:val="22"/>
                <w:lang w:val="en-US"/>
              </w:rPr>
              <w:t>1</w:t>
            </w:r>
          </w:p>
        </w:tc>
        <w:tc>
          <w:tcPr>
            <w:tcW w:w="1044"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60"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宋体" w:hAnsi="宋体" w:cs="宋体"/>
                <w:color w:val="0000FF"/>
                <w:kern w:val="0"/>
                <w:sz w:val="22"/>
                <w:szCs w:val="22"/>
              </w:rPr>
            </w:pPr>
          </w:p>
        </w:tc>
        <w:tc>
          <w:tcPr>
            <w:tcW w:w="990"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FF"/>
                <w:kern w:val="0"/>
                <w:sz w:val="22"/>
                <w:szCs w:val="22"/>
              </w:rPr>
            </w:pPr>
          </w:p>
        </w:tc>
        <w:tc>
          <w:tcPr>
            <w:tcW w:w="1283"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auto"/>
                <w:kern w:val="0"/>
                <w:sz w:val="22"/>
                <w:szCs w:val="22"/>
              </w:rPr>
            </w:pPr>
            <w:r>
              <w:rPr>
                <w:rFonts w:hint="eastAsia" w:ascii="宋体" w:hAnsi="宋体" w:cs="宋体"/>
                <w:color w:val="auto"/>
                <w:kern w:val="0"/>
                <w:sz w:val="22"/>
                <w:szCs w:val="22"/>
              </w:rPr>
              <w:t>资金管理</w:t>
            </w: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auto"/>
                <w:kern w:val="0"/>
                <w:sz w:val="22"/>
                <w:szCs w:val="22"/>
              </w:rPr>
            </w:pPr>
            <w:r>
              <w:rPr>
                <w:rFonts w:hint="eastAsia" w:ascii="宋体" w:hAnsi="宋体" w:cs="宋体"/>
                <w:color w:val="auto"/>
                <w:kern w:val="0"/>
                <w:sz w:val="22"/>
                <w:szCs w:val="22"/>
              </w:rPr>
              <w:t>资金使用</w:t>
            </w:r>
          </w:p>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auto"/>
                <w:kern w:val="0"/>
                <w:sz w:val="22"/>
                <w:szCs w:val="22"/>
              </w:rPr>
            </w:pPr>
            <w:r>
              <w:rPr>
                <w:rFonts w:hint="eastAsia" w:ascii="宋体" w:hAnsi="宋体" w:cs="宋体"/>
                <w:color w:val="auto"/>
                <w:kern w:val="0"/>
                <w:sz w:val="22"/>
                <w:szCs w:val="22"/>
              </w:rPr>
              <w:t>合规性</w:t>
            </w:r>
          </w:p>
        </w:tc>
        <w:tc>
          <w:tcPr>
            <w:tcW w:w="727"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FF"/>
                <w:kern w:val="0"/>
                <w:sz w:val="22"/>
                <w:szCs w:val="22"/>
              </w:rPr>
            </w:pPr>
            <w:r>
              <w:rPr>
                <w:rFonts w:hint="eastAsia" w:ascii="宋体" w:hAnsi="宋体" w:cs="宋体"/>
                <w:color w:val="0000FF"/>
                <w:kern w:val="0"/>
                <w:sz w:val="22"/>
                <w:szCs w:val="22"/>
              </w:rPr>
              <w:t>1</w:t>
            </w:r>
          </w:p>
        </w:tc>
        <w:tc>
          <w:tcPr>
            <w:tcW w:w="104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FF"/>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FF"/>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FF"/>
                <w:kern w:val="0"/>
                <w:sz w:val="22"/>
                <w:szCs w:val="22"/>
              </w:rPr>
            </w:pPr>
            <w:r>
              <w:rPr>
                <w:rFonts w:hint="eastAsia" w:ascii="宋体" w:hAnsi="宋体" w:cs="宋体"/>
                <w:color w:val="000000"/>
                <w:kern w:val="0"/>
                <w:sz w:val="22"/>
                <w:szCs w:val="22"/>
              </w:rPr>
              <w:t>1</w:t>
            </w:r>
          </w:p>
        </w:tc>
        <w:tc>
          <w:tcPr>
            <w:tcW w:w="960"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FF"/>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宋体" w:hAnsi="宋体" w:cs="宋体"/>
                <w:color w:val="0000FF"/>
                <w:kern w:val="0"/>
                <w:sz w:val="22"/>
                <w:szCs w:val="22"/>
              </w:rPr>
            </w:pPr>
          </w:p>
        </w:tc>
        <w:tc>
          <w:tcPr>
            <w:tcW w:w="990" w:type="dxa"/>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宋体" w:hAnsi="宋体" w:cs="宋体"/>
                <w:color w:val="0000FF"/>
                <w:kern w:val="0"/>
                <w:sz w:val="22"/>
                <w:szCs w:val="22"/>
              </w:rPr>
            </w:pPr>
          </w:p>
        </w:tc>
        <w:tc>
          <w:tcPr>
            <w:tcW w:w="1283" w:type="dxa"/>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auto"/>
                <w:kern w:val="0"/>
                <w:sz w:val="22"/>
                <w:szCs w:val="22"/>
              </w:rPr>
            </w:pPr>
            <w:r>
              <w:rPr>
                <w:rFonts w:hint="eastAsia" w:ascii="宋体" w:hAnsi="宋体" w:cs="宋体"/>
                <w:color w:val="auto"/>
                <w:kern w:val="0"/>
                <w:sz w:val="22"/>
                <w:szCs w:val="22"/>
              </w:rPr>
              <w:t>组织实施</w:t>
            </w: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auto"/>
                <w:kern w:val="0"/>
                <w:sz w:val="22"/>
                <w:szCs w:val="22"/>
              </w:rPr>
            </w:pPr>
            <w:r>
              <w:rPr>
                <w:rFonts w:hint="eastAsia" w:ascii="宋体" w:hAnsi="宋体" w:cs="宋体"/>
                <w:color w:val="auto"/>
                <w:kern w:val="0"/>
                <w:sz w:val="22"/>
                <w:szCs w:val="22"/>
              </w:rPr>
              <w:t>管理制度</w:t>
            </w:r>
          </w:p>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auto"/>
                <w:kern w:val="0"/>
                <w:sz w:val="22"/>
                <w:szCs w:val="22"/>
              </w:rPr>
            </w:pPr>
            <w:r>
              <w:rPr>
                <w:rFonts w:hint="eastAsia" w:ascii="宋体" w:hAnsi="宋体" w:cs="宋体"/>
                <w:color w:val="auto"/>
                <w:kern w:val="0"/>
                <w:sz w:val="22"/>
                <w:szCs w:val="22"/>
              </w:rPr>
              <w:t>健全性</w:t>
            </w:r>
          </w:p>
        </w:tc>
        <w:tc>
          <w:tcPr>
            <w:tcW w:w="727"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FF"/>
                <w:kern w:val="0"/>
                <w:sz w:val="22"/>
                <w:szCs w:val="22"/>
              </w:rPr>
            </w:pPr>
            <w:r>
              <w:rPr>
                <w:rFonts w:hint="eastAsia" w:ascii="宋体" w:hAnsi="宋体" w:cs="宋体"/>
                <w:color w:val="0000FF"/>
                <w:kern w:val="0"/>
                <w:sz w:val="22"/>
                <w:szCs w:val="22"/>
              </w:rPr>
              <w:t>1</w:t>
            </w:r>
          </w:p>
        </w:tc>
        <w:tc>
          <w:tcPr>
            <w:tcW w:w="104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FF"/>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FF"/>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FF"/>
                <w:kern w:val="0"/>
                <w:sz w:val="22"/>
                <w:szCs w:val="22"/>
              </w:rPr>
            </w:pPr>
            <w:r>
              <w:rPr>
                <w:rFonts w:hint="eastAsia" w:ascii="宋体" w:hAnsi="宋体" w:cs="宋体"/>
                <w:color w:val="000000"/>
                <w:kern w:val="0"/>
                <w:sz w:val="22"/>
                <w:szCs w:val="22"/>
              </w:rPr>
              <w:t>1</w:t>
            </w:r>
          </w:p>
        </w:tc>
        <w:tc>
          <w:tcPr>
            <w:tcW w:w="960"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FF"/>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990"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283"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制度执行</w:t>
            </w:r>
          </w:p>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w:t>
            </w:r>
          </w:p>
        </w:tc>
        <w:tc>
          <w:tcPr>
            <w:tcW w:w="960"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15</w:t>
            </w:r>
          </w:p>
        </w:tc>
        <w:tc>
          <w:tcPr>
            <w:tcW w:w="960"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rPr>
              <w:t>1</w:t>
            </w:r>
            <w:r>
              <w:rPr>
                <w:rFonts w:hint="eastAsia" w:ascii="宋体" w:hAnsi="宋体"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990"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283"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10</w:t>
            </w:r>
          </w:p>
        </w:tc>
        <w:tc>
          <w:tcPr>
            <w:tcW w:w="960"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990" w:type="dxa"/>
            <w:vMerge w:val="continue"/>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283" w:type="dxa"/>
            <w:shd w:val="clear" w:color="auto" w:fill="FFFFFF"/>
            <w:vAlign w:val="center"/>
          </w:tcPr>
          <w:p>
            <w:pPr>
              <w:keepNext w:val="0"/>
              <w:keepLines w:val="0"/>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15</w:t>
            </w:r>
          </w:p>
        </w:tc>
        <w:tc>
          <w:tcPr>
            <w:tcW w:w="960"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rPr>
              <w:t>1</w:t>
            </w:r>
            <w:r>
              <w:rPr>
                <w:rFonts w:hint="eastAsia" w:ascii="宋体" w:hAnsi="宋体"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990"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283"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10</w:t>
            </w:r>
          </w:p>
        </w:tc>
        <w:tc>
          <w:tcPr>
            <w:tcW w:w="960"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实施效益</w:t>
            </w:r>
          </w:p>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30</w:t>
            </w:r>
          </w:p>
        </w:tc>
        <w:tc>
          <w:tcPr>
            <w:tcW w:w="924" w:type="dxa"/>
            <w:shd w:val="clear" w:color="auto"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30</w:t>
            </w:r>
          </w:p>
        </w:tc>
        <w:tc>
          <w:tcPr>
            <w:tcW w:w="1215" w:type="dxa"/>
            <w:shd w:val="clear" w:color="auto"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30</w:t>
            </w:r>
          </w:p>
        </w:tc>
        <w:tc>
          <w:tcPr>
            <w:tcW w:w="960" w:type="dxa"/>
            <w:shd w:val="clear" w:color="auto"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990"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283" w:type="dxa"/>
            <w:vMerge w:val="continue"/>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p>
        </w:tc>
        <w:tc>
          <w:tcPr>
            <w:tcW w:w="1707" w:type="dxa"/>
            <w:shd w:val="clear" w:color="auto"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10</w:t>
            </w:r>
          </w:p>
        </w:tc>
        <w:tc>
          <w:tcPr>
            <w:tcW w:w="960" w:type="dxa"/>
            <w:shd w:val="clear" w:color="000000" w:fill="FFFFFF"/>
            <w:vAlign w:val="center"/>
          </w:tcPr>
          <w:p>
            <w:pPr>
              <w:keepNext w:val="0"/>
              <w:keepLines w:val="0"/>
              <w:widowControl/>
              <w:suppressLineNumbers w:val="0"/>
              <w:spacing w:before="0" w:beforeAutospacing="0" w:after="0" w:afterAutospacing="0" w:line="0" w:lineRule="atLeast"/>
              <w:ind w:left="0" w:leftChars="0" w:right="0" w:rightChars="0"/>
              <w:jc w:val="center"/>
              <w:rPr>
                <w:rFonts w:hint="default" w:ascii="宋体" w:hAnsi="宋体" w:cs="宋体"/>
                <w:color w:val="000000"/>
                <w:kern w:val="0"/>
                <w:sz w:val="22"/>
                <w:szCs w:val="22"/>
              </w:rPr>
            </w:pPr>
            <w:r>
              <w:rPr>
                <w:rFonts w:hint="eastAsia" w:ascii="宋体" w:hAnsi="宋体" w:cs="宋体"/>
                <w:color w:val="000000"/>
                <w:kern w:val="0"/>
                <w:sz w:val="22"/>
                <w:szCs w:val="22"/>
              </w:rPr>
              <w:t>10</w:t>
            </w:r>
          </w:p>
        </w:tc>
      </w:tr>
    </w:tbl>
    <w:p>
      <w:pPr>
        <w:spacing w:line="600" w:lineRule="exact"/>
        <w:ind w:firstLine="320" w:firstLineChars="100"/>
        <w:rPr>
          <w:rFonts w:ascii="黑体" w:hAnsi="黑体" w:eastAsia="黑体"/>
          <w:sz w:val="32"/>
          <w:szCs w:val="32"/>
        </w:rPr>
      </w:pPr>
      <w:r>
        <w:rPr>
          <w:rFonts w:hint="eastAsia" w:ascii="黑体" w:hAnsi="黑体" w:eastAsia="黑体"/>
          <w:sz w:val="32"/>
          <w:szCs w:val="32"/>
        </w:rPr>
        <w:t>四、绩效评价指标分析</w:t>
      </w:r>
    </w:p>
    <w:p>
      <w:pPr>
        <w:pStyle w:val="20"/>
        <w:ind w:firstLine="321" w:firstLineChars="100"/>
        <w:jc w:val="both"/>
        <w:rPr>
          <w:rFonts w:hint="eastAsia" w:ascii="楷体_GB2312" w:hAnsi="楷体_GB2312" w:eastAsia="楷体_GB2312" w:cs="楷体_GB2312"/>
        </w:rPr>
      </w:pPr>
      <w:r>
        <w:rPr>
          <w:rFonts w:hint="eastAsia" w:ascii="楷体_GB2312" w:hAnsi="楷体_GB2312" w:eastAsia="楷体_GB2312" w:cs="楷体_GB2312"/>
        </w:rPr>
        <w:t>（一）项目决策情况</w:t>
      </w:r>
    </w:p>
    <w:p>
      <w:pPr>
        <w:ind w:firstLine="320" w:firstLineChars="1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依据评分表中项目决策情况描述：</w:t>
      </w:r>
      <w:r>
        <w:rPr>
          <w:rFonts w:hint="eastAsia" w:ascii="仿宋" w:hAnsi="仿宋" w:eastAsia="仿宋" w:cs="仿宋"/>
          <w:color w:val="000000"/>
          <w:kern w:val="0"/>
          <w:sz w:val="32"/>
          <w:szCs w:val="32"/>
        </w:rPr>
        <w:t>项目立项符合国家法律法规、国民经济发展规划和相关政策；符合行业发展规划和政策要求；与部门职责范围相符，属于部门履职所需；</w:t>
      </w:r>
      <w:r>
        <w:rPr>
          <w:rFonts w:hint="eastAsia" w:ascii="仿宋" w:hAnsi="仿宋" w:eastAsia="仿宋" w:cs="仿宋"/>
          <w:sz w:val="32"/>
          <w:szCs w:val="32"/>
          <w:lang w:val="en-US" w:eastAsia="zh-CN"/>
        </w:rPr>
        <w:t>项目决策指标权重为5分，其中：立项指标得分1分，绩效目标得分为2分，资金投入得分2分。</w:t>
      </w:r>
    </w:p>
    <w:p>
      <w:pPr>
        <w:pStyle w:val="20"/>
        <w:ind w:firstLine="321" w:firstLineChars="100"/>
        <w:jc w:val="both"/>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依据评分表中项目过程情况描述：项目</w:t>
      </w:r>
      <w:r>
        <w:rPr>
          <w:rFonts w:hint="eastAsia" w:ascii="仿宋" w:hAnsi="仿宋" w:eastAsia="仿宋" w:cs="仿宋"/>
          <w:color w:val="000000"/>
          <w:kern w:val="0"/>
          <w:sz w:val="32"/>
          <w:szCs w:val="32"/>
        </w:rPr>
        <w:t>实际到位资金与预算资金的比率，用以反映和考核资金落实情况对项目实施的总体保障程度。项目预算资金按照计划执行，用以反映或考核项目预算执行情况。</w:t>
      </w:r>
      <w:r>
        <w:rPr>
          <w:rFonts w:hint="eastAsia" w:ascii="仿宋" w:hAnsi="仿宋" w:eastAsia="仿宋" w:cs="仿宋"/>
          <w:sz w:val="32"/>
          <w:szCs w:val="32"/>
          <w:lang w:val="en-US" w:eastAsia="zh-CN"/>
        </w:rPr>
        <w:t>项目过程指标权重为5分，其中：资金管理得分3分，组织实施得分为2分。</w:t>
      </w:r>
    </w:p>
    <w:p>
      <w:pPr>
        <w:pStyle w:val="20"/>
        <w:ind w:firstLine="321" w:firstLineChars="100"/>
        <w:jc w:val="both"/>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w:t>
      </w:r>
      <w:r>
        <w:rPr>
          <w:rFonts w:hint="eastAsia" w:ascii="楷体_GB2312" w:hAnsi="楷体_GB2312" w:eastAsia="楷体_GB2312" w:cs="楷体_GB2312"/>
          <w:lang w:eastAsia="zh-CN"/>
        </w:rPr>
        <w:t>）项目产出：</w:t>
      </w:r>
    </w:p>
    <w:p>
      <w:pPr>
        <w:spacing w:line="540" w:lineRule="exact"/>
        <w:ind w:firstLine="312" w:firstLineChars="100"/>
        <w:rPr>
          <w:rStyle w:val="24"/>
          <w:rFonts w:hint="default" w:ascii="仿宋" w:hAnsi="仿宋" w:eastAsia="仿宋" w:cs="仿宋"/>
          <w:b w:val="0"/>
          <w:bCs/>
          <w:spacing w:val="-4"/>
          <w:sz w:val="32"/>
          <w:szCs w:val="32"/>
          <w:lang w:val="en-US" w:eastAsia="zh-CN"/>
        </w:rPr>
      </w:pPr>
      <w:r>
        <w:rPr>
          <w:rStyle w:val="24"/>
          <w:rFonts w:hint="eastAsia" w:ascii="仿宋" w:hAnsi="仿宋" w:eastAsia="仿宋" w:cs="仿宋"/>
          <w:b w:val="0"/>
          <w:bCs/>
          <w:spacing w:val="-4"/>
          <w:sz w:val="32"/>
          <w:szCs w:val="32"/>
        </w:rPr>
        <w:t>数量指标方面：</w:t>
      </w:r>
      <w:r>
        <w:rPr>
          <w:rStyle w:val="24"/>
          <w:rFonts w:hint="eastAsia" w:ascii="仿宋" w:hAnsi="仿宋" w:eastAsia="仿宋" w:cs="仿宋"/>
          <w:b w:val="0"/>
          <w:bCs/>
          <w:spacing w:val="-4"/>
          <w:sz w:val="32"/>
          <w:szCs w:val="32"/>
          <w:lang w:val="en-US" w:eastAsia="zh-CN"/>
        </w:rPr>
        <w:t>一是完成各项试验数量，年度指标值大于等于10项，实际完成值10项，分值5分，得分5分。二是示范推广绿色高校栽培技术师范面积，年度指标</w:t>
      </w:r>
      <w:r>
        <w:rPr>
          <w:rFonts w:hint="eastAsia" w:ascii="宋体" w:hAnsi="宋体" w:eastAsia="宋体" w:cs="宋体"/>
          <w:i w:val="0"/>
          <w:color w:val="000000"/>
          <w:kern w:val="0"/>
          <w:sz w:val="32"/>
          <w:szCs w:val="32"/>
          <w:u w:val="none"/>
          <w:lang w:val="en-US" w:eastAsia="zh-CN" w:bidi="ar"/>
        </w:rPr>
        <w:t>≥</w:t>
      </w:r>
      <w:r>
        <w:rPr>
          <w:rStyle w:val="24"/>
          <w:rFonts w:hint="eastAsia" w:ascii="仿宋" w:hAnsi="仿宋" w:eastAsia="仿宋" w:cs="仿宋"/>
          <w:b w:val="0"/>
          <w:bCs/>
          <w:spacing w:val="-4"/>
          <w:sz w:val="32"/>
          <w:szCs w:val="32"/>
          <w:lang w:val="en-US" w:eastAsia="zh-CN"/>
        </w:rPr>
        <w:t>500亩，实际完成500亩，分值5分，得分5分。三是指导培训咨询服务人数，年度指标值</w:t>
      </w:r>
      <w:r>
        <w:rPr>
          <w:rFonts w:hint="eastAsia" w:ascii="宋体" w:hAnsi="宋体" w:eastAsia="宋体" w:cs="宋体"/>
          <w:i w:val="0"/>
          <w:color w:val="000000"/>
          <w:kern w:val="0"/>
          <w:sz w:val="32"/>
          <w:szCs w:val="32"/>
          <w:u w:val="none"/>
          <w:lang w:val="en-US" w:eastAsia="zh-CN" w:bidi="ar"/>
        </w:rPr>
        <w:t>≥</w:t>
      </w:r>
      <w:r>
        <w:rPr>
          <w:rStyle w:val="24"/>
          <w:rFonts w:hint="eastAsia" w:ascii="仿宋" w:hAnsi="仿宋" w:eastAsia="仿宋" w:cs="仿宋"/>
          <w:b w:val="0"/>
          <w:bCs/>
          <w:spacing w:val="-4"/>
          <w:sz w:val="32"/>
          <w:szCs w:val="32"/>
          <w:lang w:val="en-US" w:eastAsia="zh-CN"/>
        </w:rPr>
        <w:t>200次，实际完成值200人次，分值5，得分5分。四是引进棉花、蔬菜、果树、玉米4种作物新品种，实际完成10种。五是发表相关论文2篇。分值5，得分5分。</w:t>
      </w:r>
    </w:p>
    <w:p>
      <w:pPr>
        <w:spacing w:line="540" w:lineRule="exact"/>
        <w:ind w:firstLine="640"/>
        <w:rPr>
          <w:rStyle w:val="53"/>
          <w:rFonts w:hint="default" w:ascii="仿宋" w:hAnsi="仿宋" w:eastAsia="仿宋" w:cs="仿宋"/>
          <w:b w:val="0"/>
          <w:bCs/>
          <w:color w:val="auto"/>
          <w:sz w:val="32"/>
          <w:szCs w:val="32"/>
          <w:lang w:val="en-US" w:eastAsia="zh-CN"/>
        </w:rPr>
      </w:pPr>
      <w:r>
        <w:rPr>
          <w:rStyle w:val="53"/>
          <w:rFonts w:hint="eastAsia" w:ascii="仿宋" w:hAnsi="仿宋" w:eastAsia="仿宋" w:cs="仿宋"/>
          <w:b w:val="0"/>
          <w:bCs/>
          <w:color w:val="auto"/>
          <w:sz w:val="32"/>
          <w:szCs w:val="32"/>
        </w:rPr>
        <w:t>质量指标方面：</w:t>
      </w:r>
      <w:r>
        <w:rPr>
          <w:rFonts w:hint="eastAsia" w:ascii="仿宋" w:hAnsi="仿宋" w:eastAsia="仿宋" w:cs="仿宋"/>
          <w:b w:val="0"/>
          <w:bCs/>
          <w:color w:val="000000"/>
          <w:kern w:val="0"/>
          <w:sz w:val="32"/>
          <w:szCs w:val="32"/>
          <w:lang w:val="en-US" w:eastAsia="zh-CN"/>
        </w:rPr>
        <w:t>一是符合项目示范规范标准，年度指标</w:t>
      </w:r>
      <w:r>
        <w:rPr>
          <w:rFonts w:hint="eastAsia" w:ascii="宋体" w:hAnsi="宋体" w:eastAsia="宋体" w:cs="宋体"/>
          <w:i w:val="0"/>
          <w:color w:val="000000"/>
          <w:kern w:val="0"/>
          <w:sz w:val="32"/>
          <w:szCs w:val="32"/>
          <w:u w:val="none"/>
          <w:lang w:val="en-US" w:eastAsia="zh-CN" w:bidi="ar"/>
        </w:rPr>
        <w:t>≥</w:t>
      </w:r>
      <w:r>
        <w:rPr>
          <w:rFonts w:hint="eastAsia" w:ascii="宋体" w:hAnsi="宋体" w:cs="宋体"/>
          <w:i w:val="0"/>
          <w:color w:val="000000"/>
          <w:kern w:val="0"/>
          <w:sz w:val="32"/>
          <w:szCs w:val="32"/>
          <w:u w:val="none"/>
          <w:lang w:val="en-US" w:eastAsia="zh-CN" w:bidi="ar"/>
        </w:rPr>
        <w:t>99%</w:t>
      </w:r>
      <w:r>
        <w:rPr>
          <w:rFonts w:hint="eastAsia" w:ascii="仿宋" w:hAnsi="仿宋" w:eastAsia="仿宋" w:cs="仿宋"/>
          <w:b w:val="0"/>
          <w:bCs/>
          <w:color w:val="000000"/>
          <w:kern w:val="0"/>
          <w:sz w:val="32"/>
          <w:szCs w:val="32"/>
          <w:lang w:val="en-US" w:eastAsia="zh-CN"/>
        </w:rPr>
        <w:t>，实际完成值</w:t>
      </w:r>
      <w:r>
        <w:rPr>
          <w:rFonts w:hint="eastAsia" w:ascii="宋体" w:hAnsi="宋体" w:cs="宋体"/>
          <w:i w:val="0"/>
          <w:color w:val="000000"/>
          <w:kern w:val="0"/>
          <w:sz w:val="32"/>
          <w:szCs w:val="32"/>
          <w:u w:val="none"/>
          <w:lang w:val="en-US" w:eastAsia="zh-CN" w:bidi="ar"/>
        </w:rPr>
        <w:t>98%</w:t>
      </w:r>
      <w:r>
        <w:rPr>
          <w:rFonts w:hint="eastAsia" w:ascii="仿宋" w:hAnsi="仿宋" w:eastAsia="仿宋" w:cs="仿宋"/>
          <w:b w:val="0"/>
          <w:bCs/>
          <w:color w:val="000000"/>
          <w:kern w:val="0"/>
          <w:sz w:val="32"/>
          <w:szCs w:val="32"/>
          <w:lang w:val="en-US" w:eastAsia="zh-CN"/>
        </w:rPr>
        <w:t>，分值5，得分5分。二是符合示范、推广、种植规范标准，年度指标值</w:t>
      </w:r>
      <w:r>
        <w:rPr>
          <w:rFonts w:hint="eastAsia" w:ascii="宋体" w:hAnsi="宋体" w:cs="宋体"/>
          <w:i w:val="0"/>
          <w:color w:val="000000"/>
          <w:kern w:val="0"/>
          <w:sz w:val="32"/>
          <w:szCs w:val="32"/>
          <w:u w:val="none"/>
          <w:lang w:val="en-US" w:eastAsia="zh-CN" w:bidi="ar"/>
        </w:rPr>
        <w:t>99%</w:t>
      </w:r>
      <w:r>
        <w:rPr>
          <w:rFonts w:hint="eastAsia" w:ascii="仿宋" w:hAnsi="仿宋" w:eastAsia="仿宋" w:cs="仿宋"/>
          <w:b w:val="0"/>
          <w:bCs/>
          <w:color w:val="000000"/>
          <w:kern w:val="0"/>
          <w:sz w:val="32"/>
          <w:szCs w:val="32"/>
          <w:lang w:val="en-US" w:eastAsia="zh-CN"/>
        </w:rPr>
        <w:t>，实际完成</w:t>
      </w:r>
      <w:r>
        <w:rPr>
          <w:rFonts w:hint="eastAsia" w:ascii="宋体" w:hAnsi="宋体" w:cs="宋体"/>
          <w:i w:val="0"/>
          <w:color w:val="000000"/>
          <w:kern w:val="0"/>
          <w:sz w:val="32"/>
          <w:szCs w:val="32"/>
          <w:u w:val="none"/>
          <w:lang w:val="en-US" w:eastAsia="zh-CN" w:bidi="ar"/>
        </w:rPr>
        <w:t>99%</w:t>
      </w:r>
      <w:r>
        <w:rPr>
          <w:rFonts w:hint="eastAsia" w:ascii="仿宋" w:hAnsi="仿宋" w:eastAsia="仿宋" w:cs="仿宋"/>
          <w:b w:val="0"/>
          <w:bCs/>
          <w:color w:val="000000"/>
          <w:kern w:val="0"/>
          <w:sz w:val="32"/>
          <w:szCs w:val="32"/>
          <w:lang w:val="en-US" w:eastAsia="zh-CN"/>
        </w:rPr>
        <w:t>，分值5，得分5分。三是试验示范完成程度，年度指标值为</w:t>
      </w:r>
      <w:r>
        <w:rPr>
          <w:rFonts w:hint="eastAsia" w:ascii="宋体" w:hAnsi="宋体" w:eastAsia="宋体" w:cs="宋体"/>
          <w:i w:val="0"/>
          <w:color w:val="000000"/>
          <w:kern w:val="0"/>
          <w:sz w:val="32"/>
          <w:szCs w:val="32"/>
          <w:u w:val="none"/>
          <w:lang w:val="en-US" w:eastAsia="zh-CN" w:bidi="ar"/>
        </w:rPr>
        <w:t>≥</w:t>
      </w:r>
      <w:r>
        <w:rPr>
          <w:rFonts w:hint="eastAsia" w:ascii="宋体" w:hAnsi="宋体" w:cs="宋体"/>
          <w:i w:val="0"/>
          <w:color w:val="000000"/>
          <w:kern w:val="0"/>
          <w:sz w:val="32"/>
          <w:szCs w:val="32"/>
          <w:u w:val="none"/>
          <w:lang w:val="en-US" w:eastAsia="zh-CN" w:bidi="ar"/>
        </w:rPr>
        <w:t>95%，</w:t>
      </w:r>
      <w:r>
        <w:rPr>
          <w:rFonts w:hint="eastAsia" w:ascii="仿宋" w:hAnsi="仿宋" w:eastAsia="仿宋" w:cs="仿宋"/>
          <w:b w:val="0"/>
          <w:bCs/>
          <w:color w:val="000000"/>
          <w:kern w:val="0"/>
          <w:sz w:val="32"/>
          <w:szCs w:val="32"/>
          <w:lang w:val="en-US" w:eastAsia="zh-CN"/>
        </w:rPr>
        <w:t>实际完成值</w:t>
      </w:r>
      <w:r>
        <w:rPr>
          <w:rFonts w:hint="eastAsia" w:ascii="宋体" w:hAnsi="宋体" w:cs="宋体"/>
          <w:i w:val="0"/>
          <w:color w:val="000000"/>
          <w:kern w:val="0"/>
          <w:sz w:val="32"/>
          <w:szCs w:val="32"/>
          <w:u w:val="none"/>
          <w:lang w:val="en-US" w:eastAsia="zh-CN" w:bidi="ar"/>
        </w:rPr>
        <w:t>95%。</w:t>
      </w:r>
    </w:p>
    <w:p>
      <w:pPr>
        <w:pStyle w:val="20"/>
        <w:ind w:firstLine="640" w:firstLineChars="200"/>
        <w:jc w:val="both"/>
        <w:rPr>
          <w:rFonts w:hint="default" w:ascii="仿宋" w:hAnsi="仿宋" w:eastAsia="仿宋" w:cs="仿宋"/>
          <w:b w:val="0"/>
          <w:bCs/>
          <w:color w:val="000000"/>
          <w:kern w:val="0"/>
          <w:sz w:val="32"/>
          <w:szCs w:val="32"/>
          <w:lang w:val="en-US" w:eastAsia="zh-CN"/>
        </w:rPr>
      </w:pPr>
      <w:r>
        <w:rPr>
          <w:rStyle w:val="53"/>
          <w:rFonts w:hint="eastAsia" w:ascii="仿宋" w:hAnsi="仿宋" w:eastAsia="仿宋" w:cs="仿宋"/>
          <w:b w:val="0"/>
          <w:bCs/>
          <w:color w:val="auto"/>
          <w:sz w:val="32"/>
          <w:szCs w:val="32"/>
          <w:lang w:val="en-US" w:eastAsia="zh-CN"/>
        </w:rPr>
        <w:t>成本指标方面：成本指标</w:t>
      </w:r>
      <w:r>
        <w:rPr>
          <w:rFonts w:hint="eastAsia" w:ascii="仿宋" w:hAnsi="仿宋" w:eastAsia="仿宋" w:cs="仿宋"/>
          <w:b w:val="0"/>
          <w:bCs/>
          <w:color w:val="000000"/>
          <w:kern w:val="0"/>
          <w:sz w:val="32"/>
          <w:szCs w:val="32"/>
          <w:lang w:val="en-US" w:eastAsia="zh-CN"/>
        </w:rPr>
        <w:t>支出成本，年度指标值为≤164万元，实际完成值96.06万元，分值5，得分4分。</w:t>
      </w:r>
    </w:p>
    <w:p>
      <w:pPr>
        <w:ind w:firstLine="640" w:firstLineChars="200"/>
        <w:rPr>
          <w:rFonts w:hint="eastAsia" w:ascii="仿宋" w:hAnsi="仿宋" w:eastAsia="仿宋" w:cs="仿宋"/>
          <w:b w:val="0"/>
          <w:bCs/>
          <w:sz w:val="32"/>
          <w:szCs w:val="32"/>
          <w:lang w:val="en-US" w:eastAsia="zh-CN"/>
        </w:rPr>
      </w:pPr>
      <w:r>
        <w:rPr>
          <w:rStyle w:val="53"/>
          <w:rFonts w:hint="eastAsia" w:ascii="仿宋" w:hAnsi="仿宋" w:eastAsia="仿宋" w:cs="仿宋"/>
          <w:b w:val="0"/>
          <w:bCs/>
          <w:color w:val="auto"/>
          <w:sz w:val="32"/>
          <w:szCs w:val="32"/>
          <w:lang w:val="en-US" w:eastAsia="zh-CN"/>
        </w:rPr>
        <w:t>时效指标方面：</w:t>
      </w:r>
      <w:r>
        <w:rPr>
          <w:rFonts w:hint="eastAsia" w:ascii="仿宋" w:hAnsi="仿宋" w:eastAsia="仿宋" w:cs="仿宋"/>
          <w:b w:val="0"/>
          <w:bCs/>
          <w:color w:val="000000"/>
          <w:kern w:val="0"/>
          <w:sz w:val="32"/>
          <w:szCs w:val="32"/>
          <w:lang w:val="en-US" w:eastAsia="zh-CN"/>
        </w:rPr>
        <w:t>时效指标年度指标值示范项目完成时间为2021年6月30日，实际完成值2021年6月30日，分值5，得分4分。</w:t>
      </w:r>
    </w:p>
    <w:p>
      <w:pPr>
        <w:pStyle w:val="20"/>
        <w:ind w:firstLine="321" w:firstLineChars="100"/>
        <w:jc w:val="both"/>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w:t>
      </w:r>
      <w:r>
        <w:rPr>
          <w:rFonts w:hint="eastAsia" w:ascii="楷体_GB2312" w:hAnsi="楷体_GB2312" w:eastAsia="楷体_GB2312" w:cs="楷体_GB2312"/>
          <w:lang w:eastAsia="zh-CN"/>
        </w:rPr>
        <w:t>）效益情况</w:t>
      </w:r>
    </w:p>
    <w:p>
      <w:pPr>
        <w:spacing w:line="540" w:lineRule="exact"/>
        <w:ind w:firstLine="640"/>
        <w:rPr>
          <w:rStyle w:val="53"/>
          <w:rFonts w:hint="default" w:eastAsia="仿宋_GB2312"/>
          <w:color w:val="auto"/>
          <w:lang w:val="en-US" w:eastAsia="zh-CN"/>
        </w:rPr>
      </w:pPr>
      <w:r>
        <w:rPr>
          <w:rStyle w:val="53"/>
          <w:rFonts w:hint="eastAsia"/>
          <w:color w:val="auto"/>
        </w:rPr>
        <w:t>经济效益指标方面：</w:t>
      </w:r>
      <w:r>
        <w:rPr>
          <w:rStyle w:val="53"/>
          <w:rFonts w:hint="eastAsia" w:eastAsia="仿宋_GB2312"/>
          <w:color w:val="auto"/>
          <w:lang w:val="en-US" w:eastAsia="zh-CN"/>
        </w:rPr>
        <w:t>经济效益指标是提高经济收入，年度指标是通过项目示范推广，使得当地农户经济效益有所提高，分值10，得分8分。</w:t>
      </w:r>
    </w:p>
    <w:p>
      <w:pPr>
        <w:spacing w:line="540" w:lineRule="exact"/>
        <w:ind w:firstLine="640"/>
        <w:rPr>
          <w:rStyle w:val="53"/>
          <w:rFonts w:hint="default" w:eastAsia="仿宋_GB2312"/>
          <w:color w:val="auto"/>
          <w:lang w:val="en-US" w:eastAsia="zh-CN"/>
        </w:rPr>
      </w:pPr>
      <w:r>
        <w:rPr>
          <w:rStyle w:val="53"/>
          <w:rFonts w:hint="eastAsia"/>
          <w:color w:val="auto"/>
        </w:rPr>
        <w:t>社会效益指标方面：</w:t>
      </w:r>
      <w:r>
        <w:rPr>
          <w:rStyle w:val="53"/>
          <w:rFonts w:hint="eastAsia" w:eastAsia="仿宋_GB2312"/>
          <w:color w:val="auto"/>
          <w:lang w:val="en-US" w:eastAsia="zh-CN"/>
        </w:rPr>
        <w:t>社会效益指标是提高栽培管理技术，年度指标值是通过技术示范，使得当地科技人员及农户的专业技术水平有多提高，实际完成值有所提高，分值10，得分9分。</w:t>
      </w:r>
    </w:p>
    <w:p>
      <w:pPr>
        <w:spacing w:line="540" w:lineRule="exact"/>
        <w:ind w:firstLine="640"/>
        <w:rPr>
          <w:rStyle w:val="53"/>
          <w:rFonts w:hint="eastAsia" w:eastAsia="仿宋_GB2312"/>
          <w:color w:val="auto"/>
          <w:lang w:val="en-US" w:eastAsia="zh-CN"/>
        </w:rPr>
      </w:pPr>
      <w:r>
        <w:rPr>
          <w:rStyle w:val="53"/>
          <w:rFonts w:hint="eastAsia" w:eastAsia="仿宋_GB2312"/>
          <w:color w:val="auto"/>
          <w:lang w:val="en-US" w:eastAsia="zh-CN"/>
        </w:rPr>
        <w:t>生态效益指标方面：生态效益指标是丰富当地果、蔬种植品种，年度指标值是通过项目引进和培育，对当地果、蔬品种有所丰富、品质有所提高，实际完成值有所提高，分值10，得分10分。</w:t>
      </w:r>
    </w:p>
    <w:p>
      <w:pPr>
        <w:spacing w:line="600" w:lineRule="exact"/>
        <w:ind w:firstLine="640" w:firstLineChars="200"/>
        <w:rPr>
          <w:rFonts w:hint="default" w:ascii="仿宋_GB2312" w:hAnsi="仿宋_GB2312" w:eastAsia="仿宋_GB2312" w:cs="仿宋_GB2312"/>
          <w:sz w:val="32"/>
          <w:szCs w:val="32"/>
          <w:lang w:val="en-US" w:eastAsia="zh-CN"/>
        </w:rPr>
      </w:pPr>
      <w:r>
        <w:rPr>
          <w:rStyle w:val="53"/>
          <w:color w:val="auto"/>
        </w:rPr>
        <w:t>满意度指标</w:t>
      </w:r>
      <w:r>
        <w:rPr>
          <w:rStyle w:val="53"/>
          <w:rFonts w:hint="eastAsia"/>
          <w:color w:val="auto"/>
        </w:rPr>
        <w:t>方面：</w:t>
      </w:r>
      <w:r>
        <w:rPr>
          <w:rStyle w:val="53"/>
          <w:rFonts w:hint="eastAsia" w:eastAsia="仿宋_GB2312"/>
          <w:color w:val="auto"/>
          <w:lang w:val="en-US" w:eastAsia="zh-CN"/>
        </w:rPr>
        <w:t>服务对象满意度指标是试验示范及推广满意度调查</w:t>
      </w:r>
      <w:r>
        <w:rPr>
          <w:rFonts w:hint="eastAsia" w:ascii="宋体" w:hAnsi="宋体" w:eastAsia="宋体" w:cs="宋体"/>
          <w:i w:val="0"/>
          <w:color w:val="000000"/>
          <w:kern w:val="0"/>
          <w:sz w:val="32"/>
          <w:szCs w:val="32"/>
          <w:u w:val="none"/>
          <w:lang w:val="en-US" w:eastAsia="zh-CN" w:bidi="ar"/>
        </w:rPr>
        <w:t>≥</w:t>
      </w:r>
      <w:r>
        <w:rPr>
          <w:rStyle w:val="53"/>
          <w:rFonts w:hint="eastAsia" w:eastAsia="仿宋_GB2312"/>
          <w:color w:val="auto"/>
          <w:lang w:val="en-US" w:eastAsia="zh-CN"/>
        </w:rPr>
        <w:t>95%。实际完成值95%，分值10，得分9分。</w:t>
      </w:r>
    </w:p>
    <w:p>
      <w:pPr>
        <w:spacing w:line="600" w:lineRule="exact"/>
        <w:ind w:firstLine="641"/>
        <w:rPr>
          <w:rStyle w:val="53"/>
          <w:color w:val="auto"/>
        </w:rPr>
      </w:pPr>
      <w:r>
        <w:rPr>
          <w:rFonts w:hint="eastAsia" w:ascii="黑体" w:hAnsi="黑体" w:eastAsia="黑体"/>
          <w:sz w:val="32"/>
          <w:szCs w:val="32"/>
        </w:rPr>
        <w:t>五、主要经验及做法、存在的问题及原因分析</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0"/>
        <w:spacing w:before="0" w:line="600" w:lineRule="exact"/>
        <w:ind w:firstLine="640" w:firstLineChars="200"/>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60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54"/>
        <w:numPr>
          <w:ilvl w:val="0"/>
          <w:numId w:val="7"/>
        </w:numPr>
        <w:ind w:firstLine="560"/>
        <w:rPr>
          <w:rFonts w:hint="eastAsia" w:ascii="仿宋" w:hAnsi="仿宋" w:eastAsia="仿宋" w:cs="仿宋"/>
          <w:b w:val="0"/>
          <w:bCs w:val="0"/>
          <w:kern w:val="2"/>
          <w:sz w:val="32"/>
          <w:szCs w:val="32"/>
        </w:rPr>
      </w:pPr>
      <w:r>
        <w:rPr>
          <w:rFonts w:hint="eastAsia" w:ascii="仿宋" w:hAnsi="仿宋" w:eastAsia="仿宋" w:cs="仿宋"/>
          <w:b w:val="0"/>
          <w:bCs w:val="0"/>
          <w:kern w:val="2"/>
          <w:sz w:val="32"/>
          <w:szCs w:val="32"/>
        </w:rPr>
        <w:t>存在的问题</w:t>
      </w:r>
    </w:p>
    <w:p>
      <w:pPr>
        <w:pStyle w:val="20"/>
        <w:spacing w:before="0" w:line="600" w:lineRule="exact"/>
        <w:ind w:firstLine="640" w:firstLineChars="200"/>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一是塔城地区自然气候条件与辽宁地区存在一定差异，且近两年气候变幅相对较大，表现在温度、降雨量、晚霜、倒春寒、季风等自然因素，对试验示范工作产生一定影响，</w:t>
      </w:r>
    </w:p>
    <w:p>
      <w:pPr>
        <w:pStyle w:val="20"/>
        <w:spacing w:before="0" w:line="600" w:lineRule="exact"/>
        <w:ind w:firstLine="640" w:firstLineChars="200"/>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若贸然大面积推广现有品种存在较大的气候风险。需要逐步推进资源和品种筛选、小面积试验、大面积示范和推广等作。</w:t>
      </w:r>
    </w:p>
    <w:p>
      <w:pPr>
        <w:pStyle w:val="20"/>
        <w:spacing w:before="0" w:line="600" w:lineRule="exact"/>
        <w:ind w:firstLine="640" w:firstLineChars="200"/>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二是当地劳务人员较少，特别是从事果树、蔬菜生产的技术性劳务人员较少，且工作效率低，导致用工成本较高。</w:t>
      </w:r>
    </w:p>
    <w:p>
      <w:pPr>
        <w:pStyle w:val="20"/>
        <w:spacing w:before="0" w:line="600" w:lineRule="exact"/>
        <w:ind w:firstLine="640" w:firstLineChars="200"/>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三是由于本项目需要走招投标程序及严格的资金审批流程，项目资金迟迟不能到位，项目发生的各项资金支出都由课题单位和科研人员个人垫付，资金不到位工作开展不顺利。</w:t>
      </w:r>
    </w:p>
    <w:p>
      <w:pPr>
        <w:numPr>
          <w:ilvl w:val="0"/>
          <w:numId w:val="7"/>
        </w:numPr>
        <w:spacing w:line="600" w:lineRule="exact"/>
        <w:ind w:left="0" w:leftChars="0" w:firstLine="560" w:firstLineChars="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原因分析</w:t>
      </w:r>
      <w:r>
        <w:rPr>
          <w:rFonts w:hint="eastAsia" w:ascii="仿宋_GB2312" w:hAnsi="仿宋_GB2312" w:eastAsia="仿宋_GB2312" w:cs="仿宋_GB2312"/>
          <w:sz w:val="32"/>
          <w:szCs w:val="32"/>
          <w:lang w:eastAsia="zh-CN"/>
        </w:rPr>
        <w:t>：</w:t>
      </w:r>
    </w:p>
    <w:p>
      <w:pPr>
        <w:pStyle w:val="20"/>
        <w:spacing w:before="0" w:line="600" w:lineRule="exact"/>
        <w:ind w:firstLine="640" w:firstLineChars="200"/>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一是自然气候条件存在一定差异，气候变幅相对较大，表现在温度、降雨量、晚霜、倒春寒、季风等自然因素，对试验示范工作产生一定影响，品种存在较大的气候</w:t>
      </w:r>
      <w:r>
        <w:rPr>
          <w:rFonts w:hint="eastAsia" w:ascii="仿宋_GB2312" w:hAnsi="仿宋_GB2312" w:eastAsia="仿宋_GB2312" w:cs="仿宋_GB2312"/>
          <w:b w:val="0"/>
          <w:bCs w:val="0"/>
          <w:kern w:val="2"/>
          <w:lang w:val="en-US" w:eastAsia="zh-CN"/>
        </w:rPr>
        <w:t>差异</w:t>
      </w:r>
      <w:r>
        <w:rPr>
          <w:rFonts w:hint="eastAsia" w:ascii="仿宋_GB2312" w:hAnsi="仿宋_GB2312" w:eastAsia="仿宋_GB2312" w:cs="仿宋_GB2312"/>
          <w:b w:val="0"/>
          <w:bCs w:val="0"/>
          <w:kern w:val="2"/>
        </w:rPr>
        <w:t>。</w:t>
      </w:r>
    </w:p>
    <w:p>
      <w:pPr>
        <w:pStyle w:val="20"/>
        <w:spacing w:before="0" w:line="600" w:lineRule="exact"/>
        <w:ind w:firstLine="640" w:firstLineChars="200"/>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二</w:t>
      </w:r>
      <w:r>
        <w:rPr>
          <w:rFonts w:hint="eastAsia" w:ascii="仿宋_GB2312" w:hAnsi="仿宋_GB2312" w:eastAsia="仿宋_GB2312" w:cs="仿宋_GB2312"/>
          <w:b w:val="0"/>
          <w:bCs w:val="0"/>
          <w:kern w:val="2"/>
          <w:lang w:val="en-US" w:eastAsia="zh-CN"/>
        </w:rPr>
        <w:t>是</w:t>
      </w:r>
      <w:r>
        <w:rPr>
          <w:rFonts w:hint="eastAsia" w:ascii="仿宋_GB2312" w:hAnsi="仿宋_GB2312" w:eastAsia="仿宋_GB2312" w:cs="仿宋_GB2312"/>
          <w:b w:val="0"/>
          <w:bCs w:val="0"/>
          <w:kern w:val="2"/>
        </w:rPr>
        <w:t>劳务</w:t>
      </w:r>
      <w:r>
        <w:rPr>
          <w:rFonts w:hint="eastAsia" w:ascii="仿宋_GB2312" w:hAnsi="仿宋_GB2312" w:eastAsia="仿宋_GB2312" w:cs="仿宋_GB2312"/>
          <w:b w:val="0"/>
          <w:bCs w:val="0"/>
          <w:kern w:val="2"/>
          <w:lang w:val="en-US" w:eastAsia="zh-CN"/>
        </w:rPr>
        <w:t>成本日益增加</w:t>
      </w:r>
      <w:r>
        <w:rPr>
          <w:rFonts w:hint="eastAsia" w:ascii="仿宋_GB2312" w:hAnsi="仿宋_GB2312" w:eastAsia="仿宋_GB2312" w:cs="仿宋_GB2312"/>
          <w:b w:val="0"/>
          <w:bCs w:val="0"/>
          <w:kern w:val="2"/>
        </w:rPr>
        <w:t>较少，特别是从事果树、蔬菜生产的技术性劳务人员较少，且工作效率低，导致用工成本较高。</w:t>
      </w:r>
    </w:p>
    <w:p>
      <w:pPr>
        <w:numPr>
          <w:ilvl w:val="0"/>
          <w:numId w:val="8"/>
        </w:numPr>
        <w:spacing w:line="600" w:lineRule="exact"/>
        <w:ind w:firstLine="641"/>
        <w:rPr>
          <w:rFonts w:ascii="黑体" w:hAnsi="黑体" w:eastAsia="黑体"/>
          <w:sz w:val="32"/>
          <w:szCs w:val="32"/>
        </w:rPr>
      </w:pPr>
      <w:r>
        <w:rPr>
          <w:rFonts w:hint="eastAsia" w:ascii="黑体" w:hAnsi="黑体" w:eastAsia="黑体"/>
          <w:sz w:val="32"/>
          <w:szCs w:val="32"/>
        </w:rPr>
        <w:t>有关建议</w:t>
      </w:r>
    </w:p>
    <w:p>
      <w:pPr>
        <w:numPr>
          <w:ilvl w:val="0"/>
          <w:numId w:val="9"/>
        </w:num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numPr>
          <w:ilvl w:val="0"/>
          <w:numId w:val="9"/>
        </w:numPr>
        <w:spacing w:line="60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w:t>
      </w:r>
      <w:r>
        <w:rPr>
          <w:rFonts w:hint="eastAsia" w:ascii="仿宋_GB2312" w:eastAsia="仿宋_GB2312" w:cs="仿宋_GB2312"/>
          <w:sz w:val="32"/>
          <w:szCs w:val="32"/>
          <w:lang w:val="en-US" w:eastAsia="zh-CN"/>
        </w:rPr>
        <w:t>账</w:t>
      </w:r>
      <w:r>
        <w:rPr>
          <w:rFonts w:hint="eastAsia" w:ascii="仿宋_GB2312" w:hAnsi="仿宋_GB2312" w:eastAsia="仿宋_GB2312" w:cs="仿宋_GB2312"/>
          <w:sz w:val="32"/>
          <w:szCs w:val="32"/>
        </w:rPr>
        <w:t>、定专人。同时，资金拨付除坚持按项目计划、工程进度和质量分阶段验收拨款外，还坚持部门联审制，项目单位先做事、后报</w:t>
      </w:r>
      <w:r>
        <w:rPr>
          <w:rFonts w:hint="eastAsia" w:ascii="仿宋_GB2312" w:eastAsia="仿宋_GB2312" w:cs="仿宋_GB2312"/>
          <w:sz w:val="32"/>
          <w:szCs w:val="32"/>
          <w:lang w:val="en-US" w:eastAsia="zh-CN"/>
        </w:rPr>
        <w:t>账</w:t>
      </w:r>
      <w:r>
        <w:rPr>
          <w:rFonts w:hint="eastAsia" w:ascii="仿宋_GB2312" w:hAnsi="仿宋_GB2312" w:eastAsia="仿宋_GB2312" w:cs="仿宋_GB2312"/>
          <w:sz w:val="32"/>
          <w:szCs w:val="32"/>
        </w:rPr>
        <w:t>，从而确保专项资金专款专用，有效地防止了截留、挤占和挪用。</w:t>
      </w:r>
    </w:p>
    <w:p>
      <w:pPr>
        <w:numPr>
          <w:ilvl w:val="0"/>
          <w:numId w:val="8"/>
        </w:numPr>
        <w:spacing w:line="600" w:lineRule="exact"/>
        <w:ind w:firstLine="641"/>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tbl>
      <w:tblPr>
        <w:tblStyle w:val="22"/>
        <w:tblW w:w="12765" w:type="dxa"/>
        <w:tblInd w:w="0" w:type="dxa"/>
        <w:shd w:val="clear" w:color="auto" w:fill="auto"/>
        <w:tblLayout w:type="fixed"/>
        <w:tblCellMar>
          <w:top w:w="0" w:type="dxa"/>
          <w:left w:w="0" w:type="dxa"/>
          <w:bottom w:w="0" w:type="dxa"/>
          <w:right w:w="0" w:type="dxa"/>
        </w:tblCellMar>
      </w:tblPr>
      <w:tblGrid>
        <w:gridCol w:w="3"/>
        <w:gridCol w:w="559"/>
        <w:gridCol w:w="684"/>
        <w:gridCol w:w="984"/>
        <w:gridCol w:w="1308"/>
        <w:gridCol w:w="1080"/>
        <w:gridCol w:w="183"/>
        <w:gridCol w:w="468"/>
        <w:gridCol w:w="1341"/>
        <w:gridCol w:w="1476"/>
        <w:gridCol w:w="1368"/>
        <w:gridCol w:w="2306"/>
      </w:tblGrid>
      <w:tr>
        <w:tblPrEx>
          <w:shd w:val="clear" w:color="auto" w:fill="auto"/>
          <w:tblCellMar>
            <w:top w:w="0" w:type="dxa"/>
            <w:left w:w="0" w:type="dxa"/>
            <w:bottom w:w="0" w:type="dxa"/>
            <w:right w:w="0" w:type="dxa"/>
          </w:tblCellMar>
        </w:tblPrEx>
        <w:trPr>
          <w:trHeight w:val="409" w:hRule="atLeast"/>
        </w:trPr>
        <w:tc>
          <w:tcPr>
            <w:tcW w:w="11760" w:type="dxa"/>
            <w:gridSpan w:val="1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firstLine="3213" w:firstLineChars="1000"/>
              <w:jc w:val="both"/>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CellMar>
            <w:top w:w="0" w:type="dxa"/>
            <w:left w:w="0" w:type="dxa"/>
            <w:bottom w:w="0" w:type="dxa"/>
            <w:right w:w="0" w:type="dxa"/>
          </w:tblCellMar>
        </w:tblPrEx>
        <w:trPr>
          <w:trHeight w:val="409" w:hRule="atLeast"/>
        </w:trPr>
        <w:tc>
          <w:tcPr>
            <w:tcW w:w="11760" w:type="dxa"/>
            <w:gridSpan w:val="1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firstLine="3520" w:firstLineChars="1100"/>
              <w:jc w:val="both"/>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tblCellMar>
            <w:top w:w="0" w:type="dxa"/>
            <w:left w:w="0" w:type="dxa"/>
            <w:bottom w:w="0" w:type="dxa"/>
            <w:right w:w="0" w:type="dxa"/>
          </w:tblCellMar>
        </w:tblPrEx>
        <w:trPr>
          <w:trHeight w:val="270" w:hRule="atLeast"/>
        </w:trPr>
        <w:tc>
          <w:tcPr>
            <w:tcW w:w="11760" w:type="dxa"/>
            <w:gridSpan w:val="12"/>
            <w:tcBorders>
              <w:top w:val="nil"/>
              <w:left w:val="nil"/>
              <w:bottom w:val="nil"/>
              <w:right w:val="nil"/>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22"/>
                <w:szCs w:val="22"/>
                <w:u w:val="none"/>
              </w:rPr>
            </w:pPr>
          </w:p>
        </w:tc>
      </w:tr>
      <w:tr>
        <w:tblPrEx>
          <w:tblCellMar>
            <w:top w:w="0" w:type="dxa"/>
            <w:left w:w="108" w:type="dxa"/>
            <w:bottom w:w="0" w:type="dxa"/>
            <w:right w:w="108" w:type="dxa"/>
          </w:tblCellMar>
        </w:tblPrEx>
        <w:trPr>
          <w:gridBefore w:val="1"/>
          <w:gridAfter w:val="1"/>
          <w:wBefore w:w="3" w:type="dxa"/>
          <w:wAfter w:w="2306" w:type="dxa"/>
          <w:trHeight w:val="333"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20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辽塔县市农业科技示范基地建设项目</w:t>
            </w:r>
          </w:p>
        </w:tc>
      </w:tr>
      <w:tr>
        <w:tblPrEx>
          <w:tblCellMar>
            <w:top w:w="0" w:type="dxa"/>
            <w:left w:w="108" w:type="dxa"/>
            <w:bottom w:w="0" w:type="dxa"/>
            <w:right w:w="108" w:type="dxa"/>
          </w:tblCellMar>
        </w:tblPrEx>
        <w:trPr>
          <w:gridBefore w:val="1"/>
          <w:gridAfter w:val="1"/>
          <w:wBefore w:w="3" w:type="dxa"/>
          <w:wAfter w:w="2306" w:type="dxa"/>
          <w:trHeight w:val="333"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40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2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塔城地区农业科学研究所</w:t>
            </w:r>
          </w:p>
        </w:tc>
      </w:tr>
      <w:tr>
        <w:tblPrEx>
          <w:tblCellMar>
            <w:top w:w="0" w:type="dxa"/>
            <w:left w:w="108" w:type="dxa"/>
            <w:bottom w:w="0" w:type="dxa"/>
            <w:right w:w="108" w:type="dxa"/>
          </w:tblCellMar>
        </w:tblPrEx>
        <w:trPr>
          <w:gridBefore w:val="1"/>
          <w:gridAfter w:val="1"/>
          <w:wBefore w:w="3" w:type="dxa"/>
          <w:wAfter w:w="2306" w:type="dxa"/>
          <w:trHeight w:val="333"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keepNext w:val="0"/>
              <w:keepLines w:val="0"/>
              <w:suppressLineNumbers w:val="0"/>
              <w:spacing w:before="0" w:beforeAutospacing="0" w:after="0" w:afterAutospacing="0"/>
              <w:ind w:left="0" w:right="0"/>
              <w:jc w:val="both"/>
              <w:rPr>
                <w:rFonts w:hint="default" w:ascii="Arial" w:hAnsi="Arial" w:eastAsia="宋体" w:cs="Arial"/>
                <w:i w:val="0"/>
                <w:iCs w:val="0"/>
                <w:color w:val="000000"/>
                <w:sz w:val="20"/>
                <w:szCs w:val="20"/>
                <w:u w:val="none"/>
              </w:rPr>
            </w:pP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r>
      <w:tr>
        <w:tblPrEx>
          <w:tblCellMar>
            <w:top w:w="0" w:type="dxa"/>
            <w:left w:w="108" w:type="dxa"/>
            <w:bottom w:w="0" w:type="dxa"/>
            <w:right w:w="108" w:type="dxa"/>
          </w:tblCellMar>
        </w:tblPrEx>
        <w:trPr>
          <w:gridBefore w:val="1"/>
          <w:gridAfter w:val="1"/>
          <w:wBefore w:w="3" w:type="dxa"/>
          <w:wAfter w:w="2306" w:type="dxa"/>
          <w:trHeight w:val="333"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57.07</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96.06</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120.07%</w:t>
            </w:r>
          </w:p>
        </w:tc>
      </w:tr>
      <w:tr>
        <w:tblPrEx>
          <w:tblCellMar>
            <w:top w:w="0" w:type="dxa"/>
            <w:left w:w="108" w:type="dxa"/>
            <w:bottom w:w="0" w:type="dxa"/>
            <w:right w:w="108" w:type="dxa"/>
          </w:tblCellMar>
        </w:tblPrEx>
        <w:trPr>
          <w:gridBefore w:val="1"/>
          <w:gridAfter w:val="1"/>
          <w:wBefore w:w="3" w:type="dxa"/>
          <w:wAfter w:w="2306" w:type="dxa"/>
          <w:trHeight w:val="333"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gridBefore w:val="1"/>
          <w:gridAfter w:val="1"/>
          <w:wBefore w:w="3" w:type="dxa"/>
          <w:wAfter w:w="2306" w:type="dxa"/>
          <w:trHeight w:val="333"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上年结转资金</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gridBefore w:val="1"/>
          <w:gridAfter w:val="1"/>
          <w:wBefore w:w="3" w:type="dxa"/>
          <w:wAfter w:w="2306" w:type="dxa"/>
          <w:trHeight w:val="333"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22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其他资金</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96.06</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gridBefore w:val="1"/>
          <w:gridAfter w:val="1"/>
          <w:wBefore w:w="3" w:type="dxa"/>
          <w:wAfter w:w="2306" w:type="dxa"/>
          <w:trHeight w:val="333" w:hRule="atLeast"/>
        </w:trPr>
        <w:tc>
          <w:tcPr>
            <w:tcW w:w="5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604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8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CellMar>
            <w:top w:w="0" w:type="dxa"/>
            <w:left w:w="108" w:type="dxa"/>
            <w:bottom w:w="0" w:type="dxa"/>
            <w:right w:w="108" w:type="dxa"/>
          </w:tblCellMar>
        </w:tblPrEx>
        <w:trPr>
          <w:gridBefore w:val="1"/>
          <w:gridAfter w:val="1"/>
          <w:wBefore w:w="3" w:type="dxa"/>
          <w:wAfter w:w="2306" w:type="dxa"/>
          <w:trHeight w:val="678"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048"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1.因地制宜突出特色原则  依据农业资源、生产条件、地理优势和气候特点等因素，因地制宜进行规划建设，突出区域特色，增强特色竞争力和发展潜力。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2.以提升当地农业特色产业为基础的原则  通过加强农业新品种、新技术、新装备的引进，有效提高产业技术水平，发展智慧农业、有机绿色农产品和开拓周边产业，为当地乡村振兴发展奠定坚实的农业基础。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3.近期和远期规划相结合原则  建设要统筹规划，有计划地分期建设，梯次推进，保证各期项目相互衔接、有序发展，实现最佳效益。</w:t>
            </w:r>
          </w:p>
        </w:tc>
        <w:tc>
          <w:tcPr>
            <w:tcW w:w="284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1.因地制宜突出特色原则  依据农业资源、生产条件、地理优势和气候特点等因素，因地制宜进行规划建设，突出区域特色，增强特色竞争力和发展潜力。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2.以提升当地农业特色产业为基础的原则  通过加强农业新品种、新技术、新装备的引进，有效提高产业技术水平，发展智慧农业、有机绿色农产品和开拓周边产业，为当地乡村振兴发展奠定坚实的农业基础。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3.近期和远期规划相结合原则  建设要统筹规划，有计划地分期建设，梯次推进，保证各期项目相互衔接、有序发展，实现最佳效益。</w:t>
            </w:r>
          </w:p>
        </w:tc>
      </w:tr>
      <w:tr>
        <w:tblPrEx>
          <w:tblCellMar>
            <w:top w:w="0" w:type="dxa"/>
            <w:left w:w="108" w:type="dxa"/>
            <w:bottom w:w="0" w:type="dxa"/>
            <w:right w:w="108" w:type="dxa"/>
          </w:tblCellMar>
        </w:tblPrEx>
        <w:trPr>
          <w:gridBefore w:val="1"/>
          <w:gridAfter w:val="1"/>
          <w:wBefore w:w="3" w:type="dxa"/>
          <w:wAfter w:w="2306" w:type="dxa"/>
          <w:trHeight w:val="894"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048"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28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3" w:type="dxa"/>
          <w:wAfter w:w="2306" w:type="dxa"/>
          <w:trHeight w:val="1100"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048"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c>
          <w:tcPr>
            <w:tcW w:w="284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3" w:type="dxa"/>
          <w:wAfter w:w="2306" w:type="dxa"/>
          <w:trHeight w:val="333" w:hRule="atLeast"/>
        </w:trPr>
        <w:tc>
          <w:tcPr>
            <w:tcW w:w="5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CellMar>
            <w:top w:w="0" w:type="dxa"/>
            <w:left w:w="108" w:type="dxa"/>
            <w:bottom w:w="0" w:type="dxa"/>
            <w:right w:w="108" w:type="dxa"/>
          </w:tblCellMar>
        </w:tblPrEx>
        <w:trPr>
          <w:gridBefore w:val="1"/>
          <w:gridAfter w:val="1"/>
          <w:wBefore w:w="3" w:type="dxa"/>
          <w:wAfter w:w="2306" w:type="dxa"/>
          <w:trHeight w:val="333" w:hRule="atLeast"/>
        </w:trPr>
        <w:tc>
          <w:tcPr>
            <w:tcW w:w="5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完成各项试验数量</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≥10项</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r>
              <w:rPr>
                <w:rStyle w:val="55"/>
                <w:lang w:val="en-US" w:eastAsia="zh-CN" w:bidi="ar"/>
              </w:rPr>
              <w:t>项</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3" w:type="dxa"/>
          <w:wAfter w:w="2306" w:type="dxa"/>
          <w:trHeight w:val="462"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示范推广绿色高效栽培技术示范面积。</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≥500亩</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r>
              <w:rPr>
                <w:rStyle w:val="55"/>
                <w:lang w:val="en-US" w:eastAsia="zh-CN" w:bidi="ar"/>
              </w:rPr>
              <w:t>亩</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3" w:type="dxa"/>
          <w:wAfter w:w="2306" w:type="dxa"/>
          <w:trHeight w:val="333"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指导、培训、咨询服务人数</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≥200人次</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200人次</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3" w:type="dxa"/>
          <w:wAfter w:w="2306" w:type="dxa"/>
          <w:trHeight w:val="462"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引进棉花、蔬菜、果树、玉米4中作物新品种</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≥10种</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r>
              <w:rPr>
                <w:rStyle w:val="55"/>
                <w:lang w:val="en-US" w:eastAsia="zh-CN" w:bidi="ar"/>
              </w:rPr>
              <w:t>种</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3" w:type="dxa"/>
          <w:wAfter w:w="2306" w:type="dxa"/>
          <w:trHeight w:val="260"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发表相关论文</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≥2篇</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2篇</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3" w:type="dxa"/>
          <w:wAfter w:w="2306" w:type="dxa"/>
          <w:trHeight w:val="333"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符合项目示范规范标准</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3" w:type="dxa"/>
          <w:wAfter w:w="2306" w:type="dxa"/>
          <w:trHeight w:val="333"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符合示范、推广、种植规范标准</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3" w:type="dxa"/>
          <w:wAfter w:w="2306" w:type="dxa"/>
          <w:trHeight w:val="318"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试验示范完成程度</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3" w:type="dxa"/>
          <w:wAfter w:w="2306" w:type="dxa"/>
          <w:trHeight w:val="318"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示范项目完成时间</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2021.6.30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2021.6.30</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跨年度项目</w:t>
            </w:r>
          </w:p>
        </w:tc>
      </w:tr>
      <w:tr>
        <w:tblPrEx>
          <w:tblCellMar>
            <w:top w:w="0" w:type="dxa"/>
            <w:left w:w="108" w:type="dxa"/>
            <w:bottom w:w="0" w:type="dxa"/>
            <w:right w:w="108" w:type="dxa"/>
          </w:tblCellMar>
        </w:tblPrEx>
        <w:trPr>
          <w:gridBefore w:val="1"/>
          <w:gridAfter w:val="1"/>
          <w:wBefore w:w="3" w:type="dxa"/>
          <w:wAfter w:w="2306" w:type="dxa"/>
          <w:trHeight w:val="318"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支出成本</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≤164万</w:t>
            </w:r>
            <w:r>
              <w:rPr>
                <w:rStyle w:val="55"/>
                <w:lang w:val="en-US" w:eastAsia="zh-CN" w:bidi="ar"/>
              </w:rPr>
              <w:t>元</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96.06万元</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3" w:type="dxa"/>
          <w:wAfter w:w="2306" w:type="dxa"/>
          <w:trHeight w:val="884"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提高经济收入</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通过项目示范推广，使得当地农户经济效益有所提高</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3" w:type="dxa"/>
          <w:wAfter w:w="2306" w:type="dxa"/>
          <w:trHeight w:val="1052"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提高栽培管理技术</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通过技术示范，使得当地科技人员及农户的专业技术水平有所提高</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3" w:type="dxa"/>
          <w:wAfter w:w="2306" w:type="dxa"/>
          <w:trHeight w:val="944"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丰富当地果、蔬种植品种</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通过项目引进和培育，对当地果、蔬品种有所丰富、品质有所提高</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有所丰富、有所提高</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gridBefore w:val="1"/>
          <w:gridAfter w:val="1"/>
          <w:wBefore w:w="3" w:type="dxa"/>
          <w:wAfter w:w="2306" w:type="dxa"/>
          <w:trHeight w:val="768" w:hRule="atLeast"/>
        </w:trPr>
        <w:tc>
          <w:tcPr>
            <w:tcW w:w="5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23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试验示范及推广结果满意度调查</w:t>
            </w:r>
          </w:p>
        </w:tc>
        <w:tc>
          <w:tcPr>
            <w:tcW w:w="1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u w:val="none"/>
              </w:rPr>
            </w:pPr>
          </w:p>
        </w:tc>
      </w:tr>
    </w:tbl>
    <w:p>
      <w:pPr>
        <w:pStyle w:val="2"/>
        <w:rPr>
          <w:rFonts w:hint="eastAsia"/>
          <w:b w:val="0"/>
          <w:bCs w:val="0"/>
          <w:sz w:val="32"/>
          <w:szCs w:val="32"/>
          <w:lang w:val="en-US" w:eastAsia="zh-CN"/>
        </w:rPr>
      </w:pPr>
    </w:p>
    <w:p>
      <w:pPr>
        <w:pStyle w:val="2"/>
        <w:rPr>
          <w:rFonts w:hint="eastAsia"/>
          <w:b w:val="0"/>
          <w:bCs w:val="0"/>
          <w:sz w:val="32"/>
          <w:szCs w:val="32"/>
          <w:lang w:val="en-US" w:eastAsia="zh-CN"/>
        </w:rPr>
      </w:pPr>
    </w:p>
    <w:p>
      <w:pPr>
        <w:pStyle w:val="2"/>
        <w:rPr>
          <w:rFonts w:hint="default"/>
          <w:b w:val="0"/>
          <w:bCs w:val="0"/>
          <w:sz w:val="32"/>
          <w:szCs w:val="32"/>
          <w:lang w:val="en-US" w:eastAsia="zh-CN"/>
        </w:rPr>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22"/>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　</w:t>
            </w:r>
          </w:p>
          <w:p>
            <w:pPr>
              <w:keepNext w:val="0"/>
              <w:keepLines w:val="0"/>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67" w:type="dxa"/>
            <w:vMerge w:val="restart"/>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35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left"/>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1300"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keepNext w:val="0"/>
              <w:keepLines w:val="0"/>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p>
        </w:tc>
        <w:tc>
          <w:tcPr>
            <w:tcW w:w="767" w:type="dxa"/>
            <w:vMerge w:val="continue"/>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35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188"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left"/>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1300"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keepNext w:val="0"/>
              <w:keepLines w:val="0"/>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p>
        </w:tc>
        <w:tc>
          <w:tcPr>
            <w:tcW w:w="767"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keepNext w:val="0"/>
              <w:keepLines w:val="0"/>
              <w:widowControl/>
              <w:suppressLineNumbers w:val="0"/>
              <w:spacing w:before="0" w:beforeAutospacing="0" w:after="0" w:afterAutospacing="0" w:line="0" w:lineRule="atLeast"/>
              <w:ind w:left="0" w:right="0"/>
              <w:jc w:val="left"/>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1300"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67"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35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1300" w:type="dxa"/>
            <w:shd w:val="clear" w:color="000000"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keepNext w:val="0"/>
              <w:keepLines w:val="0"/>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p>
        </w:tc>
        <w:tc>
          <w:tcPr>
            <w:tcW w:w="767" w:type="dxa"/>
            <w:vMerge w:val="restart"/>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keepNext w:val="0"/>
              <w:keepLines w:val="0"/>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35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1300" w:type="dxa"/>
            <w:shd w:val="clear" w:color="auto"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p>
        </w:tc>
        <w:tc>
          <w:tcPr>
            <w:tcW w:w="767" w:type="dxa"/>
            <w:vMerge w:val="continue"/>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1300" w:type="dxa"/>
            <w:shd w:val="clear" w:color="auto"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keepNext w:val="0"/>
              <w:keepLines w:val="0"/>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67" w:type="dxa"/>
            <w:vMerge w:val="restart"/>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keepNext w:val="0"/>
              <w:keepLines w:val="0"/>
              <w:widowControl/>
              <w:suppressLineNumbers w:val="0"/>
              <w:spacing w:before="0" w:beforeAutospacing="0" w:after="0" w:afterAutospacing="0" w:line="0" w:lineRule="atLeast"/>
              <w:ind w:left="0" w:right="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1300" w:type="dxa"/>
            <w:shd w:val="clear" w:color="000000"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keepNext w:val="0"/>
              <w:keepLines w:val="0"/>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rPr>
            </w:pPr>
          </w:p>
        </w:tc>
        <w:tc>
          <w:tcPr>
            <w:tcW w:w="767" w:type="dxa"/>
            <w:vMerge w:val="continue"/>
            <w:shd w:val="clear" w:color="auto" w:fill="FFFFFF"/>
            <w:noWrap w:val="0"/>
            <w:vAlign w:val="center"/>
          </w:tcPr>
          <w:p>
            <w:pPr>
              <w:keepNext w:val="0"/>
              <w:keepLines w:val="0"/>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rPr>
            </w:pP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188" w:type="dxa"/>
            <w:shd w:val="clear" w:color="auto"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1300" w:type="dxa"/>
            <w:shd w:val="clear" w:color="auto"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　</w:t>
            </w:r>
          </w:p>
          <w:p>
            <w:pPr>
              <w:keepNext w:val="0"/>
              <w:keepLines w:val="0"/>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67"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35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1300" w:type="dxa"/>
            <w:shd w:val="clear" w:color="000000"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keepNext w:val="0"/>
              <w:keepLines w:val="0"/>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p>
        </w:tc>
        <w:tc>
          <w:tcPr>
            <w:tcW w:w="767" w:type="dxa"/>
            <w:vMerge w:val="restart"/>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keepNext w:val="0"/>
              <w:keepLines w:val="0"/>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35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1300" w:type="dxa"/>
            <w:shd w:val="clear" w:color="000000"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p>
        </w:tc>
        <w:tc>
          <w:tcPr>
            <w:tcW w:w="767" w:type="dxa"/>
            <w:vMerge w:val="continue"/>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35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188"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1300" w:type="dxa"/>
            <w:shd w:val="clear" w:color="000000"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keepNext w:val="0"/>
              <w:keepLines w:val="0"/>
              <w:widowControl/>
              <w:suppressLineNumbers w:val="0"/>
              <w:spacing w:before="0" w:beforeAutospacing="0" w:after="0" w:afterAutospacing="0" w:line="0" w:lineRule="atLeast"/>
              <w:ind w:left="0" w:leftChars="0" w:right="0" w:rightChars="0"/>
              <w:jc w:val="left"/>
              <w:rPr>
                <w:rFonts w:hint="eastAsia" w:ascii="宋体" w:hAnsi="宋体" w:eastAsia="宋体" w:cs="宋体"/>
                <w:color w:val="000000"/>
                <w:kern w:val="0"/>
                <w:sz w:val="22"/>
                <w:szCs w:val="22"/>
              </w:rPr>
            </w:pPr>
            <w:r>
              <w:rPr>
                <w:rFonts w:hint="eastAsia" w:ascii="宋体" w:hAnsi="宋体" w:cs="宋体"/>
                <w:color w:val="000000"/>
                <w:kern w:val="0"/>
                <w:sz w:val="22"/>
                <w:szCs w:val="22"/>
                <w:lang w:val="en-US" w:eastAsia="zh-CN"/>
              </w:rPr>
              <w:t>1分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14分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keepNext w:val="0"/>
              <w:keepLines w:val="0"/>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p>
        </w:tc>
        <w:tc>
          <w:tcPr>
            <w:tcW w:w="767" w:type="dxa"/>
            <w:shd w:val="clear" w:color="auto" w:fill="FFFFFF"/>
            <w:noWrap w:val="0"/>
            <w:vAlign w:val="center"/>
          </w:tcPr>
          <w:p>
            <w:pPr>
              <w:keepNext w:val="0"/>
              <w:keepLines w:val="0"/>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188"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1300"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13分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p>
        </w:tc>
        <w:tc>
          <w:tcPr>
            <w:tcW w:w="767"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1300"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67" w:type="dxa"/>
            <w:vMerge w:val="restart"/>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left"/>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188" w:type="dxa"/>
            <w:shd w:val="clear" w:color="auto"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136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p>
        </w:tc>
        <w:tc>
          <w:tcPr>
            <w:tcW w:w="767" w:type="dxa"/>
            <w:vMerge w:val="continue"/>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p>
        </w:tc>
        <w:tc>
          <w:tcPr>
            <w:tcW w:w="873" w:type="dxa"/>
            <w:shd w:val="clear" w:color="auto" w:fill="FFFFFF"/>
            <w:noWrap w:val="0"/>
            <w:vAlign w:val="center"/>
          </w:tcPr>
          <w:p>
            <w:pPr>
              <w:keepNext w:val="0"/>
              <w:keepLines w:val="0"/>
              <w:widowControl/>
              <w:suppressLineNumbers w:val="0"/>
              <w:spacing w:before="0" w:beforeAutospacing="0" w:after="0" w:afterAutospacing="0" w:line="0" w:lineRule="atLeast"/>
              <w:ind w:left="0" w:right="0"/>
              <w:jc w:val="center"/>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188"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keepNext w:val="0"/>
              <w:keepLines w:val="0"/>
              <w:widowControl/>
              <w:suppressLineNumbers w:val="0"/>
              <w:spacing w:before="0" w:beforeAutospacing="0" w:after="0" w:afterAutospacing="0" w:line="0" w:lineRule="atLeast"/>
              <w:ind w:left="0" w:right="0"/>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10分</w:t>
            </w:r>
          </w:p>
        </w:tc>
      </w:tr>
    </w:tbl>
    <w:p>
      <w:pPr>
        <w:pStyle w:val="20"/>
        <w:rPr>
          <w:rFonts w:hint="default"/>
          <w:lang w:val="en-US" w:eastAsia="zh-CN"/>
        </w:rPr>
      </w:pPr>
    </w:p>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ind w:firstLine="640"/>
        <w:rPr>
          <w:rStyle w:val="24"/>
          <w:rFonts w:ascii="黑体" w:hAnsi="黑体" w:eastAsia="黑体"/>
          <w:bCs w:val="0"/>
          <w:spacing w:val="-4"/>
          <w:sz w:val="32"/>
          <w:szCs w:val="32"/>
        </w:rPr>
      </w:pPr>
    </w:p>
    <w:p>
      <w:pPr>
        <w:spacing w:line="540" w:lineRule="exact"/>
        <w:rPr>
          <w:rStyle w:val="24"/>
          <w:rFonts w:ascii="仿宋" w:hAnsi="仿宋" w:eastAsia="仿宋"/>
          <w:b w:val="0"/>
          <w:spacing w:val="-4"/>
          <w:sz w:val="32"/>
          <w:szCs w:val="32"/>
        </w:rPr>
        <w:sectPr>
          <w:pgSz w:w="16838" w:h="11906" w:orient="landscape"/>
          <w:pgMar w:top="1800" w:right="1440" w:bottom="1558" w:left="1440" w:header="851" w:footer="992" w:gutter="0"/>
          <w:cols w:space="425" w:num="1"/>
          <w:docGrid w:type="lines" w:linePitch="312" w:charSpace="0"/>
        </w:sectPr>
      </w:pPr>
    </w:p>
    <w:p>
      <w:pPr>
        <w:pStyle w:val="2"/>
        <w:rPr>
          <w:rStyle w:val="24"/>
          <w:rFonts w:ascii="仿宋" w:hAnsi="仿宋" w:eastAsia="仿宋"/>
          <w:b w:val="0"/>
          <w:spacing w:val="-4"/>
          <w:sz w:val="32"/>
          <w:szCs w:val="32"/>
        </w:rPr>
      </w:pPr>
    </w:p>
    <w:p>
      <w:pPr>
        <w:pStyle w:val="2"/>
        <w:rPr>
          <w:rStyle w:val="24"/>
          <w:rFonts w:ascii="仿宋" w:hAnsi="仿宋" w:eastAsia="仿宋"/>
          <w:b w:val="0"/>
          <w:spacing w:val="-4"/>
          <w:sz w:val="32"/>
          <w:szCs w:val="32"/>
        </w:rPr>
      </w:pPr>
    </w:p>
    <w:p>
      <w:pPr>
        <w:pStyle w:val="2"/>
        <w:rPr>
          <w:rStyle w:val="24"/>
          <w:rFonts w:ascii="仿宋" w:hAnsi="仿宋" w:eastAsia="仿宋"/>
          <w:b w:val="0"/>
          <w:spacing w:val="-4"/>
          <w:sz w:val="32"/>
          <w:szCs w:val="3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5821EF9"/>
    <w:multiLevelType w:val="singleLevel"/>
    <w:tmpl w:val="F5821EF9"/>
    <w:lvl w:ilvl="0" w:tentative="0">
      <w:start w:val="1"/>
      <w:numFmt w:val="decimal"/>
      <w:suff w:val="nothing"/>
      <w:lvlText w:val="%1、"/>
      <w:lvlJc w:val="left"/>
    </w:lvl>
  </w:abstractNum>
  <w:abstractNum w:abstractNumId="4">
    <w:nsid w:val="FF4BB6DE"/>
    <w:multiLevelType w:val="singleLevel"/>
    <w:tmpl w:val="FF4BB6DE"/>
    <w:lvl w:ilvl="0" w:tentative="0">
      <w:start w:val="1"/>
      <w:numFmt w:val="decimal"/>
      <w:suff w:val="nothing"/>
      <w:lvlText w:val="%1、"/>
      <w:lvlJc w:val="left"/>
    </w:lvl>
  </w:abstractNum>
  <w:abstractNum w:abstractNumId="5">
    <w:nsid w:val="FF9379A8"/>
    <w:multiLevelType w:val="singleLevel"/>
    <w:tmpl w:val="FF9379A8"/>
    <w:lvl w:ilvl="0" w:tentative="0">
      <w:start w:val="2"/>
      <w:numFmt w:val="chineseCounting"/>
      <w:suff w:val="nothing"/>
      <w:lvlText w:val="（%1）"/>
      <w:lvlJc w:val="left"/>
      <w:rPr>
        <w:rFonts w:hint="eastAsia"/>
      </w:rPr>
    </w:lvl>
  </w:abstractNum>
  <w:abstractNum w:abstractNumId="6">
    <w:nsid w:val="116B29BF"/>
    <w:multiLevelType w:val="singleLevel"/>
    <w:tmpl w:val="116B29BF"/>
    <w:lvl w:ilvl="0" w:tentative="0">
      <w:start w:val="3"/>
      <w:numFmt w:val="chineseCounting"/>
      <w:suff w:val="nothing"/>
      <w:lvlText w:val="%1、"/>
      <w:lvlJc w:val="left"/>
      <w:rPr>
        <w:rFonts w:hint="eastAsia"/>
      </w:rPr>
    </w:lvl>
  </w:abstractNum>
  <w:abstractNum w:abstractNumId="7">
    <w:nsid w:val="27813159"/>
    <w:multiLevelType w:val="singleLevel"/>
    <w:tmpl w:val="27813159"/>
    <w:lvl w:ilvl="0" w:tentative="0">
      <w:start w:val="3"/>
      <w:numFmt w:val="chineseCounting"/>
      <w:suff w:val="nothing"/>
      <w:lvlText w:val="（%1）"/>
      <w:lvlJc w:val="left"/>
      <w:rPr>
        <w:rFonts w:hint="eastAsia"/>
      </w:rPr>
    </w:lvl>
  </w:abstractNum>
  <w:abstractNum w:abstractNumId="8">
    <w:nsid w:val="3730CCE4"/>
    <w:multiLevelType w:val="singleLevel"/>
    <w:tmpl w:val="3730CCE4"/>
    <w:lvl w:ilvl="0" w:tentative="0">
      <w:start w:val="2"/>
      <w:numFmt w:val="decimal"/>
      <w:suff w:val="nothing"/>
      <w:lvlText w:val="（%1）"/>
      <w:lvlJc w:val="left"/>
    </w:lvl>
  </w:abstractNum>
  <w:num w:numId="1">
    <w:abstractNumId w:val="8"/>
  </w:num>
  <w:num w:numId="2">
    <w:abstractNumId w:val="2"/>
  </w:num>
  <w:num w:numId="3">
    <w:abstractNumId w:val="1"/>
  </w:num>
  <w:num w:numId="4">
    <w:abstractNumId w:val="7"/>
  </w:num>
  <w:num w:numId="5">
    <w:abstractNumId w:val="6"/>
  </w:num>
  <w:num w:numId="6">
    <w:abstractNumId w:val="5"/>
  </w:num>
  <w:num w:numId="7">
    <w:abstractNumId w:val="3"/>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2476D"/>
    <w:rsid w:val="00535153"/>
    <w:rsid w:val="00554F82"/>
    <w:rsid w:val="0056390D"/>
    <w:rsid w:val="005719B0"/>
    <w:rsid w:val="005D10D6"/>
    <w:rsid w:val="006F4D18"/>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41C5175"/>
    <w:rsid w:val="051A56F5"/>
    <w:rsid w:val="066D6EAA"/>
    <w:rsid w:val="06A90704"/>
    <w:rsid w:val="08C662D4"/>
    <w:rsid w:val="096F3558"/>
    <w:rsid w:val="09BD4D95"/>
    <w:rsid w:val="0C8E53E1"/>
    <w:rsid w:val="0F8D41CB"/>
    <w:rsid w:val="0FF4526A"/>
    <w:rsid w:val="11C75270"/>
    <w:rsid w:val="12637CC3"/>
    <w:rsid w:val="12E657C5"/>
    <w:rsid w:val="167C7687"/>
    <w:rsid w:val="168B3546"/>
    <w:rsid w:val="1A2374E0"/>
    <w:rsid w:val="1C317CE2"/>
    <w:rsid w:val="1D7F7D03"/>
    <w:rsid w:val="1DD45808"/>
    <w:rsid w:val="1DED42AC"/>
    <w:rsid w:val="1EF90283"/>
    <w:rsid w:val="20005763"/>
    <w:rsid w:val="20FB313D"/>
    <w:rsid w:val="220B4804"/>
    <w:rsid w:val="27CF488C"/>
    <w:rsid w:val="282475E3"/>
    <w:rsid w:val="287056F5"/>
    <w:rsid w:val="2C6100C1"/>
    <w:rsid w:val="2CDC6670"/>
    <w:rsid w:val="31CF5185"/>
    <w:rsid w:val="3264220D"/>
    <w:rsid w:val="32F82EDC"/>
    <w:rsid w:val="346307FF"/>
    <w:rsid w:val="36AF15ED"/>
    <w:rsid w:val="372B7E6A"/>
    <w:rsid w:val="3963178C"/>
    <w:rsid w:val="3B5E19C7"/>
    <w:rsid w:val="3C537EBE"/>
    <w:rsid w:val="3DEF2390"/>
    <w:rsid w:val="41CC2676"/>
    <w:rsid w:val="46B21672"/>
    <w:rsid w:val="4F552460"/>
    <w:rsid w:val="4FCC6863"/>
    <w:rsid w:val="500A214A"/>
    <w:rsid w:val="51024370"/>
    <w:rsid w:val="522D604D"/>
    <w:rsid w:val="5297585E"/>
    <w:rsid w:val="52AD7D6F"/>
    <w:rsid w:val="54BC204A"/>
    <w:rsid w:val="5549519D"/>
    <w:rsid w:val="5557596B"/>
    <w:rsid w:val="5B327BC0"/>
    <w:rsid w:val="5B596DFC"/>
    <w:rsid w:val="5DF03945"/>
    <w:rsid w:val="61AF798C"/>
    <w:rsid w:val="637C2815"/>
    <w:rsid w:val="66D621BA"/>
    <w:rsid w:val="69C2001F"/>
    <w:rsid w:val="6F182ECD"/>
    <w:rsid w:val="6F676F64"/>
    <w:rsid w:val="72563A77"/>
    <w:rsid w:val="75101DB7"/>
    <w:rsid w:val="76624EFE"/>
    <w:rsid w:val="7A353D0B"/>
    <w:rsid w:val="7D3A5E2F"/>
    <w:rsid w:val="7E645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Indent 2"/>
    <w:basedOn w:val="1"/>
    <w:qFormat/>
    <w:uiPriority w:val="0"/>
    <w:pPr>
      <w:spacing w:before="100" w:beforeAutospacing="1" w:after="100" w:afterAutospacing="1" w:line="480" w:lineRule="auto"/>
      <w:ind w:left="200" w:leftChars="200"/>
    </w:p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51"/>
    <w:semiHidden/>
    <w:unhideWhenUsed/>
    <w:qFormat/>
    <w:uiPriority w:val="99"/>
    <w:rPr>
      <w:sz w:val="18"/>
      <w:szCs w:val="18"/>
    </w:rPr>
  </w:style>
  <w:style w:type="paragraph" w:styleId="15">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toc 1"/>
    <w:basedOn w:val="1"/>
    <w:next w:val="1"/>
    <w:unhideWhenUsed/>
    <w:qFormat/>
    <w:uiPriority w:val="39"/>
    <w:pPr>
      <w:spacing w:before="120" w:after="120"/>
      <w:jc w:val="left"/>
    </w:pPr>
    <w:rPr>
      <w:rFonts w:ascii="Calibri" w:hAnsi="Calibri" w:cs="Calibri"/>
      <w:b/>
      <w:bCs/>
      <w:caps/>
      <w:sz w:val="20"/>
      <w:szCs w:val="20"/>
    </w:rPr>
  </w:style>
  <w:style w:type="paragraph" w:styleId="18">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19">
    <w:name w:val="toc 2"/>
    <w:basedOn w:val="1"/>
    <w:next w:val="1"/>
    <w:unhideWhenUsed/>
    <w:qFormat/>
    <w:uiPriority w:val="39"/>
    <w:pPr>
      <w:ind w:left="280"/>
      <w:jc w:val="left"/>
    </w:pPr>
    <w:rPr>
      <w:rFonts w:ascii="Calibri" w:hAnsi="Calibri" w:cs="Calibri"/>
      <w:smallCaps/>
      <w:sz w:val="20"/>
      <w:szCs w:val="20"/>
    </w:rPr>
  </w:style>
  <w:style w:type="paragraph" w:styleId="20">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1">
    <w:name w:val="Body Text First Indent"/>
    <w:basedOn w:val="13"/>
    <w:qFormat/>
    <w:uiPriority w:val="0"/>
    <w:pPr>
      <w:spacing w:after="0"/>
      <w:ind w:firstLine="20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customStyle="1" w:styleId="26">
    <w:name w:val="标题 1 字符"/>
    <w:basedOn w:val="23"/>
    <w:link w:val="3"/>
    <w:qFormat/>
    <w:uiPriority w:val="9"/>
    <w:rPr>
      <w:rFonts w:asciiTheme="majorHAnsi" w:hAnsiTheme="majorHAnsi" w:eastAsiaTheme="majorEastAsia"/>
      <w:b/>
      <w:bCs/>
      <w:kern w:val="32"/>
      <w:sz w:val="32"/>
      <w:szCs w:val="32"/>
    </w:rPr>
  </w:style>
  <w:style w:type="character" w:customStyle="1" w:styleId="27">
    <w:name w:val="标题 2 字符"/>
    <w:basedOn w:val="23"/>
    <w:link w:val="4"/>
    <w:semiHidden/>
    <w:qFormat/>
    <w:uiPriority w:val="9"/>
    <w:rPr>
      <w:rFonts w:asciiTheme="majorHAnsi" w:hAnsiTheme="majorHAnsi" w:eastAsiaTheme="majorEastAsia"/>
      <w:b/>
      <w:bCs/>
      <w:i/>
      <w:iCs/>
      <w:sz w:val="28"/>
      <w:szCs w:val="28"/>
    </w:rPr>
  </w:style>
  <w:style w:type="character" w:customStyle="1" w:styleId="28">
    <w:name w:val="标题 3 字符"/>
    <w:basedOn w:val="23"/>
    <w:link w:val="5"/>
    <w:semiHidden/>
    <w:qFormat/>
    <w:uiPriority w:val="9"/>
    <w:rPr>
      <w:rFonts w:asciiTheme="majorHAnsi" w:hAnsiTheme="majorHAnsi" w:eastAsiaTheme="majorEastAsia"/>
      <w:b/>
      <w:bCs/>
      <w:sz w:val="26"/>
      <w:szCs w:val="26"/>
    </w:rPr>
  </w:style>
  <w:style w:type="character" w:customStyle="1" w:styleId="29">
    <w:name w:val="标题 4 字符"/>
    <w:basedOn w:val="23"/>
    <w:link w:val="6"/>
    <w:semiHidden/>
    <w:qFormat/>
    <w:uiPriority w:val="9"/>
    <w:rPr>
      <w:b/>
      <w:bCs/>
      <w:sz w:val="28"/>
      <w:szCs w:val="28"/>
    </w:rPr>
  </w:style>
  <w:style w:type="character" w:customStyle="1" w:styleId="30">
    <w:name w:val="标题 5 字符"/>
    <w:basedOn w:val="23"/>
    <w:link w:val="7"/>
    <w:semiHidden/>
    <w:qFormat/>
    <w:uiPriority w:val="9"/>
    <w:rPr>
      <w:b/>
      <w:bCs/>
      <w:i/>
      <w:iCs/>
      <w:sz w:val="26"/>
      <w:szCs w:val="26"/>
    </w:rPr>
  </w:style>
  <w:style w:type="character" w:customStyle="1" w:styleId="31">
    <w:name w:val="标题 6 字符"/>
    <w:basedOn w:val="23"/>
    <w:link w:val="8"/>
    <w:semiHidden/>
    <w:qFormat/>
    <w:uiPriority w:val="9"/>
    <w:rPr>
      <w:b/>
      <w:bCs/>
    </w:rPr>
  </w:style>
  <w:style w:type="character" w:customStyle="1" w:styleId="32">
    <w:name w:val="标题 7 字符"/>
    <w:basedOn w:val="23"/>
    <w:link w:val="9"/>
    <w:semiHidden/>
    <w:qFormat/>
    <w:uiPriority w:val="9"/>
    <w:rPr>
      <w:sz w:val="24"/>
      <w:szCs w:val="24"/>
    </w:rPr>
  </w:style>
  <w:style w:type="character" w:customStyle="1" w:styleId="33">
    <w:name w:val="标题 8 字符"/>
    <w:basedOn w:val="23"/>
    <w:link w:val="10"/>
    <w:semiHidden/>
    <w:qFormat/>
    <w:uiPriority w:val="9"/>
    <w:rPr>
      <w:i/>
      <w:iCs/>
      <w:sz w:val="24"/>
      <w:szCs w:val="24"/>
    </w:rPr>
  </w:style>
  <w:style w:type="character" w:customStyle="1" w:styleId="34">
    <w:name w:val="标题 9 字符"/>
    <w:basedOn w:val="23"/>
    <w:link w:val="11"/>
    <w:semiHidden/>
    <w:qFormat/>
    <w:uiPriority w:val="9"/>
    <w:rPr>
      <w:rFonts w:asciiTheme="majorHAnsi" w:hAnsiTheme="majorHAnsi" w:eastAsiaTheme="majorEastAsia"/>
    </w:rPr>
  </w:style>
  <w:style w:type="character" w:customStyle="1" w:styleId="35">
    <w:name w:val="标题 字符"/>
    <w:basedOn w:val="23"/>
    <w:link w:val="20"/>
    <w:qFormat/>
    <w:uiPriority w:val="10"/>
    <w:rPr>
      <w:rFonts w:asciiTheme="majorHAnsi" w:hAnsiTheme="majorHAnsi" w:eastAsiaTheme="majorEastAsia"/>
      <w:b/>
      <w:bCs/>
      <w:kern w:val="28"/>
      <w:sz w:val="32"/>
      <w:szCs w:val="32"/>
    </w:rPr>
  </w:style>
  <w:style w:type="character" w:customStyle="1" w:styleId="36">
    <w:name w:val="副标题 字符"/>
    <w:basedOn w:val="23"/>
    <w:link w:val="18"/>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3"/>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3"/>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3"/>
    <w:qFormat/>
    <w:uiPriority w:val="21"/>
    <w:rPr>
      <w:b/>
      <w:i/>
      <w:sz w:val="24"/>
      <w:szCs w:val="24"/>
      <w:u w:val="single"/>
    </w:rPr>
  </w:style>
  <w:style w:type="character" w:customStyle="1" w:styleId="45">
    <w:name w:val="不明显参考1"/>
    <w:basedOn w:val="23"/>
    <w:qFormat/>
    <w:uiPriority w:val="31"/>
    <w:rPr>
      <w:sz w:val="24"/>
      <w:szCs w:val="24"/>
      <w:u w:val="single"/>
    </w:rPr>
  </w:style>
  <w:style w:type="character" w:customStyle="1" w:styleId="46">
    <w:name w:val="明显参考1"/>
    <w:basedOn w:val="23"/>
    <w:qFormat/>
    <w:uiPriority w:val="32"/>
    <w:rPr>
      <w:b/>
      <w:sz w:val="24"/>
      <w:u w:val="single"/>
    </w:rPr>
  </w:style>
  <w:style w:type="character" w:customStyle="1" w:styleId="47">
    <w:name w:val="书籍标题1"/>
    <w:basedOn w:val="23"/>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3"/>
    <w:link w:val="16"/>
    <w:qFormat/>
    <w:uiPriority w:val="99"/>
    <w:rPr>
      <w:rFonts w:ascii="Calibri" w:hAnsi="Calibri" w:eastAsia="宋体"/>
      <w:kern w:val="2"/>
      <w:sz w:val="18"/>
      <w:szCs w:val="18"/>
    </w:rPr>
  </w:style>
  <w:style w:type="character" w:customStyle="1" w:styleId="50">
    <w:name w:val="页脚 字符"/>
    <w:basedOn w:val="23"/>
    <w:link w:val="15"/>
    <w:qFormat/>
    <w:uiPriority w:val="99"/>
    <w:rPr>
      <w:rFonts w:ascii="Calibri" w:hAnsi="Calibri" w:eastAsia="宋体"/>
      <w:kern w:val="2"/>
      <w:sz w:val="18"/>
      <w:szCs w:val="18"/>
    </w:rPr>
  </w:style>
  <w:style w:type="character" w:customStyle="1" w:styleId="51">
    <w:name w:val="批注框文本 字符"/>
    <w:basedOn w:val="23"/>
    <w:link w:val="14"/>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 w:type="paragraph" w:customStyle="1" w:styleId="54">
    <w:name w:val="闻政-正文段落文字"/>
    <w:basedOn w:val="1"/>
    <w:qFormat/>
    <w:uiPriority w:val="3"/>
    <w:pPr>
      <w:spacing w:line="500" w:lineRule="exact"/>
      <w:ind w:firstLine="200"/>
    </w:pPr>
    <w:rPr>
      <w:rFonts w:ascii="Times New Roman" w:hAnsi="Times New Roman" w:cs="Times New Roman"/>
      <w:kern w:val="0"/>
      <w:szCs w:val="28"/>
    </w:rPr>
  </w:style>
  <w:style w:type="character" w:customStyle="1" w:styleId="55">
    <w:name w:val="font21"/>
    <w:basedOn w:val="23"/>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39</TotalTime>
  <ScaleCrop>false</ScaleCrop>
  <LinksUpToDate>false</LinksUpToDate>
  <CharactersWithSpaces>8963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2021-05-31T08:50:04Z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B9DDB892C1FA41F28D7474D7167F182A</vt:lpwstr>
  </property>
  <property fmtid="{D5CDD505-2E9C-101B-9397-08002B2CF9AE}" pid="4" name="KSOSaveFontToCloudKey">
    <vt:lpwstr>728097718_cloud</vt:lpwstr>
  </property>
</Properties>
</file>