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强筋早熟春小麦新品种引进试验示范推广项目资金项目支出绩效评价</w:t>
      </w: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2020年度）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项目名称：强筋早熟春小麦新品种引进试验示范推广项目</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实施单位（公章）：塔城地区农业技术推广中心</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主管部门（公章）：塔城地委农办</w:t>
      </w:r>
    </w:p>
    <w:p>
      <w:pPr>
        <w:spacing w:line="700" w:lineRule="exact"/>
        <w:ind w:firstLine="720" w:firstLineChars="200"/>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郭飞</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填报时间：2021年3月31日</w:t>
      </w:r>
    </w:p>
    <w:p>
      <w:pPr>
        <w:spacing w:line="600" w:lineRule="exact"/>
        <w:rPr>
          <w:rFonts w:ascii="黑体" w:hAnsi="黑体" w:eastAsia="黑体" w:cs="黑体"/>
          <w:bCs/>
          <w:sz w:val="32"/>
          <w:szCs w:val="32"/>
        </w:rPr>
      </w:pPr>
    </w:p>
    <w:p>
      <w:pPr>
        <w:spacing w:line="560" w:lineRule="exact"/>
        <w:rPr>
          <w:rFonts w:ascii="黑体" w:hAnsi="黑体" w:eastAsia="黑体" w:cs="黑体"/>
          <w:bCs/>
          <w:sz w:val="32"/>
          <w:szCs w:val="32"/>
        </w:rPr>
      </w:pPr>
      <w:r>
        <w:rPr>
          <w:rFonts w:hint="eastAsia" w:ascii="黑体" w:hAnsi="黑体" w:eastAsia="黑体" w:cs="黑体"/>
          <w:bCs/>
          <w:sz w:val="32"/>
          <w:szCs w:val="32"/>
        </w:rPr>
        <w:t>一、基本情况</w:t>
      </w:r>
    </w:p>
    <w:p>
      <w:pPr>
        <w:spacing w:line="560" w:lineRule="exact"/>
        <w:ind w:firstLine="64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（一）项目概况</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1、项目背景</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（1）项目实施的政策背景</w:t>
      </w:r>
    </w:p>
    <w:p>
      <w:pPr>
        <w:spacing w:line="560" w:lineRule="exact"/>
        <w:ind w:firstLine="640" w:firstLineChars="200"/>
        <w:rPr>
          <w:rFonts w:ascii="仿宋_GB2312" w:hAnsi="仿宋_GB2312" w:eastAsia="仿宋_GB2312" w:cs="仿宋_GB2312"/>
          <w:bCs/>
          <w:kern w:val="0"/>
          <w:sz w:val="32"/>
          <w:szCs w:val="32"/>
        </w:rPr>
      </w:pPr>
      <w:r>
        <w:rPr>
          <w:rFonts w:ascii="仿宋_GB2312" w:hAnsi="仿宋_GB2312" w:eastAsia="仿宋_GB2312" w:cs="仿宋_GB2312"/>
          <w:bCs/>
          <w:kern w:val="0"/>
          <w:sz w:val="32"/>
          <w:szCs w:val="32"/>
        </w:rPr>
        <w:t>根据新党农领办[2020]2号《关于做好2020年自治区农业科技推广与服务项目实施工作的通知》，项目补助资金共1183.5万元，由自治区财政厅下拨至相应承担单位，其中塔城地区农业技术推广中心负责承担《强筋早熟春小麦新品种引进试验示范推广》项目，项目实施地点在额敏县郊区乡、上户乡、喀拉也木勒乡。项目补助资金30万元</w:t>
      </w:r>
      <w:r>
        <w:rPr>
          <w:rFonts w:hint="eastAsia" w:ascii="仿宋_GB2312" w:hAnsi="仿宋_GB2312" w:eastAsia="仿宋_GB2312" w:cs="仿宋_GB2312"/>
          <w:bCs/>
          <w:kern w:val="0"/>
          <w:sz w:val="32"/>
          <w:szCs w:val="32"/>
        </w:rPr>
        <w:t>。</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（2）项目实施的历史概况</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项目所在区域额敏县为塔城地区小麦主要种植区域，种植面积维持在30万亩左右，项目实施前主要种植品种有新春26号、新春37号，小麦单产在360公斤左右，其中春小麦单产在340公斤左右。</w:t>
      </w:r>
    </w:p>
    <w:p>
      <w:pPr>
        <w:spacing w:line="560" w:lineRule="exact"/>
        <w:ind w:firstLine="640" w:firstLineChars="20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本项目自2020年2月开始实施，以提高品质为核心，引进强筋早熟春小麦新品种新春44号、核春137，综合提高塔城盆地小麦包括产量、品质的生产水平。</w:t>
      </w:r>
    </w:p>
    <w:p>
      <w:pPr>
        <w:numPr>
          <w:ilvl w:val="0"/>
          <w:numId w:val="1"/>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项目主要内容及实施情况</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项目主要内容</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建设项目核心区1万亩，建设区域在额敏县郊区乡、上户镇和喀拉也木勒乡，建设内容：建设项目示范推广区：建设以额敏县为主要生产基地的高蛋白优质强筋小麦面积7万亩，其中：新春44号6万亩，核春137号1万亩。总结一套新春44号、核春137号强筋小麦田间生产技术规范。</w:t>
      </w:r>
    </w:p>
    <w:p>
      <w:pPr>
        <w:spacing w:line="560" w:lineRule="exac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本项目总投资30万元，其中：财政本级资金30万元。项目实际支出</w:t>
      </w:r>
      <w:r>
        <w:rPr>
          <w:rFonts w:hint="eastAsia" w:ascii="仿宋_GB2312" w:hAnsi="仿宋_GB2312" w:eastAsia="仿宋_GB2312" w:cs="仿宋_GB2312"/>
          <w:sz w:val="32"/>
          <w:szCs w:val="32"/>
          <w:lang w:val="en-US" w:eastAsia="zh-CN"/>
        </w:rPr>
        <w:t>20.33</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剩余资金主要是试验用地</w:t>
      </w:r>
      <w:r>
        <w:rPr>
          <w:rFonts w:hint="eastAsia" w:ascii="仿宋_GB2312" w:hAnsi="仿宋_GB2312" w:eastAsia="仿宋_GB2312" w:cs="仿宋_GB2312"/>
          <w:sz w:val="32"/>
          <w:szCs w:val="32"/>
          <w:lang w:val="en-US" w:eastAsia="zh-CN"/>
        </w:rPr>
        <w:t>3万</w:t>
      </w:r>
      <w:r>
        <w:rPr>
          <w:rFonts w:ascii="仿宋_GB2312" w:hAnsi="仿宋_GB2312" w:eastAsia="仿宋_GB2312" w:cs="仿宋_GB2312"/>
          <w:sz w:val="32"/>
          <w:szCs w:val="32"/>
        </w:rPr>
        <w:t>元、技术培训2</w:t>
      </w:r>
      <w:r>
        <w:rPr>
          <w:rFonts w:hint="eastAsia" w:ascii="仿宋_GB2312" w:hAnsi="仿宋_GB2312" w:eastAsia="仿宋_GB2312" w:cs="仿宋_GB2312"/>
          <w:sz w:val="32"/>
          <w:szCs w:val="32"/>
          <w:lang w:val="en-US" w:eastAsia="zh-CN"/>
        </w:rPr>
        <w:t>万</w:t>
      </w:r>
      <w:r>
        <w:rPr>
          <w:rFonts w:ascii="仿宋_GB2312" w:hAnsi="仿宋_GB2312" w:eastAsia="仿宋_GB2312" w:cs="仿宋_GB2312"/>
          <w:sz w:val="32"/>
          <w:szCs w:val="32"/>
        </w:rPr>
        <w:t>元、技术指导技术调查车辆维护费(</w:t>
      </w:r>
      <w:r>
        <w:rPr>
          <w:rFonts w:hint="eastAsia" w:ascii="仿宋_GB2312" w:hAnsi="仿宋_GB2312" w:eastAsia="仿宋_GB2312" w:cs="仿宋_GB2312"/>
          <w:sz w:val="32"/>
          <w:szCs w:val="32"/>
        </w:rPr>
        <w:t>车辆运行费）</w:t>
      </w:r>
      <w:r>
        <w:rPr>
          <w:rFonts w:hint="eastAsia" w:ascii="仿宋_GB2312" w:hAnsi="仿宋_GB2312" w:eastAsia="仿宋_GB2312" w:cs="仿宋_GB2312"/>
          <w:sz w:val="32"/>
          <w:szCs w:val="32"/>
          <w:lang w:val="en-US" w:eastAsia="zh-CN"/>
        </w:rPr>
        <w:t>3.31万</w:t>
      </w:r>
      <w:r>
        <w:rPr>
          <w:rFonts w:ascii="仿宋_GB2312" w:hAnsi="仿宋_GB2312" w:eastAsia="仿宋_GB2312" w:cs="仿宋_GB2312"/>
          <w:sz w:val="32"/>
          <w:szCs w:val="32"/>
        </w:rPr>
        <w:t>元、仪器设备费760元。</w:t>
      </w:r>
      <w:r>
        <w:rPr>
          <w:rFonts w:hint="eastAsia" w:ascii="仿宋_GB2312" w:hAnsi="仿宋_GB2312" w:eastAsia="仿宋_GB2312" w:cs="仿宋_GB2312"/>
          <w:sz w:val="32"/>
          <w:szCs w:val="32"/>
          <w:lang w:eastAsia="zh-CN"/>
        </w:rPr>
        <w:t>专用设备</w:t>
      </w:r>
      <w:r>
        <w:rPr>
          <w:rFonts w:hint="eastAsia" w:ascii="仿宋_GB2312" w:hAnsi="仿宋_GB2312" w:eastAsia="仿宋_GB2312" w:cs="仿宋_GB2312"/>
          <w:sz w:val="32"/>
          <w:szCs w:val="32"/>
          <w:lang w:val="en-US" w:eastAsia="zh-CN"/>
        </w:rPr>
        <w:t>1.2840万元。</w:t>
      </w:r>
      <w:r>
        <w:rPr>
          <w:rFonts w:hint="eastAsia" w:ascii="仿宋_GB2312" w:hAnsi="仿宋_GB2312" w:eastAsia="仿宋_GB2312" w:cs="仿宋_GB2312"/>
          <w:sz w:val="32"/>
          <w:szCs w:val="32"/>
        </w:rPr>
        <w:t>支出率为</w:t>
      </w:r>
      <w:r>
        <w:rPr>
          <w:rFonts w:hint="eastAsia" w:ascii="仿宋_GB2312" w:hAnsi="仿宋_GB2312" w:eastAsia="仿宋_GB2312" w:cs="仿宋_GB2312"/>
          <w:sz w:val="32"/>
          <w:szCs w:val="32"/>
          <w:lang w:val="en-US" w:eastAsia="zh-CN"/>
        </w:rPr>
        <w:t>67.77</w:t>
      </w:r>
      <w:r>
        <w:rPr>
          <w:rFonts w:hint="eastAsia" w:ascii="仿宋_GB2312" w:hAnsi="仿宋_GB2312" w:eastAsia="仿宋_GB2312" w:cs="仿宋_GB2312"/>
          <w:sz w:val="32"/>
          <w:szCs w:val="32"/>
        </w:rPr>
        <w:t>%。</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3、资金投入和使用情况</w:t>
      </w:r>
    </w:p>
    <w:p>
      <w:pPr>
        <w:spacing w:line="560" w:lineRule="exact"/>
        <w:ind w:firstLine="641"/>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spacing w:line="560" w:lineRule="exac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30万元，按照《项目资金管理办法》及单位财务制度等相关规定，资金支出符合农业技术推广与服务专项资金费用范围，做到了专款专用。在项目资金拨付和使用过程中，为确保项目资金的安全性，提高项目资金使用效率，严格遵循2020年部分自治区农业类资金的拨付程序，认真审核项目实施各阶段的相关材料和手续，根据项目实施进展情况拨付资金。</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Style w:val="2"/>
        <w:spacing w:before="0" w:after="0" w:line="560" w:lineRule="exac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项目预算资金来源于《关于下达2020年部分自治区农业类资金（项目部分）预算的通知》塔地财农[2020]10文件中批复的资金，项目资金到位30万元，实际支出</w:t>
      </w:r>
      <w:r>
        <w:rPr>
          <w:rFonts w:hint="eastAsia" w:ascii="仿宋_GB2312" w:hAnsi="仿宋_GB2312" w:eastAsia="仿宋_GB2312" w:cs="仿宋_GB2312"/>
          <w:b w:val="0"/>
          <w:bCs w:val="0"/>
          <w:kern w:val="2"/>
          <w:lang w:val="en-US" w:eastAsia="zh-CN"/>
        </w:rPr>
        <w:t>20.33</w:t>
      </w:r>
      <w:r>
        <w:rPr>
          <w:rFonts w:hint="eastAsia" w:ascii="仿宋_GB2312" w:hAnsi="仿宋_GB2312" w:eastAsia="仿宋_GB2312" w:cs="仿宋_GB2312"/>
          <w:b w:val="0"/>
          <w:bCs w:val="0"/>
          <w:kern w:val="2"/>
        </w:rPr>
        <w:t>万元，用于支付项目实施进程中的各项费用。</w:t>
      </w:r>
    </w:p>
    <w:p>
      <w:pPr>
        <w:spacing w:line="560" w:lineRule="exact"/>
        <w:ind w:firstLine="64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（二）项目绩效目标</w:t>
      </w:r>
    </w:p>
    <w:p>
      <w:pPr>
        <w:spacing w:line="560" w:lineRule="exact"/>
        <w:ind w:firstLine="640" w:firstLineChars="200"/>
        <w:contextualSpacing/>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1、总体目标</w:t>
      </w:r>
    </w:p>
    <w:p>
      <w:pPr>
        <w:spacing w:line="560" w:lineRule="exact"/>
        <w:ind w:firstLine="640" w:firstLineChars="200"/>
        <w:contextualSpacing/>
        <w:rPr>
          <w:rFonts w:eastAsia="仿宋_GB2312"/>
          <w:sz w:val="32"/>
          <w:szCs w:val="32"/>
        </w:rPr>
      </w:pPr>
      <w:r>
        <w:rPr>
          <w:rFonts w:hint="eastAsia" w:ascii="仿宋_GB2312" w:hAnsi="仿宋_GB2312" w:eastAsia="仿宋_GB2312" w:cs="仿宋_GB2312"/>
          <w:color w:val="000000" w:themeColor="text1"/>
          <w:sz w:val="32"/>
          <w:szCs w:val="32"/>
        </w:rPr>
        <w:t>在</w:t>
      </w:r>
      <w:r>
        <w:rPr>
          <w:rFonts w:eastAsia="仿宋_GB2312"/>
          <w:color w:val="000000" w:themeColor="text1"/>
          <w:sz w:val="32"/>
          <w:szCs w:val="32"/>
        </w:rPr>
        <w:t>额敏县郊区乡、上户镇和喀拉也木勒乡，建立核心引进试验示范区1万亩，</w:t>
      </w:r>
      <w:r>
        <w:rPr>
          <w:rFonts w:eastAsia="仿宋_GB2312"/>
          <w:sz w:val="32"/>
          <w:szCs w:val="32"/>
        </w:rPr>
        <w:t>引进春小麦高品质品种2~4个；建立项目示范推广区7万亩，其中：推广新春44号6万亩。核春137号1万亩，小麦单产水平比2019年项目区小麦单产水平提高5%，品质均达到强筋小麦标准。总结一套以加工品质为要求的强筋春小麦田间生产标准化技术规范。</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（1）前期准备：根据《强筋早熟春小麦新品中引进试验示范推广项目实施方案》，通过制定项目实施方案，经项目负责人审核通过后，有序开展后续工程。</w:t>
      </w:r>
    </w:p>
    <w:p>
      <w:pPr>
        <w:spacing w:line="560" w:lineRule="exact"/>
        <w:ind w:firstLine="640" w:firstLineChars="200"/>
        <w:contextualSpacing/>
        <w:rPr>
          <w:rFonts w:eastAsia="仿宋_GB2312"/>
          <w:sz w:val="32"/>
          <w:szCs w:val="32"/>
        </w:rPr>
      </w:pPr>
      <w:r>
        <w:rPr>
          <w:rFonts w:eastAsia="仿宋_GB2312"/>
          <w:sz w:val="32"/>
          <w:szCs w:val="32"/>
        </w:rPr>
        <w:t>（</w:t>
      </w:r>
      <w:r>
        <w:rPr>
          <w:rFonts w:hint="eastAsia" w:eastAsia="仿宋_GB2312"/>
          <w:sz w:val="32"/>
          <w:szCs w:val="32"/>
        </w:rPr>
        <w:t>2</w:t>
      </w:r>
      <w:r>
        <w:rPr>
          <w:rFonts w:eastAsia="仿宋_GB2312"/>
          <w:sz w:val="32"/>
          <w:szCs w:val="32"/>
        </w:rPr>
        <w:t>）2020年2月1日~3月20日：制定项目总体规划，提请项目申报，编制项目实施方案，制定项目实施计划，建立项目实施小组，确定项目技术协作单位，明确责任和任务分工。</w:t>
      </w:r>
    </w:p>
    <w:p>
      <w:pPr>
        <w:spacing w:line="560" w:lineRule="exact"/>
        <w:ind w:firstLine="640" w:firstLineChars="200"/>
        <w:contextualSpacing/>
        <w:rPr>
          <w:rFonts w:eastAsia="仿宋_GB2312"/>
          <w:sz w:val="32"/>
          <w:szCs w:val="32"/>
        </w:rPr>
      </w:pPr>
      <w:r>
        <w:rPr>
          <w:rFonts w:eastAsia="仿宋_GB2312"/>
          <w:sz w:val="32"/>
          <w:szCs w:val="32"/>
        </w:rPr>
        <w:t>（</w:t>
      </w:r>
      <w:r>
        <w:rPr>
          <w:rFonts w:hint="eastAsia" w:eastAsia="仿宋_GB2312"/>
          <w:sz w:val="32"/>
          <w:szCs w:val="32"/>
        </w:rPr>
        <w:t>3</w:t>
      </w:r>
      <w:r>
        <w:rPr>
          <w:rFonts w:eastAsia="仿宋_GB2312"/>
          <w:sz w:val="32"/>
          <w:szCs w:val="32"/>
        </w:rPr>
        <w:t>）2020年3月20~4月底：开展核心区和示范区建设工作。全面执行新品种的应急示范、良种繁育及高效栽培技术研究，同时进行新品种和新技术示范推广工作，对核心区小麦品种试验区进行确定，落实参试种子购置补贴及农资补贴；购置必要的小型仪器设备，重点抓好春季项目区播种工作。</w:t>
      </w:r>
    </w:p>
    <w:p>
      <w:pPr>
        <w:spacing w:line="560" w:lineRule="exact"/>
        <w:ind w:firstLine="640" w:firstLineChars="200"/>
        <w:contextualSpacing/>
        <w:rPr>
          <w:rFonts w:eastAsia="仿宋_GB2312"/>
          <w:sz w:val="32"/>
          <w:szCs w:val="32"/>
        </w:rPr>
      </w:pPr>
      <w:r>
        <w:rPr>
          <w:rFonts w:eastAsia="仿宋_GB2312"/>
          <w:sz w:val="32"/>
          <w:szCs w:val="32"/>
        </w:rPr>
        <w:t>（</w:t>
      </w:r>
      <w:r>
        <w:rPr>
          <w:rFonts w:hint="eastAsia" w:eastAsia="仿宋_GB2312"/>
          <w:sz w:val="32"/>
          <w:szCs w:val="32"/>
        </w:rPr>
        <w:t>5</w:t>
      </w:r>
      <w:r>
        <w:rPr>
          <w:rFonts w:eastAsia="仿宋_GB2312"/>
          <w:sz w:val="32"/>
          <w:szCs w:val="32"/>
        </w:rPr>
        <w:t>）2020年5月~8月：项目引种试验示范区实验调查、观察，核心区、示范推广区技术指导和技术咨询；项目核心区、示范区高产典型进行田间试验地勘验；项目实施区小麦进行取样，为品质测试做准备；品种引种试验区进行测产、取样、室内考种。</w:t>
      </w:r>
    </w:p>
    <w:p>
      <w:pPr>
        <w:spacing w:line="560" w:lineRule="exact"/>
        <w:ind w:firstLine="640" w:firstLineChars="200"/>
        <w:contextualSpacing/>
        <w:rPr>
          <w:rFonts w:eastAsia="仿宋_GB2312"/>
          <w:sz w:val="32"/>
          <w:szCs w:val="32"/>
        </w:rPr>
      </w:pPr>
      <w:r>
        <w:rPr>
          <w:rFonts w:eastAsia="仿宋_GB2312"/>
          <w:sz w:val="32"/>
          <w:szCs w:val="32"/>
        </w:rPr>
        <w:t>（</w:t>
      </w:r>
      <w:r>
        <w:rPr>
          <w:rFonts w:hint="eastAsia" w:eastAsia="仿宋_GB2312"/>
          <w:sz w:val="32"/>
          <w:szCs w:val="32"/>
        </w:rPr>
        <w:t>6</w:t>
      </w:r>
      <w:r>
        <w:rPr>
          <w:rFonts w:eastAsia="仿宋_GB2312"/>
          <w:sz w:val="32"/>
          <w:szCs w:val="32"/>
        </w:rPr>
        <w:t>）2020年9月~12月：对前期工作进行初步汇总；提交全年工作总结。着手进行项目验收工作并完成项目绩效评价。</w:t>
      </w:r>
    </w:p>
    <w:p>
      <w:pPr>
        <w:spacing w:line="560" w:lineRule="exact"/>
        <w:ind w:firstLine="641"/>
        <w:rPr>
          <w:rFonts w:ascii="黑体" w:hAnsi="黑体" w:eastAsia="黑体"/>
          <w:sz w:val="32"/>
          <w:szCs w:val="32"/>
        </w:rPr>
      </w:pPr>
      <w:r>
        <w:rPr>
          <w:rFonts w:hint="eastAsia" w:ascii="黑体" w:hAnsi="黑体" w:eastAsia="黑体"/>
          <w:sz w:val="32"/>
          <w:szCs w:val="32"/>
        </w:rPr>
        <w:t>二、绩效评价工作开展情况</w:t>
      </w:r>
    </w:p>
    <w:p>
      <w:pPr>
        <w:spacing w:line="560" w:lineRule="exact"/>
        <w:ind w:firstLine="641"/>
        <w:rPr>
          <w:rFonts w:ascii="楷体_GB2312" w:hAnsi="楷体_GB2312" w:eastAsia="楷体_GB2312" w:cs="楷体_GB2312"/>
          <w:bCs/>
          <w:sz w:val="32"/>
          <w:szCs w:val="32"/>
        </w:rPr>
      </w:pPr>
      <w:r>
        <w:rPr>
          <w:rFonts w:hint="eastAsia" w:ascii="楷体_GB2312" w:hAnsi="楷体_GB2312" w:eastAsia="楷体_GB2312" w:cs="楷体_GB2312"/>
          <w:bCs/>
          <w:sz w:val="32"/>
          <w:szCs w:val="32"/>
        </w:rPr>
        <w:t>（一）绩效评价目的、对象和范围</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1、绩效评价的目的</w:t>
      </w:r>
    </w:p>
    <w:p>
      <w:pPr>
        <w:widowControl/>
        <w:spacing w:line="560" w:lineRule="exact"/>
        <w:ind w:firstLine="640" w:firstLineChars="200"/>
        <w:rPr>
          <w:rFonts w:ascii="仿宋_GB2312" w:eastAsia="仿宋_GB2312"/>
          <w:sz w:val="32"/>
          <w:szCs w:val="32"/>
        </w:rPr>
      </w:pPr>
      <w:r>
        <w:rPr>
          <w:rFonts w:hint="eastAsia" w:ascii="仿宋_GB2312" w:eastAsia="仿宋_GB2312"/>
          <w:sz w:val="32"/>
          <w:szCs w:val="32"/>
        </w:rPr>
        <w:t>按照项目既定指标，对资金支出行为过程及其效果进行综合评价和判断，评价资金使用的科学性、合理性和有效性，分析存在的问题，提出完善资金管理和项目管理的制度机制、调整支出结构相关建议，为年度预算编制提供参考依据，促进提高资金使用效益。通过绩效评价基本体现项目年度专项转移支付资金的使用情况和发挥的效益。在今后的工作中,把绩效评价结果作为以后年度专项转移支付预算申请、安排、分配的重要依据。根据绩效评价结果,进一步加大对项目执行的督促检查工作,以最大限度发挥专项资金应有的作用。</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2、绩效评价的对象</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绩效评价对象为强筋早熟春小麦新品种引进试验示范推广项目财政专项资金，主要包括财政资金使用情况、财务管理状况和资产配置、使用、处置及其管理情况。</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3、绩效评价的范围</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（1）财政资金使用情况、财务管理状况；</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（2）为加强项目管理所制定的相关制度、采取的措施等；</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（3）绩效目标的实现程度，包括是否达到预定产出和效果等；</w:t>
      </w:r>
    </w:p>
    <w:p>
      <w:pPr>
        <w:adjustRightInd w:val="0"/>
        <w:snapToGrid w:val="0"/>
        <w:spacing w:line="560" w:lineRule="exact"/>
        <w:ind w:firstLine="640" w:firstLineChars="200"/>
      </w:pPr>
      <w:r>
        <w:rPr>
          <w:rFonts w:hint="eastAsia" w:ascii="仿宋_GB2312" w:eastAsia="仿宋_GB2312"/>
          <w:sz w:val="32"/>
          <w:szCs w:val="32"/>
        </w:rPr>
        <w:t>（4）需要评价的其他内容。</w:t>
      </w:r>
    </w:p>
    <w:p>
      <w:pPr>
        <w:spacing w:line="560" w:lineRule="exact"/>
        <w:ind w:firstLine="641"/>
        <w:rPr>
          <w:rFonts w:hint="eastAsia" w:ascii="楷体_GB2312" w:hAnsi="楷体_GB2312" w:eastAsia="楷体_GB2312" w:cs="楷体_GB2312"/>
          <w:bCs/>
          <w:sz w:val="32"/>
          <w:szCs w:val="32"/>
        </w:rPr>
      </w:pPr>
    </w:p>
    <w:p>
      <w:pPr>
        <w:spacing w:line="560" w:lineRule="exact"/>
        <w:ind w:firstLine="641"/>
        <w:rPr>
          <w:rFonts w:ascii="仿宋_GB2312"/>
        </w:rPr>
      </w:pPr>
      <w:r>
        <w:rPr>
          <w:rFonts w:hint="eastAsia" w:ascii="楷体_GB2312" w:hAnsi="楷体_GB2312" w:eastAsia="楷体_GB2312" w:cs="楷体_GB2312"/>
          <w:bCs/>
          <w:sz w:val="32"/>
          <w:szCs w:val="32"/>
        </w:rPr>
        <w:t>（二）绩效评价原则、评价指标体系（详情见表1）、评价方法、评价标准。</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1、绩效评价原则</w:t>
      </w:r>
    </w:p>
    <w:p>
      <w:pPr>
        <w:spacing w:line="560" w:lineRule="exact"/>
        <w:ind w:firstLine="641"/>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w:t>
      </w:r>
    </w:p>
    <w:p>
      <w:pPr>
        <w:pStyle w:val="2"/>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widowControl w:val="0"/>
        <w:spacing w:before="0" w:after="0" w:line="560" w:lineRule="exac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2、评价指标体系</w:t>
      </w:r>
    </w:p>
    <w:p>
      <w:pPr>
        <w:spacing w:line="560" w:lineRule="exact"/>
        <w:ind w:firstLine="641"/>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采用层次分析法，建立评价指标体系。绩效评价将指标分为项目资金</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、项目产出、项目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效益</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确定各个指标相对于项目总体绩效的权重分值。在绩效评价指标体系中，项目决策为5，项目过程为5，项目产出权重值占50，项目效益权重值占40。</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spacing w:line="56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pPr>
        <w:pStyle w:val="2"/>
        <w:keepNext w:val="0"/>
        <w:keepLines w:val="0"/>
        <w:pageBreakBefore w:val="0"/>
        <w:widowControl w:val="0"/>
        <w:kinsoku/>
        <w:wordWrap/>
        <w:overflowPunct/>
        <w:topLinePunct w:val="0"/>
        <w:autoSpaceDE/>
        <w:autoSpaceDN/>
        <w:bidi w:val="0"/>
        <w:adjustRightInd/>
        <w:snapToGrid/>
        <w:spacing w:before="120" w:line="600" w:lineRule="exac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3、绩效评价方法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spacing w:line="600" w:lineRule="exac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spacing w:line="600" w:lineRule="exac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widowControl w:val="0"/>
        <w:spacing w:line="600" w:lineRule="exact"/>
        <w:ind w:firstLine="641"/>
        <w:jc w:val="both"/>
        <w:outlineLvl w:val="9"/>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4、评价标准</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numPr>
          <w:ilvl w:val="0"/>
          <w:numId w:val="2"/>
        </w:numPr>
        <w:jc w:val="both"/>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41"/>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41"/>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560" w:lineRule="exact"/>
        <w:ind w:firstLine="641"/>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widowControl w:val="0"/>
        <w:spacing w:before="0" w:after="0" w:line="560" w:lineRule="exact"/>
        <w:ind w:firstLine="641"/>
        <w:jc w:val="both"/>
        <w:outlineLvl w:val="9"/>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对强筋早熟春小麦新品种引进试验示范推广项目进行客观评价，最终评分结果：总得分为91.72分，</w:t>
      </w:r>
      <w:r>
        <w:rPr>
          <w:rFonts w:hint="eastAsia" w:ascii="仿宋_GB2312" w:hAnsi="仿宋_GB2312" w:eastAsia="仿宋_GB2312" w:cs="仿宋_GB2312"/>
          <w:b w:val="0"/>
          <w:bCs w:val="0"/>
          <w:color w:val="000000" w:themeColor="text1"/>
          <w:spacing w:val="17"/>
          <w:kern w:val="2"/>
        </w:rPr>
        <w:t>属于“优”。其中，项目决策类指标权重为5分，得分为5分，得分率为100%。项目过程类指标权重为</w:t>
      </w:r>
      <w:r>
        <w:rPr>
          <w:rFonts w:hint="eastAsia" w:ascii="仿宋_GB2312" w:hAnsi="仿宋_GB2312" w:eastAsia="仿宋_GB2312" w:cs="仿宋_GB2312"/>
          <w:b w:val="0"/>
          <w:bCs w:val="0"/>
          <w:color w:val="000000"/>
          <w:spacing w:val="17"/>
          <w:kern w:val="2"/>
        </w:rPr>
        <w:t>5分，得分为4.72分，得分率为94.4%。项目产出类指标权重为50分，得分为47分，得分率为94%。项目效益类指标权重为40分，得分为35分，得分率为92.5%。</w:t>
      </w:r>
    </w:p>
    <w:p>
      <w:pPr>
        <w:pStyle w:val="2"/>
        <w:spacing w:before="0" w:after="0" w:line="560" w:lineRule="exact"/>
        <w:rPr>
          <w:rFonts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p/>
    <w:tbl>
      <w:tblPr>
        <w:tblStyle w:val="18"/>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widowControl/>
              <w:tabs>
                <w:tab w:val="left" w:pos="1333"/>
                <w:tab w:val="center" w:pos="3623"/>
              </w:tabs>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0.72</w:t>
            </w:r>
          </w:p>
        </w:tc>
        <w:tc>
          <w:tcPr>
            <w:tcW w:w="1215" w:type="dxa"/>
            <w:shd w:val="clear" w:color="auto" w:fill="FFFFFF"/>
            <w:vAlign w:val="center"/>
          </w:tcPr>
          <w:p>
            <w:pPr>
              <w:widowControl/>
              <w:spacing w:line="0" w:lineRule="atLeast"/>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rPr>
              <w:t>7</w:t>
            </w:r>
            <w:r>
              <w:rPr>
                <w:rFonts w:hint="eastAsia" w:ascii="宋体" w:hAnsi="宋体" w:cs="宋体"/>
                <w:color w:val="000000"/>
                <w:kern w:val="0"/>
                <w:sz w:val="22"/>
                <w:szCs w:val="22"/>
                <w:lang w:val="en-US" w:eastAsia="zh-CN"/>
              </w:rPr>
              <w:t>2%</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0.72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9</w:t>
            </w:r>
            <w:r>
              <w:rPr>
                <w:rFonts w:hint="eastAsia" w:ascii="宋体" w:hAnsi="宋体" w:cs="宋体"/>
                <w:color w:val="000000"/>
                <w:kern w:val="0"/>
                <w:sz w:val="22"/>
                <w:szCs w:val="22"/>
                <w:lang w:val="en-US" w:eastAsia="zh-CN"/>
              </w:rPr>
              <w:t>0%</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1283"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1215" w:type="dxa"/>
            <w:shd w:val="clear" w:color="000000" w:fill="FFFFFF"/>
            <w:vAlign w:val="center"/>
          </w:tcPr>
          <w:p>
            <w:pPr>
              <w:widowControl/>
              <w:spacing w:line="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rPr>
              <w:t>8</w:t>
            </w:r>
            <w:r>
              <w:rPr>
                <w:rFonts w:hint="eastAsia" w:ascii="宋体" w:hAnsi="宋体" w:cs="宋体"/>
                <w:color w:val="000000"/>
                <w:kern w:val="0"/>
                <w:sz w:val="22"/>
                <w:szCs w:val="22"/>
                <w:lang w:val="en-US" w:eastAsia="zh-CN"/>
              </w:rPr>
              <w:t>0%</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35</w:t>
            </w:r>
          </w:p>
        </w:tc>
        <w:tc>
          <w:tcPr>
            <w:tcW w:w="104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35</w:t>
            </w:r>
          </w:p>
        </w:tc>
        <w:tc>
          <w:tcPr>
            <w:tcW w:w="924"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35</w:t>
            </w:r>
          </w:p>
        </w:tc>
        <w:tc>
          <w:tcPr>
            <w:tcW w:w="1215"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r>
              <w:rPr>
                <w:rFonts w:hint="eastAsia" w:ascii="宋体" w:hAnsi="宋体" w:cs="宋体"/>
                <w:color w:val="000000"/>
                <w:kern w:val="0"/>
                <w:sz w:val="22"/>
                <w:szCs w:val="22"/>
                <w:lang w:val="en-US" w:eastAsia="zh-CN"/>
              </w:rPr>
              <w:t>%</w:t>
            </w:r>
          </w:p>
        </w:tc>
        <w:tc>
          <w:tcPr>
            <w:tcW w:w="960"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990"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283"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170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widowControl/>
              <w:spacing w:line="0" w:lineRule="atLeast"/>
              <w:jc w:val="center"/>
              <w:rPr>
                <w:rFonts w:ascii="宋体" w:hAnsi="宋体" w:cs="宋体"/>
                <w:color w:val="auto"/>
                <w:kern w:val="0"/>
                <w:sz w:val="22"/>
                <w:szCs w:val="22"/>
              </w:rPr>
            </w:pPr>
            <w:r>
              <w:rPr>
                <w:rFonts w:hint="eastAsia" w:ascii="宋体" w:hAnsi="宋体" w:cs="宋体"/>
                <w:color w:val="auto"/>
                <w:kern w:val="0"/>
                <w:sz w:val="22"/>
                <w:szCs w:val="22"/>
              </w:rPr>
              <w:t>5</w:t>
            </w:r>
          </w:p>
        </w:tc>
        <w:tc>
          <w:tcPr>
            <w:tcW w:w="1044" w:type="dxa"/>
            <w:shd w:val="clear" w:color="000000" w:fill="FFFFFF"/>
            <w:vAlign w:val="center"/>
          </w:tcPr>
          <w:p>
            <w:pPr>
              <w:widowControl/>
              <w:spacing w:line="0" w:lineRule="atLeast"/>
              <w:jc w:val="center"/>
              <w:rPr>
                <w:rFonts w:ascii="宋体" w:hAnsi="宋体" w:cs="宋体"/>
                <w:color w:val="auto"/>
                <w:kern w:val="0"/>
                <w:sz w:val="22"/>
                <w:szCs w:val="22"/>
              </w:rPr>
            </w:pPr>
            <w:r>
              <w:rPr>
                <w:rFonts w:hint="eastAsia" w:ascii="宋体" w:hAnsi="宋体" w:cs="宋体"/>
                <w:color w:val="auto"/>
                <w:kern w:val="0"/>
                <w:sz w:val="22"/>
                <w:szCs w:val="22"/>
              </w:rPr>
              <w:t>5</w:t>
            </w:r>
          </w:p>
        </w:tc>
        <w:tc>
          <w:tcPr>
            <w:tcW w:w="924" w:type="dxa"/>
            <w:shd w:val="clear" w:color="000000" w:fill="FFFFFF"/>
            <w:vAlign w:val="center"/>
          </w:tcPr>
          <w:p>
            <w:pPr>
              <w:widowControl/>
              <w:spacing w:line="0" w:lineRule="atLeast"/>
              <w:jc w:val="center"/>
              <w:rPr>
                <w:rFonts w:ascii="宋体" w:hAnsi="宋体" w:cs="宋体"/>
                <w:color w:val="auto"/>
                <w:kern w:val="0"/>
                <w:sz w:val="22"/>
                <w:szCs w:val="22"/>
              </w:rPr>
            </w:pPr>
            <w:r>
              <w:rPr>
                <w:rFonts w:hint="eastAsia" w:ascii="宋体" w:hAnsi="宋体" w:cs="宋体"/>
                <w:color w:val="auto"/>
                <w:kern w:val="0"/>
                <w:sz w:val="22"/>
                <w:szCs w:val="22"/>
              </w:rPr>
              <w:t>0</w:t>
            </w:r>
          </w:p>
        </w:tc>
        <w:tc>
          <w:tcPr>
            <w:tcW w:w="1215" w:type="dxa"/>
            <w:shd w:val="clear" w:color="000000" w:fill="FFFFFF"/>
            <w:vAlign w:val="center"/>
          </w:tcPr>
          <w:p>
            <w:pPr>
              <w:widowControl/>
              <w:spacing w:line="0" w:lineRule="atLeast"/>
              <w:jc w:val="center"/>
              <w:rPr>
                <w:rFonts w:hint="eastAsia" w:ascii="宋体" w:hAnsi="宋体" w:eastAsia="宋体" w:cs="宋体"/>
                <w:color w:val="auto"/>
                <w:kern w:val="0"/>
                <w:sz w:val="22"/>
                <w:szCs w:val="22"/>
                <w:lang w:val="en-US" w:eastAsia="zh-CN"/>
              </w:rPr>
            </w:pPr>
            <w:r>
              <w:rPr>
                <w:rFonts w:hint="eastAsia" w:ascii="宋体" w:hAnsi="宋体" w:cs="宋体"/>
                <w:color w:val="auto"/>
                <w:kern w:val="0"/>
                <w:sz w:val="22"/>
                <w:szCs w:val="22"/>
              </w:rPr>
              <w:t>0</w:t>
            </w:r>
            <w:r>
              <w:rPr>
                <w:rFonts w:hint="eastAsia" w:ascii="宋体" w:hAnsi="宋体" w:cs="宋体"/>
                <w:color w:val="auto"/>
                <w:kern w:val="0"/>
                <w:sz w:val="22"/>
                <w:szCs w:val="22"/>
                <w:lang w:val="en-US" w:eastAsia="zh-CN"/>
              </w:rPr>
              <w:t>%</w:t>
            </w:r>
          </w:p>
        </w:tc>
        <w:tc>
          <w:tcPr>
            <w:tcW w:w="960" w:type="dxa"/>
            <w:shd w:val="clear" w:color="000000" w:fill="FFFFFF"/>
            <w:vAlign w:val="center"/>
          </w:tcPr>
          <w:p>
            <w:pPr>
              <w:widowControl/>
              <w:spacing w:line="0" w:lineRule="atLeast"/>
              <w:jc w:val="center"/>
              <w:rPr>
                <w:rFonts w:ascii="宋体" w:hAnsi="宋体" w:cs="宋体"/>
                <w:color w:val="auto"/>
                <w:kern w:val="0"/>
                <w:sz w:val="22"/>
                <w:szCs w:val="22"/>
              </w:rPr>
            </w:pPr>
            <w:r>
              <w:rPr>
                <w:rFonts w:hint="eastAsia" w:ascii="宋体" w:hAnsi="宋体" w:cs="宋体"/>
                <w:color w:val="auto"/>
                <w:kern w:val="0"/>
                <w:sz w:val="22"/>
                <w:szCs w:val="22"/>
              </w:rPr>
              <w:t>0</w:t>
            </w:r>
          </w:p>
        </w:tc>
      </w:tr>
    </w:tbl>
    <w:p>
      <w:pPr>
        <w:spacing w:line="560" w:lineRule="exact"/>
        <w:ind w:firstLine="320" w:firstLineChars="100"/>
        <w:rPr>
          <w:rFonts w:ascii="黑体" w:hAnsi="黑体" w:eastAsia="黑体"/>
          <w:sz w:val="32"/>
          <w:szCs w:val="32"/>
        </w:rPr>
      </w:pPr>
      <w:r>
        <w:rPr>
          <w:rFonts w:hint="eastAsia" w:ascii="黑体" w:hAnsi="黑体" w:eastAsia="黑体"/>
          <w:sz w:val="32"/>
          <w:szCs w:val="32"/>
        </w:rPr>
        <w:t>四、绩效评价指标分析</w:t>
      </w:r>
    </w:p>
    <w:p>
      <w:pPr>
        <w:pStyle w:val="2"/>
        <w:spacing w:before="0" w:after="0" w:line="560" w:lineRule="exact"/>
        <w:ind w:firstLine="354" w:firstLineChars="1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（一）项目决策情况</w:t>
      </w:r>
    </w:p>
    <w:p>
      <w:pPr>
        <w:spacing w:line="560" w:lineRule="exact"/>
        <w:ind w:firstLine="960" w:firstLineChars="300"/>
        <w:rPr>
          <w:rFonts w:hint="eastAsia" w:ascii="仿宋_GB2312" w:eastAsia="仿宋_GB2312"/>
          <w:sz w:val="32"/>
          <w:szCs w:val="32"/>
        </w:rPr>
      </w:pPr>
      <w:r>
        <w:rPr>
          <w:rFonts w:hint="eastAsia" w:ascii="仿宋_GB2312" w:eastAsia="仿宋_GB2312"/>
          <w:sz w:val="32"/>
          <w:szCs w:val="32"/>
        </w:rPr>
        <w:t>1、立项依据</w:t>
      </w:r>
    </w:p>
    <w:p>
      <w:pPr>
        <w:pStyle w:val="2"/>
        <w:spacing w:before="0" w:after="0" w:line="560" w:lineRule="exact"/>
        <w:ind w:firstLine="708" w:firstLineChars="200"/>
        <w:jc w:val="both"/>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该项目主要围绕引进优质强筋小麦品种为中心，针对塔城地区小麦生产中以强筋春小麦品种为主，强筋春小麦品种少的现状，综合提高塔城盆地小麦产品的品质，延伸塔城地区小麦产业链。重点引进发展新春44号和核春137号两个优质强筋早熟春小麦品种新春44号和核春137号。强筋早熟春小麦品种新春44号是由新疆农科院核生所和新疆润之农业发展有限公司联合选育2016年新疆品种委员会审定，该品种生育期110天，早熟，抗倒伏性强。2019年在塔城盆地示范种植面积达1.2万亩，综合表现较好早熟性好，品质优，口松。优质强筋早熟春小麦品种核春137号，是由新疆农科院核生所选育，2018年新疆品种审定委员会审定，早熟，强筋。2019年示范种植面积200亩综合表现：早熟，品质优，稳产性好。项目立项符合国家相关法律法规、区域内经济发展规划和上级决策，与项目实施受益者的利益密切相关，项目目标的设定依据充分，符合客观实际，依据项目设定的工作目标清晰、细化、可衡量得5分。</w:t>
      </w:r>
    </w:p>
    <w:p>
      <w:pPr>
        <w:spacing w:line="560" w:lineRule="exact"/>
        <w:ind w:firstLine="960" w:firstLineChars="300"/>
        <w:rPr>
          <w:rFonts w:ascii="仿宋_GB2312" w:eastAsia="仿宋_GB2312"/>
          <w:sz w:val="32"/>
          <w:szCs w:val="32"/>
        </w:rPr>
      </w:pPr>
      <w:r>
        <w:rPr>
          <w:rFonts w:hint="eastAsia" w:ascii="仿宋_GB2312" w:eastAsia="仿宋_GB2312"/>
          <w:sz w:val="32"/>
          <w:szCs w:val="32"/>
        </w:rPr>
        <w:t>2、绩效目标</w:t>
      </w:r>
    </w:p>
    <w:p>
      <w:pPr>
        <w:spacing w:line="560" w:lineRule="exact"/>
        <w:ind w:firstLine="640" w:firstLineChars="200"/>
        <w:contextualSpacing/>
        <w:rPr>
          <w:rFonts w:ascii="仿宋_GB2312" w:eastAsia="仿宋_GB2312"/>
          <w:sz w:val="32"/>
          <w:szCs w:val="32"/>
        </w:rPr>
      </w:pPr>
      <w:r>
        <w:rPr>
          <w:rFonts w:hint="eastAsia" w:ascii="仿宋_GB2312" w:eastAsia="仿宋_GB2312"/>
          <w:sz w:val="32"/>
          <w:szCs w:val="32"/>
        </w:rPr>
        <w:t>在额敏县郊区乡、上户镇和喀拉也木勒乡，建立核心引进试验示范区1万亩，引进春小麦高品质品种2~4个；建立项目示范推广区7万亩，其中：推广新春44号6万亩。核春137号1万亩，小麦单产水平比2019年项目区小麦单产水平提高5%，品质均达到强筋小麦标准。总结一套以加工品质为要求的强筋春小麦田间生产标准化技术规范。绩效目标、指标符合当地生产实际。</w:t>
      </w:r>
    </w:p>
    <w:p>
      <w:pPr>
        <w:spacing w:line="560" w:lineRule="exact"/>
        <w:ind w:firstLine="640" w:firstLineChars="200"/>
        <w:rPr>
          <w:rFonts w:ascii="仿宋_GB2312" w:eastAsia="仿宋_GB2312" w:hAnsiTheme="minorEastAsia"/>
          <w:sz w:val="32"/>
          <w:szCs w:val="32"/>
        </w:rPr>
      </w:pPr>
      <w:r>
        <w:rPr>
          <w:rFonts w:hint="eastAsia" w:ascii="仿宋_GB2312" w:eastAsia="仿宋_GB2312" w:hAnsiTheme="minorEastAsia"/>
          <w:sz w:val="32"/>
          <w:szCs w:val="32"/>
        </w:rPr>
        <w:t>3、资金投入</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项目总投入30万元，比较项目绩效目标，预算编制合理。资金主要分配1、引种试验区用地租赁补助3万元，劳务费2万元、核心区、示范区技术物化补贴16万元、购买仪器设备3万元、培训费2万元、差旅费、车辆运行费4万元。资金分配合理。</w:t>
      </w:r>
    </w:p>
    <w:p>
      <w:pPr>
        <w:pStyle w:val="2"/>
        <w:numPr>
          <w:ilvl w:val="0"/>
          <w:numId w:val="4"/>
        </w:numPr>
        <w:spacing w:before="0" w:after="0" w:line="560" w:lineRule="exact"/>
        <w:ind w:firstLine="320" w:firstLineChars="100"/>
        <w:jc w:val="both"/>
        <w:rPr>
          <w:rFonts w:ascii="楷体" w:hAnsi="楷体" w:eastAsia="楷体" w:cs="楷体_GB2312"/>
          <w:b w:val="0"/>
        </w:rPr>
      </w:pPr>
      <w:r>
        <w:rPr>
          <w:rFonts w:hint="eastAsia" w:ascii="楷体" w:hAnsi="楷体" w:eastAsia="楷体" w:cs="楷体_GB2312"/>
          <w:b w:val="0"/>
        </w:rPr>
        <w:t>项目过程情况</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本项目资金的到位率</w:t>
      </w:r>
      <w:r>
        <w:rPr>
          <w:rFonts w:hint="eastAsia" w:ascii="仿宋_GB2312" w:eastAsia="仿宋_GB2312"/>
          <w:sz w:val="32"/>
          <w:szCs w:val="32"/>
          <w:lang w:val="en-US" w:eastAsia="zh-CN"/>
        </w:rPr>
        <w:t>100</w:t>
      </w:r>
      <w:r>
        <w:rPr>
          <w:rFonts w:hint="eastAsia" w:ascii="仿宋_GB2312" w:eastAsia="仿宋_GB2312"/>
          <w:sz w:val="32"/>
          <w:szCs w:val="32"/>
        </w:rPr>
        <w:t>%，执行率</w:t>
      </w:r>
      <w:r>
        <w:rPr>
          <w:rFonts w:hint="eastAsia" w:ascii="仿宋_GB2312" w:eastAsia="仿宋_GB2312"/>
          <w:sz w:val="32"/>
          <w:szCs w:val="32"/>
          <w:lang w:val="en-US" w:eastAsia="zh-CN"/>
        </w:rPr>
        <w:t>67.77</w:t>
      </w:r>
      <w:r>
        <w:rPr>
          <w:rFonts w:hint="eastAsia" w:ascii="仿宋_GB2312" w:eastAsia="仿宋_GB2312"/>
          <w:sz w:val="32"/>
          <w:szCs w:val="32"/>
        </w:rPr>
        <w:t>%，严格按照预期绩效目标执行预算资金。项目有充分的预算编制依据，且资金按照预算基本予以执行。过程中资金的使用基本符合国家财经法规和财务管理制度以及有关专项资金管理办法的规定，资金拨付有较完整的审批程序和手续，符合项目预算批复或合同规定的用途，不存在截留、挤占、挪用、虚列支出等情况，得4.72分。</w:t>
      </w:r>
    </w:p>
    <w:p>
      <w:pPr>
        <w:pStyle w:val="17"/>
        <w:numPr>
          <w:ilvl w:val="0"/>
          <w:numId w:val="4"/>
        </w:numPr>
        <w:spacing w:line="560" w:lineRule="exact"/>
        <w:ind w:firstLine="320" w:firstLineChars="100"/>
        <w:rPr>
          <w:rFonts w:ascii="楷体" w:hAnsi="楷体" w:eastAsia="楷体" w:cs="楷体_GB2312"/>
          <w:bCs/>
          <w:sz w:val="32"/>
          <w:szCs w:val="32"/>
        </w:rPr>
      </w:pPr>
      <w:r>
        <w:rPr>
          <w:rFonts w:hint="eastAsia" w:ascii="楷体" w:hAnsi="楷体" w:eastAsia="楷体" w:cs="楷体_GB2312"/>
          <w:bCs/>
          <w:sz w:val="32"/>
          <w:szCs w:val="32"/>
        </w:rPr>
        <w:t>项目产出</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项目按照计划完成了仪器采购项目各方面工作，各项数量指标基本完成，仪器购买完成，仪器已安装调试验收并投入使用，得47分。</w:t>
      </w:r>
    </w:p>
    <w:p>
      <w:pPr>
        <w:adjustRightInd w:val="0"/>
        <w:snapToGrid w:val="0"/>
        <w:spacing w:line="560" w:lineRule="exact"/>
        <w:ind w:firstLine="624" w:firstLineChars="200"/>
        <w:rPr>
          <w:rFonts w:ascii="仿宋_GB2312" w:eastAsia="仿宋_GB2312"/>
          <w:sz w:val="32"/>
          <w:szCs w:val="32"/>
        </w:rPr>
      </w:pPr>
      <w:r>
        <w:rPr>
          <w:rStyle w:val="21"/>
          <w:rFonts w:hint="eastAsia" w:ascii="仿宋_GB2312" w:hAnsi="仿宋" w:eastAsia="仿宋_GB2312" w:cs="仿宋"/>
          <w:b w:val="0"/>
          <w:spacing w:val="-4"/>
          <w:sz w:val="32"/>
          <w:szCs w:val="32"/>
        </w:rPr>
        <w:t>1、数量指标方面：</w:t>
      </w:r>
      <w:r>
        <w:rPr>
          <w:rFonts w:ascii="仿宋_GB2312" w:eastAsia="仿宋_GB2312"/>
          <w:sz w:val="32"/>
          <w:szCs w:val="32"/>
        </w:rPr>
        <w:t xml:space="preserve"> </w:t>
      </w:r>
    </w:p>
    <w:p>
      <w:pPr>
        <w:pStyle w:val="2"/>
        <w:spacing w:before="0" w:after="0" w:line="560" w:lineRule="exact"/>
        <w:jc w:val="both"/>
        <w:rPr>
          <w:rFonts w:ascii="仿宋_GB2312" w:eastAsia="仿宋_GB2312"/>
          <w:b w:val="0"/>
        </w:rPr>
      </w:pPr>
      <w:r>
        <w:rPr>
          <w:rFonts w:hint="eastAsia" w:ascii="仿宋_GB2312" w:eastAsia="仿宋_GB2312"/>
          <w:b w:val="0"/>
        </w:rPr>
        <w:t xml:space="preserve">    根据实施方案，项目建设核心示范区1万亩，实际完成1.03万亩，推广示范区面积6万亩，实际完成7.06万亩，引进试验示范强筋小麦品种2个，实际完成2个，新春44号、核春137。</w:t>
      </w:r>
    </w:p>
    <w:p>
      <w:pPr>
        <w:spacing w:line="560" w:lineRule="exact"/>
        <w:ind w:firstLine="640"/>
        <w:rPr>
          <w:rStyle w:val="50"/>
          <w:color w:val="auto"/>
        </w:rPr>
      </w:pPr>
      <w:r>
        <w:rPr>
          <w:rStyle w:val="50"/>
          <w:rFonts w:hint="eastAsia"/>
          <w:color w:val="auto"/>
        </w:rPr>
        <w:t>2、质量指标方面：</w:t>
      </w:r>
    </w:p>
    <w:p>
      <w:pPr>
        <w:pStyle w:val="2"/>
        <w:spacing w:before="0" w:after="0" w:line="560" w:lineRule="exact"/>
        <w:ind w:firstLine="648"/>
        <w:jc w:val="both"/>
        <w:rPr>
          <w:rFonts w:ascii="仿宋_GB2312" w:eastAsia="仿宋_GB2312"/>
          <w:b w:val="0"/>
        </w:rPr>
      </w:pPr>
      <w:r>
        <w:rPr>
          <w:rFonts w:hint="eastAsia" w:ascii="仿宋_GB2312" w:eastAsia="仿宋_GB2312"/>
          <w:b w:val="0"/>
        </w:rPr>
        <w:t>项目区小麦单产水平较2020年项目区所在区域小麦小麦单产提升5%，2020年，核心示范区、示范推广区小麦单产加权平均达到416.6公斤，较项目区额敏县2019年小麦单产376公斤新增40.6公斤，增加9.7%。</w:t>
      </w:r>
    </w:p>
    <w:p>
      <w:pPr>
        <w:spacing w:line="560" w:lineRule="exact"/>
        <w:ind w:firstLine="648"/>
        <w:rPr>
          <w:rStyle w:val="50"/>
          <w:color w:val="auto"/>
          <w:kern w:val="28"/>
        </w:rPr>
      </w:pPr>
      <w:r>
        <w:rPr>
          <w:rStyle w:val="50"/>
          <w:rFonts w:hint="eastAsia"/>
          <w:color w:val="auto"/>
          <w:kern w:val="28"/>
        </w:rPr>
        <w:t>新天骏面粉有限公司对春小麦新春44号和核春137的小麦品质化验平均结果：</w:t>
      </w:r>
    </w:p>
    <w:tbl>
      <w:tblPr>
        <w:tblStyle w:val="19"/>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945"/>
        <w:gridCol w:w="825"/>
        <w:gridCol w:w="923"/>
        <w:gridCol w:w="984"/>
        <w:gridCol w:w="706"/>
        <w:gridCol w:w="843"/>
        <w:gridCol w:w="1124"/>
        <w:gridCol w:w="1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90" w:type="dxa"/>
            <w:noWrap/>
          </w:tcPr>
          <w:p>
            <w:pPr>
              <w:pStyle w:val="2"/>
              <w:spacing w:before="0" w:after="0"/>
              <w:rPr>
                <w:sz w:val="21"/>
                <w:szCs w:val="21"/>
              </w:rPr>
            </w:pPr>
            <w:r>
              <w:rPr>
                <w:rFonts w:hint="eastAsia"/>
                <w:sz w:val="21"/>
                <w:szCs w:val="21"/>
              </w:rPr>
              <w:t>品种</w:t>
            </w:r>
          </w:p>
        </w:tc>
        <w:tc>
          <w:tcPr>
            <w:tcW w:w="945" w:type="dxa"/>
            <w:noWrap/>
          </w:tcPr>
          <w:p>
            <w:pPr>
              <w:pStyle w:val="2"/>
              <w:spacing w:before="0" w:after="0"/>
              <w:rPr>
                <w:sz w:val="21"/>
                <w:szCs w:val="21"/>
              </w:rPr>
            </w:pPr>
            <w:r>
              <w:rPr>
                <w:rFonts w:hint="eastAsia"/>
                <w:sz w:val="21"/>
                <w:szCs w:val="21"/>
              </w:rPr>
              <w:t>稠度Fu</w:t>
            </w:r>
          </w:p>
        </w:tc>
        <w:tc>
          <w:tcPr>
            <w:tcW w:w="825" w:type="dxa"/>
            <w:noWrap/>
          </w:tcPr>
          <w:p>
            <w:pPr>
              <w:pStyle w:val="2"/>
              <w:spacing w:before="0" w:after="0"/>
              <w:rPr>
                <w:sz w:val="21"/>
                <w:szCs w:val="21"/>
              </w:rPr>
            </w:pPr>
            <w:r>
              <w:rPr>
                <w:rFonts w:hint="eastAsia"/>
                <w:sz w:val="21"/>
                <w:szCs w:val="21"/>
              </w:rPr>
              <w:t>加水ml</w:t>
            </w:r>
          </w:p>
        </w:tc>
        <w:tc>
          <w:tcPr>
            <w:tcW w:w="923" w:type="dxa"/>
            <w:noWrap/>
          </w:tcPr>
          <w:p>
            <w:pPr>
              <w:pStyle w:val="2"/>
              <w:spacing w:before="0" w:after="0"/>
              <w:rPr>
                <w:sz w:val="21"/>
                <w:szCs w:val="21"/>
              </w:rPr>
            </w:pPr>
            <w:r>
              <w:rPr>
                <w:rFonts w:hint="eastAsia"/>
                <w:sz w:val="21"/>
                <w:szCs w:val="21"/>
              </w:rPr>
              <w:t>校加ml</w:t>
            </w:r>
          </w:p>
        </w:tc>
        <w:tc>
          <w:tcPr>
            <w:tcW w:w="984" w:type="dxa"/>
            <w:noWrap/>
          </w:tcPr>
          <w:p>
            <w:pPr>
              <w:pStyle w:val="2"/>
              <w:spacing w:before="0" w:after="0"/>
              <w:rPr>
                <w:sz w:val="21"/>
                <w:szCs w:val="21"/>
              </w:rPr>
            </w:pPr>
            <w:r>
              <w:rPr>
                <w:rFonts w:hint="eastAsia"/>
                <w:sz w:val="21"/>
                <w:szCs w:val="21"/>
              </w:rPr>
              <w:t>校吸ml</w:t>
            </w:r>
          </w:p>
        </w:tc>
        <w:tc>
          <w:tcPr>
            <w:tcW w:w="706" w:type="dxa"/>
            <w:noWrap/>
          </w:tcPr>
          <w:p>
            <w:pPr>
              <w:pStyle w:val="2"/>
              <w:spacing w:before="0" w:after="0"/>
              <w:rPr>
                <w:sz w:val="21"/>
                <w:szCs w:val="21"/>
              </w:rPr>
            </w:pPr>
            <w:r>
              <w:rPr>
                <w:rFonts w:hint="eastAsia"/>
                <w:sz w:val="21"/>
                <w:szCs w:val="21"/>
              </w:rPr>
              <w:t>形成min</w:t>
            </w:r>
          </w:p>
        </w:tc>
        <w:tc>
          <w:tcPr>
            <w:tcW w:w="843" w:type="dxa"/>
            <w:noWrap/>
          </w:tcPr>
          <w:p>
            <w:pPr>
              <w:pStyle w:val="2"/>
              <w:spacing w:before="0" w:after="0"/>
              <w:rPr>
                <w:sz w:val="21"/>
                <w:szCs w:val="21"/>
              </w:rPr>
            </w:pPr>
            <w:r>
              <w:rPr>
                <w:rFonts w:hint="eastAsia"/>
                <w:sz w:val="21"/>
                <w:szCs w:val="21"/>
              </w:rPr>
              <w:t>稳定min</w:t>
            </w:r>
          </w:p>
        </w:tc>
        <w:tc>
          <w:tcPr>
            <w:tcW w:w="1124" w:type="dxa"/>
            <w:noWrap/>
          </w:tcPr>
          <w:p>
            <w:pPr>
              <w:pStyle w:val="2"/>
              <w:spacing w:before="0" w:after="0"/>
              <w:rPr>
                <w:sz w:val="21"/>
                <w:szCs w:val="21"/>
              </w:rPr>
            </w:pPr>
            <w:r>
              <w:rPr>
                <w:rFonts w:hint="eastAsia"/>
                <w:sz w:val="21"/>
                <w:szCs w:val="21"/>
              </w:rPr>
              <w:t>弱化Fu</w:t>
            </w:r>
          </w:p>
        </w:tc>
        <w:tc>
          <w:tcPr>
            <w:tcW w:w="1124" w:type="dxa"/>
            <w:noWrap/>
          </w:tcPr>
          <w:p>
            <w:pPr>
              <w:pStyle w:val="2"/>
              <w:spacing w:before="0" w:after="0"/>
              <w:rPr>
                <w:sz w:val="21"/>
                <w:szCs w:val="21"/>
              </w:rPr>
            </w:pPr>
            <w:r>
              <w:rPr>
                <w:rFonts w:hint="eastAsia"/>
                <w:sz w:val="21"/>
                <w:szCs w:val="21"/>
              </w:rPr>
              <w:t>粉质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90" w:type="dxa"/>
            <w:noWrap/>
          </w:tcPr>
          <w:p>
            <w:pPr>
              <w:pStyle w:val="2"/>
              <w:spacing w:before="0" w:after="0"/>
              <w:rPr>
                <w:sz w:val="21"/>
                <w:szCs w:val="21"/>
              </w:rPr>
            </w:pPr>
            <w:r>
              <w:rPr>
                <w:rFonts w:hint="eastAsia"/>
                <w:sz w:val="21"/>
                <w:szCs w:val="21"/>
              </w:rPr>
              <w:t>新春44号</w:t>
            </w:r>
          </w:p>
        </w:tc>
        <w:tc>
          <w:tcPr>
            <w:tcW w:w="945" w:type="dxa"/>
            <w:noWrap/>
            <w:vAlign w:val="bottom"/>
          </w:tcPr>
          <w:p>
            <w:pPr>
              <w:jc w:val="right"/>
              <w:rPr>
                <w:rFonts w:ascii="宋体" w:hAnsi="宋体" w:cs="宋体"/>
                <w:color w:val="000000"/>
                <w:sz w:val="22"/>
                <w:szCs w:val="22"/>
              </w:rPr>
            </w:pPr>
            <w:r>
              <w:rPr>
                <w:rFonts w:hint="eastAsia"/>
                <w:color w:val="000000"/>
                <w:sz w:val="22"/>
                <w:szCs w:val="22"/>
              </w:rPr>
              <w:t>493.5</w:t>
            </w:r>
          </w:p>
        </w:tc>
        <w:tc>
          <w:tcPr>
            <w:tcW w:w="825" w:type="dxa"/>
            <w:noWrap/>
            <w:vAlign w:val="bottom"/>
          </w:tcPr>
          <w:p>
            <w:pPr>
              <w:jc w:val="right"/>
              <w:rPr>
                <w:rFonts w:ascii="宋体" w:hAnsi="宋体" w:cs="宋体"/>
                <w:color w:val="000000"/>
                <w:sz w:val="22"/>
                <w:szCs w:val="22"/>
              </w:rPr>
            </w:pPr>
            <w:r>
              <w:rPr>
                <w:rFonts w:hint="eastAsia"/>
                <w:color w:val="000000"/>
                <w:sz w:val="22"/>
                <w:szCs w:val="22"/>
              </w:rPr>
              <w:t>173.3</w:t>
            </w:r>
          </w:p>
        </w:tc>
        <w:tc>
          <w:tcPr>
            <w:tcW w:w="923" w:type="dxa"/>
            <w:noWrap/>
            <w:vAlign w:val="bottom"/>
          </w:tcPr>
          <w:p>
            <w:pPr>
              <w:jc w:val="right"/>
              <w:rPr>
                <w:rFonts w:ascii="宋体" w:hAnsi="宋体" w:cs="宋体"/>
                <w:color w:val="000000"/>
                <w:sz w:val="22"/>
                <w:szCs w:val="22"/>
              </w:rPr>
            </w:pPr>
            <w:r>
              <w:rPr>
                <w:rFonts w:hint="eastAsia"/>
                <w:color w:val="000000"/>
                <w:sz w:val="22"/>
                <w:szCs w:val="22"/>
              </w:rPr>
              <w:t>172.6</w:t>
            </w:r>
          </w:p>
        </w:tc>
        <w:tc>
          <w:tcPr>
            <w:tcW w:w="984" w:type="dxa"/>
            <w:noWrap/>
            <w:vAlign w:val="bottom"/>
          </w:tcPr>
          <w:p>
            <w:pPr>
              <w:jc w:val="right"/>
              <w:rPr>
                <w:rFonts w:ascii="宋体" w:hAnsi="宋体" w:cs="宋体"/>
                <w:color w:val="000000"/>
                <w:sz w:val="22"/>
                <w:szCs w:val="22"/>
              </w:rPr>
            </w:pPr>
            <w:r>
              <w:rPr>
                <w:rFonts w:hint="eastAsia"/>
                <w:color w:val="000000"/>
                <w:sz w:val="22"/>
                <w:szCs w:val="22"/>
              </w:rPr>
              <w:t>57.5</w:t>
            </w:r>
          </w:p>
        </w:tc>
        <w:tc>
          <w:tcPr>
            <w:tcW w:w="706" w:type="dxa"/>
            <w:noWrap/>
            <w:vAlign w:val="bottom"/>
          </w:tcPr>
          <w:p>
            <w:pPr>
              <w:jc w:val="right"/>
              <w:rPr>
                <w:rFonts w:ascii="宋体" w:hAnsi="宋体" w:cs="宋体"/>
                <w:color w:val="000000"/>
                <w:sz w:val="22"/>
                <w:szCs w:val="22"/>
              </w:rPr>
            </w:pPr>
            <w:r>
              <w:rPr>
                <w:rFonts w:hint="eastAsia"/>
                <w:color w:val="000000"/>
                <w:sz w:val="22"/>
                <w:szCs w:val="22"/>
              </w:rPr>
              <w:t>6.8</w:t>
            </w:r>
          </w:p>
        </w:tc>
        <w:tc>
          <w:tcPr>
            <w:tcW w:w="843" w:type="dxa"/>
            <w:noWrap/>
            <w:vAlign w:val="bottom"/>
          </w:tcPr>
          <w:p>
            <w:pPr>
              <w:jc w:val="right"/>
              <w:rPr>
                <w:rFonts w:ascii="宋体" w:hAnsi="宋体" w:cs="宋体"/>
                <w:color w:val="000000"/>
                <w:sz w:val="22"/>
                <w:szCs w:val="22"/>
              </w:rPr>
            </w:pPr>
            <w:r>
              <w:rPr>
                <w:rFonts w:hint="eastAsia"/>
                <w:color w:val="000000"/>
                <w:sz w:val="22"/>
                <w:szCs w:val="22"/>
              </w:rPr>
              <w:t>8.5</w:t>
            </w:r>
          </w:p>
        </w:tc>
        <w:tc>
          <w:tcPr>
            <w:tcW w:w="1124" w:type="dxa"/>
            <w:noWrap/>
            <w:vAlign w:val="bottom"/>
          </w:tcPr>
          <w:p>
            <w:pPr>
              <w:jc w:val="right"/>
              <w:rPr>
                <w:rFonts w:ascii="宋体" w:hAnsi="宋体" w:cs="宋体"/>
                <w:color w:val="000000"/>
                <w:sz w:val="22"/>
                <w:szCs w:val="22"/>
              </w:rPr>
            </w:pPr>
            <w:r>
              <w:rPr>
                <w:rFonts w:hint="eastAsia"/>
                <w:color w:val="000000"/>
                <w:sz w:val="22"/>
                <w:szCs w:val="22"/>
              </w:rPr>
              <w:t>98</w:t>
            </w:r>
          </w:p>
        </w:tc>
        <w:tc>
          <w:tcPr>
            <w:tcW w:w="1124" w:type="dxa"/>
            <w:noWrap/>
            <w:vAlign w:val="bottom"/>
          </w:tcPr>
          <w:p>
            <w:pPr>
              <w:jc w:val="right"/>
              <w:rPr>
                <w:rFonts w:ascii="宋体" w:hAnsi="宋体" w:cs="宋体"/>
                <w:color w:val="000000"/>
                <w:sz w:val="22"/>
                <w:szCs w:val="22"/>
              </w:rPr>
            </w:pPr>
            <w:r>
              <w:rPr>
                <w:rFonts w:hint="eastAsia"/>
                <w:color w:val="000000"/>
                <w:sz w:val="22"/>
                <w:szCs w:val="22"/>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290" w:type="dxa"/>
            <w:noWrap/>
          </w:tcPr>
          <w:p>
            <w:pPr>
              <w:pStyle w:val="2"/>
              <w:spacing w:before="0" w:after="0"/>
              <w:rPr>
                <w:sz w:val="21"/>
                <w:szCs w:val="21"/>
              </w:rPr>
            </w:pPr>
            <w:r>
              <w:rPr>
                <w:rFonts w:hint="eastAsia"/>
                <w:sz w:val="21"/>
                <w:szCs w:val="21"/>
              </w:rPr>
              <w:t>核春137</w:t>
            </w:r>
          </w:p>
        </w:tc>
        <w:tc>
          <w:tcPr>
            <w:tcW w:w="945" w:type="dxa"/>
            <w:noWrap/>
            <w:vAlign w:val="bottom"/>
          </w:tcPr>
          <w:p>
            <w:pPr>
              <w:jc w:val="right"/>
              <w:rPr>
                <w:rFonts w:ascii="宋体" w:hAnsi="宋体" w:cs="宋体"/>
                <w:color w:val="000000"/>
                <w:sz w:val="22"/>
                <w:szCs w:val="22"/>
              </w:rPr>
            </w:pPr>
            <w:r>
              <w:rPr>
                <w:rFonts w:hint="eastAsia"/>
                <w:color w:val="000000"/>
                <w:sz w:val="22"/>
                <w:szCs w:val="22"/>
              </w:rPr>
              <w:t>535</w:t>
            </w:r>
          </w:p>
        </w:tc>
        <w:tc>
          <w:tcPr>
            <w:tcW w:w="825" w:type="dxa"/>
            <w:noWrap/>
            <w:vAlign w:val="bottom"/>
          </w:tcPr>
          <w:p>
            <w:pPr>
              <w:jc w:val="right"/>
              <w:rPr>
                <w:rFonts w:ascii="宋体" w:hAnsi="宋体" w:cs="宋体"/>
                <w:color w:val="000000"/>
                <w:sz w:val="22"/>
                <w:szCs w:val="22"/>
              </w:rPr>
            </w:pPr>
            <w:r>
              <w:rPr>
                <w:rFonts w:hint="eastAsia"/>
                <w:color w:val="000000"/>
                <w:sz w:val="22"/>
                <w:szCs w:val="22"/>
              </w:rPr>
              <w:t>164</w:t>
            </w:r>
          </w:p>
        </w:tc>
        <w:tc>
          <w:tcPr>
            <w:tcW w:w="923" w:type="dxa"/>
            <w:noWrap/>
            <w:vAlign w:val="bottom"/>
          </w:tcPr>
          <w:p>
            <w:pPr>
              <w:jc w:val="right"/>
              <w:rPr>
                <w:rFonts w:ascii="宋体" w:hAnsi="宋体" w:cs="宋体"/>
                <w:color w:val="000000"/>
                <w:sz w:val="22"/>
                <w:szCs w:val="22"/>
              </w:rPr>
            </w:pPr>
            <w:r>
              <w:rPr>
                <w:rFonts w:hint="eastAsia"/>
                <w:color w:val="000000"/>
                <w:sz w:val="22"/>
                <w:szCs w:val="22"/>
              </w:rPr>
              <w:t>167.3</w:t>
            </w:r>
          </w:p>
        </w:tc>
        <w:tc>
          <w:tcPr>
            <w:tcW w:w="984" w:type="dxa"/>
            <w:noWrap/>
            <w:vAlign w:val="bottom"/>
          </w:tcPr>
          <w:p>
            <w:pPr>
              <w:jc w:val="right"/>
              <w:rPr>
                <w:rFonts w:ascii="宋体" w:hAnsi="宋体" w:cs="宋体"/>
                <w:color w:val="000000"/>
                <w:sz w:val="22"/>
                <w:szCs w:val="22"/>
              </w:rPr>
            </w:pPr>
            <w:r>
              <w:rPr>
                <w:rFonts w:hint="eastAsia"/>
                <w:color w:val="000000"/>
                <w:sz w:val="22"/>
                <w:szCs w:val="22"/>
              </w:rPr>
              <w:t>55.8</w:t>
            </w:r>
          </w:p>
        </w:tc>
        <w:tc>
          <w:tcPr>
            <w:tcW w:w="706" w:type="dxa"/>
            <w:noWrap/>
            <w:vAlign w:val="bottom"/>
          </w:tcPr>
          <w:p>
            <w:pPr>
              <w:jc w:val="right"/>
              <w:rPr>
                <w:rFonts w:ascii="宋体" w:hAnsi="宋体" w:cs="宋体"/>
                <w:color w:val="000000"/>
                <w:sz w:val="22"/>
                <w:szCs w:val="22"/>
              </w:rPr>
            </w:pPr>
            <w:r>
              <w:rPr>
                <w:rFonts w:hint="eastAsia"/>
                <w:color w:val="000000"/>
                <w:sz w:val="22"/>
                <w:szCs w:val="22"/>
              </w:rPr>
              <w:t>5.9</w:t>
            </w:r>
          </w:p>
        </w:tc>
        <w:tc>
          <w:tcPr>
            <w:tcW w:w="843" w:type="dxa"/>
            <w:noWrap/>
            <w:vAlign w:val="bottom"/>
          </w:tcPr>
          <w:p>
            <w:pPr>
              <w:jc w:val="right"/>
              <w:rPr>
                <w:rFonts w:ascii="宋体" w:hAnsi="宋体" w:cs="宋体"/>
                <w:color w:val="000000"/>
                <w:sz w:val="22"/>
                <w:szCs w:val="22"/>
              </w:rPr>
            </w:pPr>
            <w:r>
              <w:rPr>
                <w:rFonts w:hint="eastAsia"/>
                <w:color w:val="000000"/>
                <w:sz w:val="22"/>
                <w:szCs w:val="22"/>
              </w:rPr>
              <w:t>9</w:t>
            </w:r>
          </w:p>
        </w:tc>
        <w:tc>
          <w:tcPr>
            <w:tcW w:w="1124" w:type="dxa"/>
            <w:noWrap/>
            <w:vAlign w:val="bottom"/>
          </w:tcPr>
          <w:p>
            <w:pPr>
              <w:jc w:val="right"/>
              <w:rPr>
                <w:rFonts w:ascii="宋体" w:hAnsi="宋体" w:cs="宋体"/>
                <w:color w:val="000000"/>
                <w:sz w:val="22"/>
                <w:szCs w:val="22"/>
              </w:rPr>
            </w:pPr>
            <w:r>
              <w:rPr>
                <w:rFonts w:hint="eastAsia"/>
                <w:color w:val="000000"/>
                <w:sz w:val="22"/>
                <w:szCs w:val="22"/>
              </w:rPr>
              <w:t>83</w:t>
            </w:r>
          </w:p>
        </w:tc>
        <w:tc>
          <w:tcPr>
            <w:tcW w:w="1124" w:type="dxa"/>
            <w:noWrap/>
            <w:vAlign w:val="bottom"/>
          </w:tcPr>
          <w:p>
            <w:pPr>
              <w:jc w:val="right"/>
              <w:rPr>
                <w:rFonts w:ascii="宋体" w:hAnsi="宋体" w:cs="宋体"/>
                <w:color w:val="000000"/>
                <w:sz w:val="22"/>
                <w:szCs w:val="22"/>
              </w:rPr>
            </w:pPr>
            <w:r>
              <w:rPr>
                <w:rFonts w:hint="eastAsia"/>
                <w:color w:val="000000"/>
                <w:sz w:val="22"/>
                <w:szCs w:val="22"/>
              </w:rPr>
              <w:t>105</w:t>
            </w:r>
          </w:p>
        </w:tc>
      </w:tr>
    </w:tbl>
    <w:p>
      <w:pPr>
        <w:pStyle w:val="2"/>
        <w:spacing w:before="0" w:after="0" w:line="560" w:lineRule="exact"/>
        <w:ind w:firstLine="640" w:firstLineChars="200"/>
        <w:jc w:val="both"/>
        <w:rPr>
          <w:rFonts w:ascii="仿宋_GB2312" w:eastAsia="仿宋_GB2312"/>
          <w:b w:val="0"/>
        </w:rPr>
      </w:pPr>
      <w:r>
        <w:rPr>
          <w:rFonts w:hint="eastAsia" w:ascii="仿宋_GB2312" w:eastAsia="仿宋_GB2312"/>
          <w:b w:val="0"/>
        </w:rPr>
        <w:t>根据优质强筋小麦国家标准（GB/T17892-1999），强筋小麦面团稳定时间一等小麦大于等于10分钟，二等小麦大于等于7分钟。项目区内的春小麦品种新春44号面团稳定时间8.5分钟，核春137面团稳定时间9分钟，达到了强筋小麦二等以上水平。</w:t>
      </w:r>
    </w:p>
    <w:p>
      <w:pPr>
        <w:pStyle w:val="2"/>
        <w:spacing w:before="0" w:after="0" w:line="560" w:lineRule="exact"/>
        <w:ind w:firstLine="640" w:firstLineChars="200"/>
        <w:jc w:val="both"/>
        <w:rPr>
          <w:rFonts w:ascii="仿宋_GB2312" w:hAnsi="仿宋_GB2312" w:eastAsia="仿宋_GB2312" w:cs="仿宋_GB2312"/>
          <w:b w:val="0"/>
          <w:bCs w:val="0"/>
        </w:rPr>
      </w:pPr>
      <w:r>
        <w:rPr>
          <w:rStyle w:val="50"/>
          <w:rFonts w:hint="eastAsia"/>
          <w:b w:val="0"/>
          <w:bCs w:val="0"/>
          <w:color w:val="auto"/>
        </w:rPr>
        <w:t>3、成本指标方面：2020年项目资金拨付30万元，目前实际支付2</w:t>
      </w:r>
      <w:r>
        <w:rPr>
          <w:rStyle w:val="50"/>
          <w:rFonts w:hint="eastAsia" w:eastAsia="仿宋_GB2312"/>
          <w:b w:val="0"/>
          <w:bCs w:val="0"/>
          <w:color w:val="auto"/>
          <w:lang w:val="en-US" w:eastAsia="zh-CN"/>
        </w:rPr>
        <w:t>0.33</w:t>
      </w:r>
      <w:r>
        <w:rPr>
          <w:rStyle w:val="50"/>
          <w:rFonts w:hint="eastAsia"/>
          <w:b w:val="0"/>
          <w:bCs w:val="0"/>
          <w:color w:val="auto"/>
        </w:rPr>
        <w:t>万元，在成本范围之内。</w:t>
      </w:r>
    </w:p>
    <w:p>
      <w:pPr>
        <w:spacing w:line="560" w:lineRule="exact"/>
        <w:ind w:firstLine="640" w:firstLineChars="200"/>
        <w:rPr>
          <w:rFonts w:ascii="仿宋_GB2312" w:hAnsi="仿宋_GB2312" w:eastAsia="仿宋_GB2312" w:cs="仿宋_GB2312"/>
          <w:sz w:val="32"/>
          <w:szCs w:val="32"/>
        </w:rPr>
      </w:pPr>
      <w:r>
        <w:rPr>
          <w:rStyle w:val="50"/>
          <w:rFonts w:hint="eastAsia"/>
          <w:color w:val="auto"/>
        </w:rPr>
        <w:t>4、时效指标方面：根据实施方案，项目完成时间在2020年12月，但是受到2020年</w:t>
      </w:r>
      <w:r>
        <w:rPr>
          <w:rStyle w:val="50"/>
          <w:rFonts w:hint="eastAsia" w:eastAsia="仿宋_GB2312"/>
          <w:color w:val="auto"/>
          <w:lang w:eastAsia="zh-CN"/>
        </w:rPr>
        <w:t>传染病防控</w:t>
      </w:r>
      <w:r>
        <w:rPr>
          <w:rStyle w:val="50"/>
          <w:rFonts w:hint="eastAsia"/>
          <w:color w:val="auto"/>
        </w:rPr>
        <w:t>，培训工作、土地使用补助支付受到影响。目前培训工作、土地使用补助支付工作正在开展当中。</w:t>
      </w:r>
    </w:p>
    <w:p>
      <w:pPr>
        <w:pStyle w:val="17"/>
        <w:numPr>
          <w:ilvl w:val="0"/>
          <w:numId w:val="4"/>
        </w:numPr>
        <w:spacing w:line="560" w:lineRule="exact"/>
        <w:ind w:firstLine="320" w:firstLineChars="100"/>
        <w:rPr>
          <w:rFonts w:ascii="楷体" w:hAnsi="楷体" w:eastAsia="楷体" w:cs="楷体_GB2312"/>
          <w:bCs/>
          <w:sz w:val="32"/>
          <w:szCs w:val="32"/>
        </w:rPr>
      </w:pPr>
      <w:r>
        <w:rPr>
          <w:rFonts w:hint="eastAsia" w:ascii="楷体" w:hAnsi="楷体" w:eastAsia="楷体" w:cs="楷体_GB2312"/>
          <w:bCs/>
          <w:sz w:val="32"/>
          <w:szCs w:val="32"/>
        </w:rPr>
        <w:t>效益情况</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通过项目实施，进一步提高项目区春小麦种植水平和种植效益，提升了项目区内小麦品质，达到收购企业加价收购的要求，锻炼一批合作社技术人员，从而带动春小麦健康发展，得35分</w:t>
      </w:r>
    </w:p>
    <w:p>
      <w:pPr>
        <w:adjustRightInd w:val="0"/>
        <w:snapToGrid w:val="0"/>
        <w:spacing w:line="560" w:lineRule="exact"/>
        <w:ind w:firstLine="640" w:firstLineChars="200"/>
        <w:rPr>
          <w:rStyle w:val="50"/>
          <w:rFonts w:asciiTheme="minorEastAsia" w:hAnsiTheme="minorEastAsia" w:eastAsiaTheme="minorEastAsia" w:cstheme="minorEastAsia"/>
          <w:color w:val="auto"/>
        </w:rPr>
      </w:pPr>
      <w:r>
        <w:rPr>
          <w:rStyle w:val="50"/>
          <w:rFonts w:hint="eastAsia"/>
          <w:color w:val="auto"/>
        </w:rPr>
        <w:t>1、经济效益指标方面：</w:t>
      </w:r>
      <w:r>
        <w:rPr>
          <w:rFonts w:asciiTheme="minorEastAsia" w:hAnsiTheme="minorEastAsia" w:eastAsiaTheme="minorEastAsia" w:cstheme="minorEastAsia"/>
          <w:sz w:val="32"/>
          <w:szCs w:val="32"/>
        </w:rPr>
        <w:t xml:space="preserve"> </w:t>
      </w:r>
    </w:p>
    <w:p>
      <w:pPr>
        <w:spacing w:line="560" w:lineRule="exact"/>
        <w:ind w:left="105" w:leftChars="50" w:firstLine="480" w:firstLineChars="150"/>
        <w:rPr>
          <w:rFonts w:ascii="仿宋_GB2312" w:eastAsia="仿宋_GB2312"/>
          <w:sz w:val="32"/>
          <w:szCs w:val="32"/>
        </w:rPr>
      </w:pPr>
      <w:r>
        <w:rPr>
          <w:rFonts w:hint="eastAsia" w:ascii="仿宋_GB2312" w:eastAsia="仿宋_GB2312"/>
          <w:sz w:val="32"/>
          <w:szCs w:val="32"/>
        </w:rPr>
        <w:t>（1）项目核心区</w:t>
      </w:r>
    </w:p>
    <w:p>
      <w:pPr>
        <w:spacing w:line="560" w:lineRule="exact"/>
        <w:ind w:left="105" w:leftChars="50" w:firstLine="480" w:firstLineChars="150"/>
        <w:rPr>
          <w:rFonts w:ascii="仿宋_GB2312" w:eastAsia="仿宋_GB2312"/>
          <w:sz w:val="32"/>
          <w:szCs w:val="32"/>
        </w:rPr>
      </w:pPr>
      <w:r>
        <w:rPr>
          <w:rFonts w:hint="eastAsia" w:ascii="仿宋_GB2312" w:eastAsia="仿宋_GB2312"/>
          <w:sz w:val="32"/>
          <w:szCs w:val="32"/>
        </w:rPr>
        <w:t>项目核心区内1.03万亩春小麦产量平均达到456公斤/亩，总产达到0.47万吨，较2020年额敏春小麦平均单产增产126公斤/亩。同时，因核心区内春小麦品质优质，面粉加工厂每公斤加价0.06元，因此核心区内每亩春小麦平均新增产值297.4元，新增效益178.4元，新增总产值306.3万元，新增总效益183.8万元。</w:t>
      </w:r>
    </w:p>
    <w:p>
      <w:pPr>
        <w:spacing w:line="560" w:lineRule="exact"/>
        <w:ind w:left="105" w:leftChars="50" w:firstLine="640" w:firstLineChars="200"/>
        <w:rPr>
          <w:rFonts w:ascii="仿宋_GB2312" w:eastAsia="仿宋_GB2312"/>
          <w:sz w:val="32"/>
          <w:szCs w:val="32"/>
        </w:rPr>
      </w:pPr>
      <w:r>
        <w:rPr>
          <w:rFonts w:hint="eastAsia" w:ascii="仿宋_GB2312" w:eastAsia="仿宋_GB2312"/>
          <w:sz w:val="32"/>
          <w:szCs w:val="32"/>
        </w:rPr>
        <w:t>（2）项目推广区</w:t>
      </w:r>
    </w:p>
    <w:p>
      <w:pPr>
        <w:spacing w:line="560" w:lineRule="exact"/>
        <w:ind w:left="105" w:leftChars="50" w:firstLine="640" w:firstLineChars="200"/>
        <w:rPr>
          <w:rFonts w:ascii="仿宋_GB2312" w:eastAsia="仿宋_GB2312"/>
          <w:sz w:val="32"/>
          <w:szCs w:val="32"/>
        </w:rPr>
      </w:pPr>
      <w:r>
        <w:rPr>
          <w:rFonts w:hint="eastAsia" w:ascii="仿宋_GB2312" w:eastAsia="仿宋_GB2312"/>
          <w:sz w:val="32"/>
          <w:szCs w:val="32"/>
        </w:rPr>
        <w:t>项目推广区内7.06万亩春小麦产量平均达到404公斤/亩，总产达到2.9万吨，较2020年额敏春小麦平均单产增产74公斤/亩。同时，因推广区内春小麦品质优质，面粉加工厂每公斤加价0.06元，因此核心区内每亩春小麦平均新增产值174.6元，新增效益104.8元，新增总产值1232.7万元，新增总效益739.6万元。</w:t>
      </w:r>
    </w:p>
    <w:p>
      <w:pPr>
        <w:spacing w:line="560" w:lineRule="exact"/>
        <w:ind w:left="105" w:leftChars="50" w:firstLine="480" w:firstLineChars="150"/>
        <w:rPr>
          <w:rFonts w:ascii="仿宋_GB2312" w:eastAsia="仿宋_GB2312"/>
          <w:sz w:val="32"/>
          <w:szCs w:val="32"/>
        </w:rPr>
      </w:pPr>
      <w:r>
        <w:rPr>
          <w:rFonts w:hint="eastAsia" w:ascii="仿宋_GB2312" w:eastAsia="仿宋_GB2312"/>
          <w:sz w:val="32"/>
          <w:szCs w:val="32"/>
        </w:rPr>
        <w:t>2020年，核心示范区、示范推广区小麦单产加权平均达到416.6公斤，较项目区额敏县2019年小麦单产376公斤新增40.6公斤，增加9.7%。新增总产值1539万元，新增总效益923.4万元。</w:t>
      </w:r>
    </w:p>
    <w:p>
      <w:pPr>
        <w:spacing w:line="560" w:lineRule="exact"/>
        <w:ind w:left="63" w:leftChars="30" w:firstLine="640" w:firstLineChars="200"/>
        <w:rPr>
          <w:rStyle w:val="50"/>
          <w:color w:val="auto"/>
        </w:rPr>
      </w:pPr>
      <w:r>
        <w:rPr>
          <w:rStyle w:val="50"/>
          <w:rFonts w:hint="eastAsia"/>
          <w:color w:val="auto"/>
        </w:rPr>
        <w:t>3、社会效益指标方面：</w:t>
      </w:r>
    </w:p>
    <w:p>
      <w:pPr>
        <w:spacing w:line="560" w:lineRule="exact"/>
        <w:ind w:left="63" w:leftChars="30" w:firstLine="640" w:firstLineChars="200"/>
        <w:rPr>
          <w:rStyle w:val="50"/>
          <w:rFonts w:hAnsi="Times New Roman" w:cs="Times New Roman"/>
          <w:color w:val="auto"/>
        </w:rPr>
      </w:pPr>
      <w:r>
        <w:rPr>
          <w:rFonts w:hint="eastAsia" w:ascii="仿宋_GB2312" w:eastAsia="仿宋_GB2312"/>
          <w:sz w:val="32"/>
          <w:szCs w:val="32"/>
        </w:rPr>
        <w:t>通过在项目区内推广示范绿色优质小麦高产高效综合配套集成技术与培训，锻炼了一批合作社技术员和种植能手的种植技术水平，通过推广优质春小麦品种和配套技术，对改变当地传统的生产方式和提高当地农民自身的素质有着良好的示范作用，从而带动塔城地区粮食生产的稳步、健康发展，拉动小麦产业的发展，实现农民增收。</w:t>
      </w:r>
    </w:p>
    <w:p>
      <w:pPr>
        <w:spacing w:line="560" w:lineRule="exact"/>
        <w:ind w:left="63" w:leftChars="30" w:firstLine="640" w:firstLineChars="200"/>
        <w:rPr>
          <w:rStyle w:val="50"/>
          <w:color w:val="auto"/>
        </w:rPr>
      </w:pPr>
      <w:r>
        <w:rPr>
          <w:rStyle w:val="50"/>
          <w:rFonts w:hint="eastAsia"/>
          <w:color w:val="auto"/>
        </w:rPr>
        <w:t>4、可持续影响指标方面：</w:t>
      </w:r>
    </w:p>
    <w:p>
      <w:pPr>
        <w:spacing w:line="560" w:lineRule="exact"/>
        <w:ind w:left="63" w:leftChars="30" w:firstLine="640" w:firstLineChars="200"/>
        <w:rPr>
          <w:rStyle w:val="50"/>
          <w:rFonts w:hAnsi="Times New Roman" w:cs="Times New Roman"/>
          <w:color w:val="auto"/>
        </w:rPr>
      </w:pPr>
      <w:r>
        <w:rPr>
          <w:rFonts w:hint="eastAsia" w:ascii="仿宋_GB2312" w:eastAsia="仿宋_GB2312"/>
          <w:sz w:val="32"/>
          <w:szCs w:val="32"/>
        </w:rPr>
        <w:t>项目对各项技术进行组装配套和和集成，增施有机肥料、推广良种，项目区内良种覆盖率100%，推广滴灌节水、节肥技术，项目区内水肥利用率大幅提高，按照生态、环保、高效、经济、安全、可持续的要求的原则，正确指导麦田施药，推广化肥、农药减量增效技术。整体技术的应用对可持续性、改善农业环境、合理利用和保护农业资源产生积极</w:t>
      </w:r>
      <w:r>
        <w:rPr>
          <w:rFonts w:hint="eastAsia" w:ascii="仿宋_GB2312" w:eastAsia="仿宋_GB2312"/>
          <w:sz w:val="32"/>
          <w:szCs w:val="32"/>
          <w:lang w:eastAsia="zh-CN"/>
        </w:rPr>
        <w:t>的</w:t>
      </w:r>
      <w:r>
        <w:rPr>
          <w:rFonts w:hint="eastAsia" w:ascii="仿宋_GB2312" w:eastAsia="仿宋_GB2312"/>
          <w:sz w:val="32"/>
          <w:szCs w:val="32"/>
        </w:rPr>
        <w:t>作用。</w:t>
      </w:r>
    </w:p>
    <w:p>
      <w:pPr>
        <w:spacing w:line="560" w:lineRule="exact"/>
        <w:ind w:firstLine="640" w:firstLineChars="200"/>
        <w:rPr>
          <w:rFonts w:ascii="仿宋_GB2312" w:hAnsi="仿宋_GB2312" w:eastAsia="仿宋_GB2312" w:cs="仿宋_GB2312"/>
          <w:sz w:val="32"/>
          <w:szCs w:val="32"/>
        </w:rPr>
      </w:pPr>
      <w:r>
        <w:rPr>
          <w:rStyle w:val="50"/>
          <w:rFonts w:hint="eastAsia"/>
          <w:color w:val="auto"/>
        </w:rPr>
        <w:t>5、满意度指标方面：由于2020年</w:t>
      </w:r>
      <w:r>
        <w:rPr>
          <w:rStyle w:val="50"/>
          <w:rFonts w:hint="eastAsia" w:eastAsia="仿宋_GB2312"/>
          <w:color w:val="auto"/>
          <w:lang w:eastAsia="zh-CN"/>
        </w:rPr>
        <w:t>传染病防控</w:t>
      </w:r>
      <w:r>
        <w:rPr>
          <w:rStyle w:val="50"/>
          <w:rFonts w:hint="eastAsia"/>
          <w:color w:val="auto"/>
        </w:rPr>
        <w:t>，培训受到影响，目前正在开展培训，同时进行满意度调查。</w:t>
      </w:r>
    </w:p>
    <w:p>
      <w:pPr>
        <w:spacing w:line="560" w:lineRule="exact"/>
        <w:ind w:firstLine="641"/>
        <w:rPr>
          <w:rStyle w:val="50"/>
          <w:rFonts w:ascii="黑体" w:hAnsi="黑体" w:eastAsia="黑体"/>
          <w:color w:val="auto"/>
        </w:rPr>
      </w:pPr>
      <w:r>
        <w:rPr>
          <w:rFonts w:hint="eastAsia" w:ascii="黑体" w:hAnsi="黑体" w:eastAsia="黑体"/>
          <w:sz w:val="32"/>
          <w:szCs w:val="32"/>
        </w:rPr>
        <w:t>五、主要经验及做法、存在的问题及原因分析</w:t>
      </w:r>
    </w:p>
    <w:p>
      <w:pPr>
        <w:spacing w:line="560" w:lineRule="exact"/>
        <w:ind w:firstLine="564" w:firstLineChars="181"/>
        <w:rPr>
          <w:rFonts w:ascii="楷体" w:hAnsi="楷体" w:eastAsia="楷体"/>
          <w:spacing w:val="-4"/>
          <w:sz w:val="32"/>
          <w:szCs w:val="32"/>
        </w:rPr>
      </w:pPr>
      <w:r>
        <w:rPr>
          <w:rFonts w:hint="eastAsia" w:ascii="楷体" w:hAnsi="楷体" w:eastAsia="楷体"/>
          <w:spacing w:val="-4"/>
          <w:sz w:val="32"/>
          <w:szCs w:val="32"/>
        </w:rPr>
        <w:t>（一）主要经验及做法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1"/>
        <w:rPr>
          <w:rFonts w:ascii="楷体" w:hAnsi="楷体" w:eastAsia="楷体" w:cs="楷体_GB2312"/>
          <w:bCs/>
          <w:sz w:val="32"/>
          <w:szCs w:val="32"/>
        </w:rPr>
      </w:pPr>
      <w:r>
        <w:rPr>
          <w:rFonts w:hint="eastAsia" w:ascii="楷体" w:hAnsi="楷体" w:eastAsia="楷体" w:cs="楷体_GB2312"/>
          <w:bCs/>
          <w:sz w:val="32"/>
          <w:szCs w:val="32"/>
        </w:rPr>
        <w:t>存在的问题及原因分析</w:t>
      </w:r>
    </w:p>
    <w:p>
      <w:pPr>
        <w:pStyle w:val="2"/>
        <w:spacing w:before="0" w:after="0" w:line="560" w:lineRule="exact"/>
        <w:ind w:firstLine="640" w:firstLineChars="200"/>
        <w:jc w:val="left"/>
        <w:rPr>
          <w:rFonts w:ascii="仿宋_GB2312" w:eastAsia="仿宋_GB2312"/>
          <w:b w:val="0"/>
        </w:rPr>
      </w:pPr>
      <w:r>
        <w:rPr>
          <w:rFonts w:hint="eastAsia" w:ascii="仿宋_GB2312" w:eastAsia="仿宋_GB2312"/>
          <w:b w:val="0"/>
        </w:rPr>
        <w:t>1、2020年7月27日至9月3日</w:t>
      </w:r>
      <w:r>
        <w:rPr>
          <w:rFonts w:hint="eastAsia" w:ascii="仿宋_GB2312" w:eastAsia="仿宋_GB2312"/>
          <w:b w:val="0"/>
          <w:lang w:eastAsia="zh-CN"/>
        </w:rPr>
        <w:t>传染病防控</w:t>
      </w:r>
      <w:r>
        <w:rPr>
          <w:rFonts w:hint="eastAsia" w:ascii="仿宋_GB2312" w:eastAsia="仿宋_GB2312"/>
          <w:b w:val="0"/>
        </w:rPr>
        <w:t>期间正值春小麦成熟后期至收获期，项目实施小组无法前往项目区内进行取样和测产工作，因此委托合作社负责人、技术人员、社员按照取样和测产的规范标准进行取样、测产并进行记载。因为小麦收获后都要进行过磅，因此产量结果基本准确，但是由于合作社技术人员技术能力有限，取样结果将有所偏差。</w:t>
      </w:r>
    </w:p>
    <w:p>
      <w:pPr>
        <w:pStyle w:val="2"/>
        <w:spacing w:before="0" w:after="0" w:line="560" w:lineRule="exact"/>
        <w:ind w:firstLine="640" w:firstLineChars="200"/>
        <w:jc w:val="left"/>
        <w:rPr>
          <w:rFonts w:hint="eastAsia" w:ascii="仿宋_GB2312" w:eastAsia="仿宋_GB2312"/>
          <w:b w:val="0"/>
        </w:rPr>
      </w:pPr>
      <w:r>
        <w:rPr>
          <w:rFonts w:hint="eastAsia" w:ascii="仿宋_GB2312" w:eastAsia="仿宋_GB2312"/>
          <w:b w:val="0"/>
        </w:rPr>
        <w:t>2、2020年春夏季塔额盆地持续高温干旱，虽然项目区内水源能够保证，但是小麦生长前期在幼穗分化期仍然受到高温干旱的影响，小麦幼穗分化时间减少，影响到最终产量。</w:t>
      </w:r>
    </w:p>
    <w:p>
      <w:pPr>
        <w:rPr>
          <w:rFonts w:hint="eastAsia" w:ascii="仿宋_GB2312" w:eastAsia="仿宋_GB2312"/>
          <w:b w:val="0"/>
        </w:rPr>
      </w:pPr>
    </w:p>
    <w:p>
      <w:pPr>
        <w:pStyle w:val="2"/>
      </w:pPr>
    </w:p>
    <w:p>
      <w:pPr>
        <w:numPr>
          <w:ilvl w:val="0"/>
          <w:numId w:val="6"/>
        </w:numPr>
        <w:spacing w:line="560" w:lineRule="exact"/>
        <w:ind w:left="409" w:leftChars="0" w:firstLine="641" w:firstLineChars="0"/>
        <w:rPr>
          <w:rFonts w:ascii="黑体" w:hAnsi="黑体" w:eastAsia="黑体"/>
          <w:sz w:val="32"/>
          <w:szCs w:val="32"/>
        </w:rPr>
      </w:pPr>
      <w:r>
        <w:rPr>
          <w:rFonts w:hint="eastAsia" w:ascii="黑体" w:hAnsi="黑体" w:eastAsia="黑体"/>
          <w:sz w:val="32"/>
          <w:szCs w:val="32"/>
        </w:rPr>
        <w:t>有关建议</w:t>
      </w:r>
    </w:p>
    <w:p>
      <w:pPr>
        <w:numPr>
          <w:ilvl w:val="0"/>
          <w:numId w:val="7"/>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numPr>
          <w:ilvl w:val="0"/>
          <w:numId w:val="7"/>
        </w:numPr>
        <w:spacing w:line="560" w:lineRule="exac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报帐，从而确保专项资金专款专用，有效地防止了截留、挤占和挪用。</w:t>
      </w:r>
    </w:p>
    <w:p>
      <w:pPr>
        <w:numPr>
          <w:ilvl w:val="0"/>
          <w:numId w:val="0"/>
        </w:numPr>
        <w:spacing w:line="560" w:lineRule="exact"/>
        <w:ind w:firstLine="640" w:firstLineChars="200"/>
      </w:pPr>
      <w:r>
        <w:rPr>
          <w:rFonts w:hint="eastAsia" w:ascii="黑体" w:hAnsi="黑体" w:eastAsia="黑体"/>
          <w:sz w:val="32"/>
          <w:szCs w:val="32"/>
          <w:lang w:val="en-US" w:eastAsia="zh-CN"/>
        </w:rPr>
        <w:t>七、</w:t>
      </w: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
        <w:spacing w:before="0" w:after="0" w:line="560" w:lineRule="exact"/>
        <w:ind w:firstLine="960" w:firstLineChars="300"/>
        <w:jc w:val="both"/>
        <w:rPr>
          <w:rFonts w:hint="eastAsia" w:ascii="仿宋_GB2312" w:eastAsia="仿宋_GB2312"/>
          <w:b w:val="0"/>
          <w:lang w:val="en-US" w:eastAsia="zh-CN"/>
        </w:rPr>
      </w:pPr>
      <w:r>
        <w:rPr>
          <w:rFonts w:hint="eastAsia" w:ascii="仿宋_GB2312" w:hAnsi="仿宋_GB2312" w:eastAsia="仿宋_GB2312" w:cs="仿宋_GB2312"/>
          <w:b w:val="0"/>
          <w:bCs w:val="0"/>
          <w:kern w:val="2"/>
        </w:rPr>
        <w:t>无</w:t>
      </w:r>
      <w:r>
        <w:rPr>
          <w:rFonts w:hint="eastAsia" w:ascii="仿宋_GB2312" w:hAnsi="仿宋_GB2312" w:eastAsia="仿宋_GB2312" w:cs="仿宋_GB2312"/>
          <w:b w:val="0"/>
          <w:bCs w:val="0"/>
          <w:kern w:val="2"/>
          <w:lang w:eastAsia="zh-CN"/>
        </w:rPr>
        <w:t>。</w:t>
      </w:r>
    </w:p>
    <w:p>
      <w:pPr>
        <w:pStyle w:val="2"/>
        <w:spacing w:before="0" w:after="0"/>
        <w:jc w:val="both"/>
        <w:rPr>
          <w:rFonts w:ascii="黑体" w:hAnsi="黑体" w:eastAsia="黑体"/>
        </w:rPr>
      </w:pPr>
    </w:p>
    <w:p>
      <w:pPr>
        <w:pStyle w:val="2"/>
        <w:spacing w:before="0" w:after="0"/>
        <w:jc w:val="both"/>
      </w:pPr>
    </w:p>
    <w:p>
      <w:pPr>
        <w:widowControl/>
        <w:ind w:firstLine="3036" w:firstLineChars="945"/>
        <w:contextualSpacing/>
        <w:rPr>
          <w:rFonts w:hint="eastAsia" w:ascii="宋体" w:hAnsi="宋体" w:cs="宋体"/>
          <w:b/>
          <w:bCs/>
          <w:kern w:val="0"/>
          <w:sz w:val="32"/>
          <w:szCs w:val="32"/>
        </w:rPr>
        <w:sectPr>
          <w:footerReference r:id="rId3" w:type="default"/>
          <w:pgSz w:w="11906" w:h="16838"/>
          <w:pgMar w:top="1440" w:right="1558" w:bottom="1440" w:left="1800" w:header="851" w:footer="992" w:gutter="0"/>
          <w:cols w:space="425" w:num="1"/>
          <w:docGrid w:type="lines" w:linePitch="312" w:charSpace="0"/>
        </w:sectPr>
      </w:pPr>
    </w:p>
    <w:tbl>
      <w:tblPr>
        <w:tblStyle w:val="18"/>
        <w:tblW w:w="9190" w:type="dxa"/>
        <w:jc w:val="center"/>
        <w:tblLayout w:type="fixed"/>
        <w:tblCellMar>
          <w:top w:w="0" w:type="dxa"/>
          <w:left w:w="108" w:type="dxa"/>
          <w:bottom w:w="0" w:type="dxa"/>
          <w:right w:w="108" w:type="dxa"/>
        </w:tblCellMar>
      </w:tblPr>
      <w:tblGrid>
        <w:gridCol w:w="723"/>
        <w:gridCol w:w="723"/>
        <w:gridCol w:w="723"/>
        <w:gridCol w:w="723"/>
        <w:gridCol w:w="723"/>
        <w:gridCol w:w="723"/>
        <w:gridCol w:w="967"/>
        <w:gridCol w:w="1732"/>
        <w:gridCol w:w="2153"/>
      </w:tblGrid>
      <w:tr>
        <w:tblPrEx>
          <w:tblCellMar>
            <w:top w:w="0" w:type="dxa"/>
            <w:left w:w="108" w:type="dxa"/>
            <w:bottom w:w="0" w:type="dxa"/>
            <w:right w:w="108" w:type="dxa"/>
          </w:tblCellMar>
        </w:tblPrEx>
        <w:trPr>
          <w:trHeight w:val="454" w:hRule="exact"/>
          <w:jc w:val="center"/>
        </w:trPr>
        <w:tc>
          <w:tcPr>
            <w:tcW w:w="9190" w:type="dxa"/>
            <w:gridSpan w:val="9"/>
            <w:tcBorders>
              <w:top w:val="nil"/>
              <w:left w:val="nil"/>
              <w:bottom w:val="nil"/>
              <w:right w:val="nil"/>
            </w:tcBorders>
            <w:vAlign w:val="center"/>
          </w:tcPr>
          <w:p>
            <w:pPr>
              <w:keepNext w:val="0"/>
              <w:keepLines w:val="0"/>
              <w:widowControl/>
              <w:suppressLineNumbers w:val="0"/>
              <w:jc w:val="center"/>
              <w:textAlignment w:val="center"/>
              <w:rPr>
                <w:rFonts w:ascii="宋体" w:hAnsi="宋体" w:cs="宋体"/>
                <w:b/>
                <w:bCs/>
                <w:kern w:val="0"/>
                <w:sz w:val="32"/>
                <w:szCs w:val="32"/>
              </w:rPr>
            </w:pPr>
            <w:r>
              <w:rPr>
                <w:rFonts w:hint="eastAsia" w:ascii="宋体" w:hAnsi="宋体" w:eastAsia="宋体" w:cs="宋体"/>
                <w:b/>
                <w:i w:val="0"/>
                <w:color w:val="000000"/>
                <w:kern w:val="0"/>
                <w:sz w:val="32"/>
                <w:szCs w:val="32"/>
                <w:u w:val="none"/>
                <w:lang w:val="en-US" w:eastAsia="zh-CN" w:bidi="ar"/>
              </w:rPr>
              <w:t>项目支出绩效自评表</w:t>
            </w:r>
          </w:p>
        </w:tc>
      </w:tr>
      <w:tr>
        <w:tblPrEx>
          <w:tblCellMar>
            <w:top w:w="0" w:type="dxa"/>
            <w:left w:w="108" w:type="dxa"/>
            <w:bottom w:w="0" w:type="dxa"/>
            <w:right w:w="108" w:type="dxa"/>
          </w:tblCellMar>
        </w:tblPrEx>
        <w:trPr>
          <w:trHeight w:val="201" w:hRule="atLeast"/>
          <w:jc w:val="center"/>
        </w:trPr>
        <w:tc>
          <w:tcPr>
            <w:tcW w:w="9190" w:type="dxa"/>
            <w:gridSpan w:val="9"/>
            <w:tcBorders>
              <w:top w:val="nil"/>
              <w:left w:val="nil"/>
              <w:bottom w:val="nil"/>
              <w:right w:val="nil"/>
            </w:tcBorders>
            <w:vAlign w:val="center"/>
          </w:tcPr>
          <w:p>
            <w:pPr>
              <w:keepNext w:val="0"/>
              <w:keepLines w:val="0"/>
              <w:widowControl/>
              <w:suppressLineNumbers w:val="0"/>
              <w:jc w:val="center"/>
              <w:textAlignment w:val="center"/>
              <w:rPr>
                <w:rFonts w:ascii="宋体" w:hAnsi="宋体" w:cs="宋体"/>
                <w:kern w:val="0"/>
                <w:sz w:val="22"/>
                <w:szCs w:val="22"/>
              </w:rPr>
            </w:pPr>
            <w:r>
              <w:rPr>
                <w:rFonts w:hint="eastAsia" w:ascii="宋体" w:hAnsi="宋体" w:eastAsia="宋体" w:cs="宋体"/>
                <w:i w:val="0"/>
                <w:color w:val="000000"/>
                <w:kern w:val="0"/>
                <w:sz w:val="32"/>
                <w:szCs w:val="32"/>
                <w:u w:val="none"/>
                <w:lang w:val="en-US" w:eastAsia="zh-CN" w:bidi="ar"/>
              </w:rPr>
              <w:t>（   2020 年度）</w:t>
            </w:r>
          </w:p>
        </w:tc>
      </w:tr>
      <w:tr>
        <w:tblPrEx>
          <w:tblCellMar>
            <w:top w:w="0" w:type="dxa"/>
            <w:left w:w="108" w:type="dxa"/>
            <w:bottom w:w="0" w:type="dxa"/>
            <w:right w:w="108" w:type="dxa"/>
          </w:tblCellMar>
        </w:tblPrEx>
        <w:trPr>
          <w:trHeight w:val="300" w:hRule="exact"/>
          <w:jc w:val="center"/>
        </w:trPr>
        <w:tc>
          <w:tcPr>
            <w:tcW w:w="9190"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项目名称</w:t>
            </w:r>
          </w:p>
        </w:tc>
        <w:tc>
          <w:tcPr>
            <w:tcW w:w="7744" w:type="dxa"/>
            <w:gridSpan w:val="7"/>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2020年自治区农业科技推广与服务项目</w:t>
            </w: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主管部门</w:t>
            </w:r>
          </w:p>
        </w:tc>
        <w:tc>
          <w:tcPr>
            <w:tcW w:w="3859" w:type="dxa"/>
            <w:gridSpan w:val="5"/>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实施单位</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塔城地区农业技术推广中心站</w:t>
            </w: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项目资金</w:t>
            </w:r>
          </w:p>
        </w:tc>
        <w:tc>
          <w:tcPr>
            <w:tcW w:w="723" w:type="dxa"/>
            <w:tcBorders>
              <w:top w:val="single" w:color="auto" w:sz="4" w:space="0"/>
              <w:left w:val="single" w:color="auto" w:sz="4" w:space="0"/>
              <w:bottom w:val="single" w:color="auto" w:sz="4" w:space="0"/>
              <w:right w:val="single" w:color="auto" w:sz="4" w:space="0"/>
            </w:tcBorders>
            <w:vAlign w:val="bottom"/>
          </w:tcPr>
          <w:p>
            <w:pPr>
              <w:rPr>
                <w:rFonts w:ascii="宋体" w:hAnsi="宋体" w:cs="宋体"/>
                <w:kern w:val="0"/>
                <w:sz w:val="18"/>
                <w:szCs w:val="18"/>
              </w:rPr>
            </w:pPr>
          </w:p>
        </w:tc>
        <w:tc>
          <w:tcPr>
            <w:tcW w:w="723" w:type="dxa"/>
            <w:tcBorders>
              <w:top w:val="single" w:color="auto" w:sz="4" w:space="0"/>
              <w:left w:val="single" w:color="auto" w:sz="4" w:space="0"/>
              <w:bottom w:val="single" w:color="auto" w:sz="4" w:space="0"/>
              <w:right w:val="single" w:color="auto" w:sz="4" w:space="0"/>
            </w:tcBorders>
            <w:vAlign w:val="bottom"/>
          </w:tcPr>
          <w:p/>
        </w:tc>
        <w:tc>
          <w:tcPr>
            <w:tcW w:w="723" w:type="dxa"/>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年初预算数</w:t>
            </w:r>
          </w:p>
        </w:tc>
        <w:tc>
          <w:tcPr>
            <w:tcW w:w="16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全年预算数</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全年执行数</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执行率</w:t>
            </w: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（万元）</w:t>
            </w:r>
          </w:p>
        </w:tc>
        <w:tc>
          <w:tcPr>
            <w:tcW w:w="1446"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年度资金总额</w:t>
            </w:r>
          </w:p>
        </w:tc>
        <w:tc>
          <w:tcPr>
            <w:tcW w:w="72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16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30</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20.33</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67.77%</w:t>
            </w: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46"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其中：当年财政拨款</w:t>
            </w:r>
          </w:p>
        </w:tc>
        <w:tc>
          <w:tcPr>
            <w:tcW w:w="72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30.00</w:t>
            </w:r>
          </w:p>
        </w:tc>
        <w:tc>
          <w:tcPr>
            <w:tcW w:w="16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30.00</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20.33</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00" w:hRule="exact"/>
          <w:jc w:val="center"/>
        </w:trPr>
        <w:tc>
          <w:tcPr>
            <w:tcW w:w="144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46"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 xml:space="preserve">      上年结转资金</w:t>
            </w:r>
          </w:p>
        </w:tc>
        <w:tc>
          <w:tcPr>
            <w:tcW w:w="723" w:type="dxa"/>
            <w:tcBorders>
              <w:top w:val="nil"/>
              <w:left w:val="nil"/>
              <w:bottom w:val="single" w:color="auto" w:sz="4" w:space="0"/>
              <w:right w:val="single" w:color="auto" w:sz="4" w:space="0"/>
            </w:tcBorders>
            <w:vAlign w:val="center"/>
          </w:tcPr>
          <w:p>
            <w:pPr>
              <w:jc w:val="center"/>
              <w:rPr>
                <w:rFonts w:ascii="宋体" w:hAnsi="宋体" w:cs="宋体"/>
                <w:kern w:val="0"/>
                <w:sz w:val="18"/>
                <w:szCs w:val="18"/>
              </w:rPr>
            </w:pPr>
          </w:p>
        </w:tc>
        <w:tc>
          <w:tcPr>
            <w:tcW w:w="1690"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300" w:hRule="exact"/>
          <w:jc w:val="center"/>
        </w:trPr>
        <w:tc>
          <w:tcPr>
            <w:tcW w:w="1446" w:type="dxa"/>
            <w:gridSpan w:val="2"/>
            <w:tcBorders>
              <w:top w:val="nil"/>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1446"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 xml:space="preserve">  其他资金</w:t>
            </w:r>
          </w:p>
        </w:tc>
        <w:tc>
          <w:tcPr>
            <w:tcW w:w="72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90"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73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0</w:t>
            </w:r>
          </w:p>
        </w:tc>
        <w:tc>
          <w:tcPr>
            <w:tcW w:w="2153"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tblCellMar>
            <w:top w:w="0" w:type="dxa"/>
            <w:left w:w="108" w:type="dxa"/>
            <w:bottom w:w="0" w:type="dxa"/>
            <w:right w:w="108" w:type="dxa"/>
          </w:tblCellMar>
        </w:tblPrEx>
        <w:trPr>
          <w:trHeight w:val="595" w:hRule="exact"/>
          <w:jc w:val="center"/>
        </w:trPr>
        <w:tc>
          <w:tcPr>
            <w:tcW w:w="723"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年度总体目标</w:t>
            </w:r>
          </w:p>
        </w:tc>
        <w:tc>
          <w:tcPr>
            <w:tcW w:w="4582" w:type="dxa"/>
            <w:gridSpan w:val="6"/>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hint="eastAsia" w:ascii="Times New Roman" w:hAnsi="宋体"/>
                <w:color w:val="000000"/>
                <w:kern w:val="0"/>
                <w:sz w:val="20"/>
                <w:szCs w:val="20"/>
              </w:rPr>
            </w:pPr>
            <w:r>
              <w:rPr>
                <w:rFonts w:hint="eastAsia" w:ascii="宋体" w:hAnsi="宋体" w:eastAsia="宋体" w:cs="宋体"/>
                <w:i w:val="0"/>
                <w:color w:val="000000"/>
                <w:kern w:val="0"/>
                <w:sz w:val="18"/>
                <w:szCs w:val="18"/>
                <w:u w:val="none"/>
                <w:lang w:val="en-US" w:eastAsia="zh-CN" w:bidi="ar"/>
              </w:rPr>
              <w:t>预期目标</w:t>
            </w:r>
          </w:p>
        </w:tc>
        <w:tc>
          <w:tcPr>
            <w:tcW w:w="3885" w:type="dxa"/>
            <w:gridSpan w:val="2"/>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实际完成情况</w:t>
            </w:r>
          </w:p>
        </w:tc>
      </w:tr>
      <w:tr>
        <w:tblPrEx>
          <w:tblCellMar>
            <w:top w:w="0" w:type="dxa"/>
            <w:left w:w="108" w:type="dxa"/>
            <w:bottom w:w="0" w:type="dxa"/>
            <w:right w:w="108" w:type="dxa"/>
          </w:tblCellMar>
        </w:tblPrEx>
        <w:trPr>
          <w:trHeight w:val="4534"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4582" w:type="dxa"/>
            <w:gridSpan w:val="6"/>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2020年项目计划完成8万亩，预计亩增效70元，总增效560万元。项目预期社会效益。提高种子质量，原种、良种的繁育，可从源头上解决小麦种子质量问题，解决小麦新品种推广前期种子数量较少的问题，加大新品种的推广速度。拉动小麦产业的发展，项目实施中采用优良品种、科学管理措施，对改变当地传统的生产方式和提高当地农民自身的素质有着良好的示范作用，从而带动塔城地区粮食生产的稳步、健康的发展。实现农民增收，项目建成后，项目区农民可新增收入500万元以上。项目预期生态效益，本项目推广的新品种、配套栽培技术对生态环境无不良影响。测土配方施肥技术和滴灌技术的应用，能提高肥料和水的利用率，保护生态环境。通过有害生物的预警防治，能最大限度地减少农药的施用量，减少粮食中农药的残留量和使用农药对生态环境的污染，促进塔城地区农业可持续发展。</w:t>
            </w:r>
          </w:p>
        </w:tc>
        <w:tc>
          <w:tcPr>
            <w:tcW w:w="3885" w:type="dxa"/>
            <w:gridSpan w:val="2"/>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2020年项目计划完成8万亩，预计亩增效70元，总增效560万元。项目预期社会效益。提高种子质量，原种、良种的繁育，可从源头上解决小麦种子质量问题，解决小麦新品种推广前期种子数量较少的问题，加大新品种的推广速度。拉动小麦产业的发展，项目实施中采用优良品种、科学管理措施，对改变当地传统的生产方式和提高当地农民自身的素质有着良好的示范作用，从而带动塔城地区粮食生产的稳步、健康的发展。实现农民增收，项目建成后，项目区农民可新增收入500万元以上。项目预期生态效益，本项目推广的新品种、配套栽培技术对生态环境无不良影响。测土配方施肥技术和滴灌技术的应用，能提高肥料和水的利用率，保护生态环境。通过有害生物的预警防治，能最大限度地减少农药的施用量，减少粮食中农药的残留量和使用农药对生态环境的污染，促进塔城地区农业可持续发展。</w:t>
            </w:r>
          </w:p>
        </w:tc>
      </w:tr>
      <w:tr>
        <w:tblPrEx>
          <w:tblCellMar>
            <w:top w:w="0" w:type="dxa"/>
            <w:left w:w="108" w:type="dxa"/>
            <w:bottom w:w="0" w:type="dxa"/>
            <w:right w:w="108" w:type="dxa"/>
          </w:tblCellMar>
        </w:tblPrEx>
        <w:trPr>
          <w:trHeight w:val="300" w:hRule="exact"/>
          <w:jc w:val="center"/>
        </w:trPr>
        <w:tc>
          <w:tcPr>
            <w:tcW w:w="72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一级指标</w:t>
            </w: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二级指标</w:t>
            </w: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三级指标</w:t>
            </w:r>
          </w:p>
        </w:tc>
        <w:tc>
          <w:tcPr>
            <w:tcW w:w="9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年度指标值</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实际完成值</w:t>
            </w:r>
          </w:p>
        </w:tc>
        <w:tc>
          <w:tcPr>
            <w:tcW w:w="2153"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偏差原因分析及改进措施</w:t>
            </w:r>
          </w:p>
        </w:tc>
      </w:tr>
      <w:tr>
        <w:tblPrEx>
          <w:tblCellMar>
            <w:top w:w="0" w:type="dxa"/>
            <w:left w:w="108" w:type="dxa"/>
            <w:bottom w:w="0" w:type="dxa"/>
            <w:right w:w="108" w:type="dxa"/>
          </w:tblCellMar>
        </w:tblPrEx>
        <w:trPr>
          <w:trHeight w:val="300" w:hRule="exact"/>
          <w:jc w:val="center"/>
        </w:trPr>
        <w:tc>
          <w:tcPr>
            <w:tcW w:w="7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年度绩效指标完成情况</w:t>
            </w:r>
          </w:p>
        </w:tc>
        <w:tc>
          <w:tcPr>
            <w:tcW w:w="7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产出指标</w:t>
            </w:r>
          </w:p>
        </w:tc>
        <w:tc>
          <w:tcPr>
            <w:tcW w:w="7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数量指标</w:t>
            </w: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核心试验示范区面积</w:t>
            </w:r>
          </w:p>
        </w:tc>
        <w:tc>
          <w:tcPr>
            <w:tcW w:w="9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=1万亩</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1.03万亩</w:t>
            </w:r>
          </w:p>
        </w:tc>
        <w:tc>
          <w:tcPr>
            <w:tcW w:w="2153" w:type="dxa"/>
            <w:tcBorders>
              <w:top w:val="nil"/>
              <w:left w:val="nil"/>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推广区面积</w:t>
            </w:r>
          </w:p>
        </w:tc>
        <w:tc>
          <w:tcPr>
            <w:tcW w:w="9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=6万亩</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7.06万亩</w:t>
            </w:r>
          </w:p>
        </w:tc>
        <w:tc>
          <w:tcPr>
            <w:tcW w:w="2153" w:type="dxa"/>
            <w:tcBorders>
              <w:top w:val="nil"/>
              <w:left w:val="nil"/>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604"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引进试验示范强筋小麦品种</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=2个</w:t>
            </w:r>
          </w:p>
        </w:tc>
        <w:tc>
          <w:tcPr>
            <w:tcW w:w="173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4个</w:t>
            </w:r>
          </w:p>
        </w:tc>
        <w:tc>
          <w:tcPr>
            <w:tcW w:w="21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为了给主要引进的两个品种新春44、核春137作对照</w:t>
            </w:r>
          </w:p>
        </w:tc>
      </w:tr>
      <w:tr>
        <w:tblPrEx>
          <w:tblCellMar>
            <w:top w:w="0" w:type="dxa"/>
            <w:left w:w="108" w:type="dxa"/>
            <w:bottom w:w="0" w:type="dxa"/>
            <w:right w:w="108" w:type="dxa"/>
          </w:tblCellMar>
        </w:tblPrEx>
        <w:trPr>
          <w:trHeight w:val="551" w:hRule="atLeas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质量指标</w:t>
            </w:r>
          </w:p>
        </w:tc>
        <w:tc>
          <w:tcPr>
            <w:tcW w:w="2169"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项目区小麦单产水平比2019年项目区小麦单产水平提高</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=5%</w:t>
            </w:r>
          </w:p>
        </w:tc>
        <w:tc>
          <w:tcPr>
            <w:tcW w:w="173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5%</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372"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小麦品质指标达到国家强筋小麦标准</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Times New Roman" w:hAnsi="Times New Roman"/>
                <w:kern w:val="0"/>
                <w:sz w:val="15"/>
                <w:szCs w:val="15"/>
              </w:rPr>
            </w:pPr>
            <w:r>
              <w:rPr>
                <w:rFonts w:hint="eastAsia" w:ascii="宋体" w:hAnsi="宋体" w:eastAsia="宋体" w:cs="宋体"/>
                <w:i w:val="0"/>
                <w:color w:val="000000"/>
                <w:kern w:val="0"/>
                <w:sz w:val="18"/>
                <w:szCs w:val="18"/>
                <w:u w:val="none"/>
                <w:lang w:val="en-US" w:eastAsia="zh-CN" w:bidi="ar"/>
              </w:rPr>
              <w:t>≥90%</w:t>
            </w:r>
          </w:p>
        </w:tc>
        <w:tc>
          <w:tcPr>
            <w:tcW w:w="173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90%</w:t>
            </w:r>
          </w:p>
        </w:tc>
        <w:tc>
          <w:tcPr>
            <w:tcW w:w="2153"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300"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时效指标</w:t>
            </w: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项目完成时间</w:t>
            </w:r>
          </w:p>
        </w:tc>
        <w:tc>
          <w:tcPr>
            <w:tcW w:w="9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5"/>
                <w:szCs w:val="15"/>
              </w:rPr>
            </w:pPr>
            <w:r>
              <w:rPr>
                <w:rFonts w:hint="eastAsia" w:ascii="宋体" w:hAnsi="宋体" w:eastAsia="宋体" w:cs="宋体"/>
                <w:i w:val="0"/>
                <w:color w:val="000000"/>
                <w:kern w:val="0"/>
                <w:sz w:val="18"/>
                <w:szCs w:val="18"/>
                <w:u w:val="none"/>
                <w:lang w:val="en-US" w:eastAsia="zh-CN" w:bidi="ar"/>
              </w:rPr>
              <w:t>2020年12月</w:t>
            </w:r>
          </w:p>
        </w:tc>
        <w:tc>
          <w:tcPr>
            <w:tcW w:w="173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2020年12月</w:t>
            </w:r>
          </w:p>
        </w:tc>
        <w:tc>
          <w:tcPr>
            <w:tcW w:w="2153"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590" w:hRule="atLeas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成本指标</w:t>
            </w:r>
          </w:p>
        </w:tc>
        <w:tc>
          <w:tcPr>
            <w:tcW w:w="2169" w:type="dxa"/>
            <w:gridSpan w:val="3"/>
            <w:tcBorders>
              <w:top w:val="single" w:color="auto" w:sz="4" w:space="0"/>
              <w:left w:val="nil"/>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全年支出成本</w:t>
            </w:r>
          </w:p>
        </w:tc>
        <w:tc>
          <w:tcPr>
            <w:tcW w:w="96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≤30万元</w:t>
            </w:r>
          </w:p>
        </w:tc>
        <w:tc>
          <w:tcPr>
            <w:tcW w:w="173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20.33万元</w:t>
            </w:r>
          </w:p>
        </w:tc>
        <w:tc>
          <w:tcPr>
            <w:tcW w:w="215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因</w:t>
            </w:r>
            <w:bookmarkStart w:id="2" w:name="_GoBack"/>
            <w:r>
              <w:rPr>
                <w:rFonts w:hint="eastAsia" w:ascii="宋体" w:hAnsi="宋体" w:eastAsia="宋体" w:cs="宋体"/>
                <w:i w:val="0"/>
                <w:color w:val="000000"/>
                <w:kern w:val="0"/>
                <w:sz w:val="18"/>
                <w:szCs w:val="18"/>
                <w:u w:val="none"/>
                <w:lang w:val="en-US" w:eastAsia="zh-CN" w:bidi="ar"/>
              </w:rPr>
              <w:t>传染病防控</w:t>
            </w:r>
            <w:bookmarkEnd w:id="2"/>
            <w:r>
              <w:rPr>
                <w:rFonts w:hint="eastAsia" w:ascii="宋体" w:hAnsi="宋体" w:eastAsia="宋体" w:cs="宋体"/>
                <w:i w:val="0"/>
                <w:color w:val="000000"/>
                <w:kern w:val="0"/>
                <w:sz w:val="18"/>
                <w:szCs w:val="18"/>
                <w:u w:val="none"/>
                <w:lang w:val="en-US" w:eastAsia="zh-CN" w:bidi="ar"/>
              </w:rPr>
              <w:t>原因，培训未开展</w:t>
            </w:r>
          </w:p>
        </w:tc>
      </w:tr>
      <w:tr>
        <w:tblPrEx>
          <w:tblCellMar>
            <w:top w:w="0" w:type="dxa"/>
            <w:left w:w="108" w:type="dxa"/>
            <w:bottom w:w="0" w:type="dxa"/>
            <w:right w:w="108" w:type="dxa"/>
          </w:tblCellMar>
        </w:tblPrEx>
        <w:trPr>
          <w:trHeight w:val="300"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效益指标</w:t>
            </w: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经济效益指标</w:t>
            </w: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通过项目实施，增加农民收入</w:t>
            </w:r>
          </w:p>
        </w:tc>
        <w:tc>
          <w:tcPr>
            <w:tcW w:w="967"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5"/>
                <w:szCs w:val="15"/>
              </w:rPr>
            </w:pPr>
            <w:r>
              <w:rPr>
                <w:rFonts w:hint="eastAsia" w:ascii="宋体" w:hAnsi="宋体" w:eastAsia="宋体" w:cs="宋体"/>
                <w:i w:val="0"/>
                <w:color w:val="000000"/>
                <w:kern w:val="0"/>
                <w:sz w:val="18"/>
                <w:szCs w:val="18"/>
                <w:u w:val="none"/>
                <w:lang w:val="en-US" w:eastAsia="zh-CN" w:bidi="ar"/>
              </w:rPr>
              <w:t>有所增加</w:t>
            </w:r>
          </w:p>
        </w:tc>
        <w:tc>
          <w:tcPr>
            <w:tcW w:w="1732"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有所增加</w:t>
            </w:r>
          </w:p>
        </w:tc>
        <w:tc>
          <w:tcPr>
            <w:tcW w:w="2153" w:type="dxa"/>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p>
        </w:tc>
      </w:tr>
      <w:tr>
        <w:tblPrEx>
          <w:tblCellMar>
            <w:top w:w="0" w:type="dxa"/>
            <w:left w:w="108" w:type="dxa"/>
            <w:bottom w:w="0" w:type="dxa"/>
            <w:right w:w="108" w:type="dxa"/>
          </w:tblCellMar>
        </w:tblPrEx>
        <w:trPr>
          <w:trHeight w:val="960" w:hRule="exact"/>
          <w:jc w:val="center"/>
        </w:trPr>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kern w:val="0"/>
                <w:sz w:val="18"/>
                <w:szCs w:val="18"/>
              </w:rPr>
            </w:pPr>
          </w:p>
        </w:tc>
        <w:tc>
          <w:tcPr>
            <w:tcW w:w="723"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社会效益指标</w:t>
            </w:r>
          </w:p>
        </w:tc>
        <w:tc>
          <w:tcPr>
            <w:tcW w:w="2169" w:type="dxa"/>
            <w:gridSpan w:val="3"/>
            <w:tcBorders>
              <w:top w:val="single" w:color="auto" w:sz="4" w:space="0"/>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color w:val="000000"/>
                <w:kern w:val="0"/>
                <w:sz w:val="18"/>
                <w:szCs w:val="18"/>
                <w:u w:val="none"/>
                <w:lang w:val="en-US" w:eastAsia="zh-CN" w:bidi="ar"/>
              </w:rPr>
              <w:t>小麦品质提升</w:t>
            </w:r>
          </w:p>
        </w:tc>
        <w:tc>
          <w:tcPr>
            <w:tcW w:w="967"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有所提升</w:t>
            </w:r>
          </w:p>
        </w:tc>
        <w:tc>
          <w:tcPr>
            <w:tcW w:w="1732" w:type="dxa"/>
            <w:tcBorders>
              <w:top w:val="nil"/>
              <w:left w:val="nil"/>
              <w:bottom w:val="single" w:color="auto" w:sz="4" w:space="0"/>
              <w:right w:val="single" w:color="auto" w:sz="4" w:space="0"/>
            </w:tcBorders>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color w:val="000000"/>
                <w:kern w:val="0"/>
                <w:sz w:val="18"/>
                <w:szCs w:val="18"/>
                <w:u w:val="none"/>
                <w:lang w:val="en-US" w:eastAsia="zh-CN" w:bidi="ar"/>
              </w:rPr>
              <w:t>有所提升</w:t>
            </w:r>
          </w:p>
        </w:tc>
        <w:tc>
          <w:tcPr>
            <w:tcW w:w="2153" w:type="dxa"/>
            <w:tcBorders>
              <w:top w:val="nil"/>
              <w:left w:val="nil"/>
              <w:bottom w:val="single" w:color="auto" w:sz="4" w:space="0"/>
              <w:right w:val="single" w:color="auto" w:sz="4" w:space="0"/>
            </w:tcBorders>
            <w:vAlign w:val="center"/>
          </w:tcPr>
          <w:p>
            <w:pPr>
              <w:jc w:val="center"/>
              <w:rPr>
                <w:rFonts w:ascii="宋体" w:hAnsi="宋体" w:cs="宋体"/>
                <w:kern w:val="0"/>
                <w:sz w:val="18"/>
                <w:szCs w:val="18"/>
              </w:rPr>
            </w:pPr>
          </w:p>
        </w:tc>
      </w:tr>
    </w:tbl>
    <w:p>
      <w:pPr>
        <w:sectPr>
          <w:pgSz w:w="11906" w:h="16838"/>
          <w:pgMar w:top="1440" w:right="1558" w:bottom="1440" w:left="1800" w:header="851" w:footer="992" w:gutter="0"/>
          <w:cols w:space="425" w:num="1"/>
          <w:docGrid w:type="lines" w:linePitch="312" w:charSpace="0"/>
        </w:sectPr>
      </w:pPr>
    </w:p>
    <w:p>
      <w:pPr>
        <w:spacing w:line="600" w:lineRule="exact"/>
        <w:rPr>
          <w:rFonts w:ascii="仿宋_GB2312"/>
          <w:bCs/>
          <w:sz w:val="32"/>
          <w:szCs w:val="32"/>
        </w:rPr>
      </w:pPr>
      <w:r>
        <w:rPr>
          <w:rFonts w:hint="eastAsia" w:ascii="仿宋_GB2312"/>
          <w:bCs/>
          <w:sz w:val="32"/>
          <w:szCs w:val="32"/>
        </w:rPr>
        <w:t>附件1</w:t>
      </w:r>
    </w:p>
    <w:tbl>
      <w:tblPr>
        <w:tblStyle w:val="18"/>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41"/>
        <w:gridCol w:w="767"/>
        <w:gridCol w:w="873"/>
        <w:gridCol w:w="2354"/>
        <w:gridCol w:w="5187"/>
        <w:gridCol w:w="1299"/>
        <w:gridCol w:w="136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41"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6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873"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354"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5187"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299"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362" w:type="dxa"/>
            <w:shd w:val="clear" w:color="auto" w:fill="FFFFFF"/>
            <w:vAlign w:val="center"/>
          </w:tcPr>
          <w:p>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4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2354"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5187"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29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62"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2354"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5187"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299"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1362"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5187"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299"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4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2354"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518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29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4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2354"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518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29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41" w:type="dxa"/>
            <w:vMerge w:val="restart"/>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2354"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518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29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0.72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4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4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41"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4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41" w:type="dxa"/>
            <w:vMerge w:val="continue"/>
            <w:shd w:val="clear" w:color="auto" w:fill="FFFFFF"/>
            <w:vAlign w:val="center"/>
          </w:tcPr>
          <w:p>
            <w:pPr>
              <w:spacing w:line="0" w:lineRule="atLeast"/>
              <w:jc w:val="center"/>
              <w:rPr>
                <w:rFonts w:ascii="宋体" w:hAnsi="宋体" w:cs="宋体"/>
                <w:color w:val="000000"/>
                <w:kern w:val="0"/>
                <w:sz w:val="22"/>
                <w:szCs w:val="22"/>
              </w:rPr>
            </w:pPr>
          </w:p>
        </w:tc>
        <w:tc>
          <w:tcPr>
            <w:tcW w:w="767" w:type="dxa"/>
            <w:shd w:val="clear" w:color="auto" w:fill="FFFFFF"/>
            <w:vAlign w:val="center"/>
          </w:tcPr>
          <w:p>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4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41"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67" w:type="dxa"/>
            <w:vMerge w:val="restart"/>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2354" w:type="dxa"/>
            <w:shd w:val="clear" w:color="auto" w:fill="FFFFFF"/>
            <w:vAlign w:val="center"/>
          </w:tcPr>
          <w:p>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5187"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299"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35</w:t>
            </w:r>
          </w:p>
        </w:tc>
        <w:tc>
          <w:tcPr>
            <w:tcW w:w="1362" w:type="dxa"/>
            <w:shd w:val="clear" w:color="auto"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41"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767" w:type="dxa"/>
            <w:vMerge w:val="continue"/>
            <w:shd w:val="clear" w:color="auto" w:fill="FFFFFF"/>
            <w:vAlign w:val="center"/>
          </w:tcPr>
          <w:p>
            <w:pPr>
              <w:widowControl/>
              <w:spacing w:line="0" w:lineRule="atLeast"/>
              <w:jc w:val="center"/>
              <w:rPr>
                <w:rFonts w:ascii="宋体" w:hAnsi="宋体" w:cs="宋体"/>
                <w:color w:val="000000"/>
                <w:kern w:val="0"/>
                <w:sz w:val="22"/>
                <w:szCs w:val="22"/>
              </w:rPr>
            </w:pPr>
          </w:p>
        </w:tc>
        <w:tc>
          <w:tcPr>
            <w:tcW w:w="873" w:type="dxa"/>
            <w:shd w:val="clear" w:color="auto" w:fill="FFFFFF"/>
            <w:vAlign w:val="center"/>
          </w:tcPr>
          <w:p>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2354"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5187"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299"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5</w:t>
            </w:r>
          </w:p>
        </w:tc>
        <w:tc>
          <w:tcPr>
            <w:tcW w:w="1362" w:type="dxa"/>
            <w:shd w:val="clear" w:color="000000" w:fill="FFFFFF"/>
            <w:vAlign w:val="center"/>
          </w:tcPr>
          <w:p>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0</w:t>
            </w:r>
          </w:p>
        </w:tc>
      </w:tr>
    </w:tbl>
    <w:p>
      <w:pPr>
        <w:pStyle w:val="2"/>
        <w:spacing w:before="0" w:after="0"/>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8</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pPr>
        <w:ind w:left="409"/>
      </w:pPr>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5"/>
  </w:num>
  <w:num w:numId="3">
    <w:abstractNumId w:val="4"/>
  </w:num>
  <w:num w:numId="4">
    <w:abstractNumId w:val="6"/>
  </w:num>
  <w:num w:numId="5">
    <w:abstractNumId w:val="3"/>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14BE3"/>
    <w:rsid w:val="00037224"/>
    <w:rsid w:val="00056465"/>
    <w:rsid w:val="000B0328"/>
    <w:rsid w:val="000B7A39"/>
    <w:rsid w:val="000E50F0"/>
    <w:rsid w:val="000E586C"/>
    <w:rsid w:val="000F0B9F"/>
    <w:rsid w:val="001111C2"/>
    <w:rsid w:val="00121AE4"/>
    <w:rsid w:val="001223C4"/>
    <w:rsid w:val="001227FA"/>
    <w:rsid w:val="00142A5C"/>
    <w:rsid w:val="00146AAD"/>
    <w:rsid w:val="00146B37"/>
    <w:rsid w:val="00186C3D"/>
    <w:rsid w:val="001B3A40"/>
    <w:rsid w:val="001B53C1"/>
    <w:rsid w:val="001E3981"/>
    <w:rsid w:val="002643D9"/>
    <w:rsid w:val="0026721A"/>
    <w:rsid w:val="0028100D"/>
    <w:rsid w:val="002E1CF0"/>
    <w:rsid w:val="003000D7"/>
    <w:rsid w:val="00313B8F"/>
    <w:rsid w:val="00377A40"/>
    <w:rsid w:val="00392BA1"/>
    <w:rsid w:val="003B552B"/>
    <w:rsid w:val="003C145B"/>
    <w:rsid w:val="003C18BC"/>
    <w:rsid w:val="003E4623"/>
    <w:rsid w:val="004366A8"/>
    <w:rsid w:val="00464900"/>
    <w:rsid w:val="00466B55"/>
    <w:rsid w:val="004A11D4"/>
    <w:rsid w:val="004C47D3"/>
    <w:rsid w:val="004D4A62"/>
    <w:rsid w:val="004F04D5"/>
    <w:rsid w:val="00502BA7"/>
    <w:rsid w:val="00515810"/>
    <w:rsid w:val="005162F1"/>
    <w:rsid w:val="00535020"/>
    <w:rsid w:val="00535153"/>
    <w:rsid w:val="0054488C"/>
    <w:rsid w:val="005511ED"/>
    <w:rsid w:val="00554F82"/>
    <w:rsid w:val="00556D05"/>
    <w:rsid w:val="0056390D"/>
    <w:rsid w:val="005719B0"/>
    <w:rsid w:val="00594F1D"/>
    <w:rsid w:val="005C760A"/>
    <w:rsid w:val="005D10D6"/>
    <w:rsid w:val="00645AEA"/>
    <w:rsid w:val="0066530F"/>
    <w:rsid w:val="00692676"/>
    <w:rsid w:val="006A2CAD"/>
    <w:rsid w:val="006A54D5"/>
    <w:rsid w:val="006B1BB7"/>
    <w:rsid w:val="007017F1"/>
    <w:rsid w:val="00760506"/>
    <w:rsid w:val="00766E7C"/>
    <w:rsid w:val="007806A5"/>
    <w:rsid w:val="00794340"/>
    <w:rsid w:val="007D7046"/>
    <w:rsid w:val="007E54DD"/>
    <w:rsid w:val="007F1192"/>
    <w:rsid w:val="008016E0"/>
    <w:rsid w:val="00850193"/>
    <w:rsid w:val="00855E3A"/>
    <w:rsid w:val="008C7EA3"/>
    <w:rsid w:val="008D1B83"/>
    <w:rsid w:val="008F6F2F"/>
    <w:rsid w:val="00922CB9"/>
    <w:rsid w:val="00947857"/>
    <w:rsid w:val="009C6513"/>
    <w:rsid w:val="009D54E2"/>
    <w:rsid w:val="009E5CD9"/>
    <w:rsid w:val="00A26421"/>
    <w:rsid w:val="00A4293B"/>
    <w:rsid w:val="00A67D50"/>
    <w:rsid w:val="00A80B81"/>
    <w:rsid w:val="00A863C7"/>
    <w:rsid w:val="00A8691A"/>
    <w:rsid w:val="00AB111B"/>
    <w:rsid w:val="00AC1946"/>
    <w:rsid w:val="00AD14A4"/>
    <w:rsid w:val="00AE3B28"/>
    <w:rsid w:val="00B40063"/>
    <w:rsid w:val="00B41F61"/>
    <w:rsid w:val="00B67DD0"/>
    <w:rsid w:val="00B84E7D"/>
    <w:rsid w:val="00B91B09"/>
    <w:rsid w:val="00B9358C"/>
    <w:rsid w:val="00BA46E6"/>
    <w:rsid w:val="00BB1627"/>
    <w:rsid w:val="00C17EC2"/>
    <w:rsid w:val="00C321E5"/>
    <w:rsid w:val="00C56C72"/>
    <w:rsid w:val="00C619F9"/>
    <w:rsid w:val="00C80D36"/>
    <w:rsid w:val="00C863DC"/>
    <w:rsid w:val="00CA6457"/>
    <w:rsid w:val="00CA70D6"/>
    <w:rsid w:val="00CF23F6"/>
    <w:rsid w:val="00D15946"/>
    <w:rsid w:val="00D17F2E"/>
    <w:rsid w:val="00D30354"/>
    <w:rsid w:val="00D44659"/>
    <w:rsid w:val="00D44FFB"/>
    <w:rsid w:val="00D47BBD"/>
    <w:rsid w:val="00DB3240"/>
    <w:rsid w:val="00DF42A0"/>
    <w:rsid w:val="00DF7C45"/>
    <w:rsid w:val="00E16B66"/>
    <w:rsid w:val="00E31565"/>
    <w:rsid w:val="00E46C51"/>
    <w:rsid w:val="00E769FE"/>
    <w:rsid w:val="00EA2CBE"/>
    <w:rsid w:val="00ED79FC"/>
    <w:rsid w:val="00EE37CF"/>
    <w:rsid w:val="00EE59DA"/>
    <w:rsid w:val="00F32FEE"/>
    <w:rsid w:val="00F53C6F"/>
    <w:rsid w:val="00F64CCB"/>
    <w:rsid w:val="00F71278"/>
    <w:rsid w:val="00FB10BB"/>
    <w:rsid w:val="00FE59C1"/>
    <w:rsid w:val="00FF2E77"/>
    <w:rsid w:val="051A56F5"/>
    <w:rsid w:val="066D6EAA"/>
    <w:rsid w:val="08C662D4"/>
    <w:rsid w:val="09BD4D95"/>
    <w:rsid w:val="0C707D4C"/>
    <w:rsid w:val="0F8D41CB"/>
    <w:rsid w:val="11C75270"/>
    <w:rsid w:val="12637CC3"/>
    <w:rsid w:val="12CB6F4C"/>
    <w:rsid w:val="12E657C5"/>
    <w:rsid w:val="167C7687"/>
    <w:rsid w:val="168B3546"/>
    <w:rsid w:val="1A2374E0"/>
    <w:rsid w:val="1C317CE2"/>
    <w:rsid w:val="1DD45808"/>
    <w:rsid w:val="1DED42AC"/>
    <w:rsid w:val="1E343343"/>
    <w:rsid w:val="20005763"/>
    <w:rsid w:val="20FB313D"/>
    <w:rsid w:val="220B4804"/>
    <w:rsid w:val="282475E3"/>
    <w:rsid w:val="2C6100C1"/>
    <w:rsid w:val="2FC04E82"/>
    <w:rsid w:val="318D7094"/>
    <w:rsid w:val="31D8129C"/>
    <w:rsid w:val="3264220D"/>
    <w:rsid w:val="357172A2"/>
    <w:rsid w:val="3963178C"/>
    <w:rsid w:val="41CC2676"/>
    <w:rsid w:val="44196995"/>
    <w:rsid w:val="46B21672"/>
    <w:rsid w:val="4F552460"/>
    <w:rsid w:val="4FCC6863"/>
    <w:rsid w:val="500A214A"/>
    <w:rsid w:val="508E2530"/>
    <w:rsid w:val="51A51285"/>
    <w:rsid w:val="522D604D"/>
    <w:rsid w:val="5297585E"/>
    <w:rsid w:val="52AD7D6F"/>
    <w:rsid w:val="5549519D"/>
    <w:rsid w:val="5557596B"/>
    <w:rsid w:val="5B596DFC"/>
    <w:rsid w:val="5DF03945"/>
    <w:rsid w:val="637C2815"/>
    <w:rsid w:val="6A6E7E02"/>
    <w:rsid w:val="73833B2D"/>
    <w:rsid w:val="7A353D0B"/>
    <w:rsid w:val="7D3A5E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Body Text First Indent"/>
    <w:basedOn w:val="12"/>
    <w:qFormat/>
    <w:uiPriority w:val="0"/>
    <w:pPr>
      <w:spacing w:after="0"/>
      <w:ind w:firstLine="200" w:firstLineChars="200"/>
    </w:p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Char"/>
    <w:basedOn w:val="20"/>
    <w:link w:val="3"/>
    <w:qFormat/>
    <w:uiPriority w:val="9"/>
    <w:rPr>
      <w:rFonts w:asciiTheme="majorHAnsi" w:hAnsiTheme="majorHAnsi" w:eastAsiaTheme="majorEastAsia"/>
      <w:b/>
      <w:bCs/>
      <w:kern w:val="32"/>
      <w:sz w:val="32"/>
      <w:szCs w:val="32"/>
    </w:rPr>
  </w:style>
  <w:style w:type="character" w:customStyle="1" w:styleId="24">
    <w:name w:val="标题 2 Char"/>
    <w:basedOn w:val="20"/>
    <w:link w:val="4"/>
    <w:semiHidden/>
    <w:qFormat/>
    <w:uiPriority w:val="9"/>
    <w:rPr>
      <w:rFonts w:asciiTheme="majorHAnsi" w:hAnsiTheme="majorHAnsi" w:eastAsiaTheme="majorEastAsia"/>
      <w:b/>
      <w:bCs/>
      <w:i/>
      <w:iCs/>
      <w:sz w:val="28"/>
      <w:szCs w:val="28"/>
    </w:rPr>
  </w:style>
  <w:style w:type="character" w:customStyle="1" w:styleId="25">
    <w:name w:val="标题 3 Char"/>
    <w:basedOn w:val="20"/>
    <w:link w:val="5"/>
    <w:semiHidden/>
    <w:qFormat/>
    <w:uiPriority w:val="9"/>
    <w:rPr>
      <w:rFonts w:asciiTheme="majorHAnsi" w:hAnsiTheme="majorHAnsi" w:eastAsiaTheme="majorEastAsia"/>
      <w:b/>
      <w:bCs/>
      <w:sz w:val="26"/>
      <w:szCs w:val="26"/>
    </w:rPr>
  </w:style>
  <w:style w:type="character" w:customStyle="1" w:styleId="26">
    <w:name w:val="标题 4 Char"/>
    <w:basedOn w:val="20"/>
    <w:link w:val="6"/>
    <w:semiHidden/>
    <w:qFormat/>
    <w:uiPriority w:val="9"/>
    <w:rPr>
      <w:b/>
      <w:bCs/>
      <w:sz w:val="28"/>
      <w:szCs w:val="28"/>
    </w:rPr>
  </w:style>
  <w:style w:type="character" w:customStyle="1" w:styleId="27">
    <w:name w:val="标题 5 Char"/>
    <w:basedOn w:val="20"/>
    <w:link w:val="7"/>
    <w:semiHidden/>
    <w:qFormat/>
    <w:uiPriority w:val="9"/>
    <w:rPr>
      <w:b/>
      <w:bCs/>
      <w:i/>
      <w:iCs/>
      <w:sz w:val="26"/>
      <w:szCs w:val="26"/>
    </w:rPr>
  </w:style>
  <w:style w:type="character" w:customStyle="1" w:styleId="28">
    <w:name w:val="标题 6 Char"/>
    <w:basedOn w:val="20"/>
    <w:link w:val="8"/>
    <w:semiHidden/>
    <w:qFormat/>
    <w:uiPriority w:val="9"/>
    <w:rPr>
      <w:b/>
      <w:bCs/>
    </w:rPr>
  </w:style>
  <w:style w:type="character" w:customStyle="1" w:styleId="29">
    <w:name w:val="标题 7 Char"/>
    <w:basedOn w:val="20"/>
    <w:link w:val="9"/>
    <w:semiHidden/>
    <w:qFormat/>
    <w:uiPriority w:val="9"/>
    <w:rPr>
      <w:sz w:val="24"/>
      <w:szCs w:val="24"/>
    </w:rPr>
  </w:style>
  <w:style w:type="character" w:customStyle="1" w:styleId="30">
    <w:name w:val="标题 8 Char"/>
    <w:basedOn w:val="20"/>
    <w:link w:val="10"/>
    <w:semiHidden/>
    <w:qFormat/>
    <w:uiPriority w:val="9"/>
    <w:rPr>
      <w:i/>
      <w:iCs/>
      <w:sz w:val="24"/>
      <w:szCs w:val="24"/>
    </w:rPr>
  </w:style>
  <w:style w:type="character" w:customStyle="1" w:styleId="31">
    <w:name w:val="标题 9 Char"/>
    <w:basedOn w:val="20"/>
    <w:link w:val="11"/>
    <w:semiHidden/>
    <w:qFormat/>
    <w:uiPriority w:val="9"/>
    <w:rPr>
      <w:rFonts w:asciiTheme="majorHAnsi" w:hAnsiTheme="majorHAnsi" w:eastAsiaTheme="majorEastAsia"/>
    </w:rPr>
  </w:style>
  <w:style w:type="character" w:customStyle="1" w:styleId="32">
    <w:name w:val="标题 Char"/>
    <w:basedOn w:val="20"/>
    <w:link w:val="2"/>
    <w:qFormat/>
    <w:uiPriority w:val="10"/>
    <w:rPr>
      <w:rFonts w:asciiTheme="majorHAnsi" w:hAnsiTheme="majorHAnsi" w:eastAsiaTheme="majorEastAsia"/>
      <w:b/>
      <w:bCs/>
      <w:kern w:val="28"/>
      <w:sz w:val="32"/>
      <w:szCs w:val="32"/>
    </w:rPr>
  </w:style>
  <w:style w:type="character" w:customStyle="1" w:styleId="33">
    <w:name w:val="副标题 Char"/>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Char"/>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Char"/>
    <w:basedOn w:val="20"/>
    <w:link w:val="38"/>
    <w:qFormat/>
    <w:uiPriority w:val="30"/>
    <w:rPr>
      <w:b/>
      <w:i/>
      <w:sz w:val="24"/>
    </w:rPr>
  </w:style>
  <w:style w:type="character" w:customStyle="1" w:styleId="40">
    <w:name w:val="不明显强调1"/>
    <w:qFormat/>
    <w:uiPriority w:val="19"/>
    <w:rPr>
      <w:i/>
      <w:color w:val="585858" w:themeColor="text1" w:themeTint="A6"/>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Char"/>
    <w:basedOn w:val="20"/>
    <w:link w:val="15"/>
    <w:qFormat/>
    <w:uiPriority w:val="99"/>
    <w:rPr>
      <w:rFonts w:ascii="Calibri" w:hAnsi="Calibri" w:eastAsia="宋体"/>
      <w:kern w:val="2"/>
      <w:sz w:val="18"/>
      <w:szCs w:val="18"/>
    </w:rPr>
  </w:style>
  <w:style w:type="character" w:customStyle="1" w:styleId="47">
    <w:name w:val="页脚 Char"/>
    <w:basedOn w:val="20"/>
    <w:link w:val="14"/>
    <w:qFormat/>
    <w:uiPriority w:val="99"/>
    <w:rPr>
      <w:rFonts w:ascii="Calibri" w:hAnsi="Calibri" w:eastAsia="宋体"/>
      <w:kern w:val="2"/>
      <w:sz w:val="18"/>
      <w:szCs w:val="18"/>
    </w:rPr>
  </w:style>
  <w:style w:type="character" w:customStyle="1" w:styleId="48">
    <w:name w:val="批注框文本 Char"/>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10258</Words>
  <Characters>10881</Characters>
  <Lines>68</Lines>
  <Paragraphs>19</Paragraphs>
  <TotalTime>0</TotalTime>
  <ScaleCrop>false</ScaleCrop>
  <LinksUpToDate>false</LinksUpToDate>
  <CharactersWithSpaces>10922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2021-04-06T03:16:00Z</cp:lastPrinted>
  <dcterms:modified xsi:type="dcterms:W3CDTF">2025-09-04T05:19:33Z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CFC6A0958B464EA1A76059B6FE7F5B84</vt:lpwstr>
  </property>
  <property fmtid="{D5CDD505-2E9C-101B-9397-08002B2CF9AE}" pid="4" name="KSOSaveFontToCloudKey">
    <vt:lpwstr>728097718_cloud</vt:lpwstr>
  </property>
  <property fmtid="{D5CDD505-2E9C-101B-9397-08002B2CF9AE}" pid="5" name="KSOTemplateDocerSaveRecord">
    <vt:lpwstr>eyJoZGlkIjoiN2VjMGM4YTNmZTY1NDFjMWFjNmVmZmU0NDA2ZTk0ZmMiLCJ1c2VySWQiOiI4NjI1NDMxNDkifQ==</vt:lpwstr>
  </property>
</Properties>
</file>