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after="120" w:line="520" w:lineRule="exact"/>
        <w:ind w:left="210" w:leftChars="100" w:right="210" w:rightChars="100"/>
        <w:contextualSpacing/>
        <w:jc w:val="center"/>
        <w:rPr>
          <w:rFonts w:hint="eastAsia" w:ascii="方正小标宋_GBK" w:hAnsi="宋体" w:eastAsia="方正小标宋_GBK" w:cs="Arial"/>
          <w:b/>
          <w:bCs/>
          <w:color w:val="000000" w:themeColor="text1"/>
          <w:sz w:val="36"/>
          <w:szCs w:val="36"/>
          <w14:textFill>
            <w14:solidFill>
              <w14:schemeClr w14:val="tx1"/>
            </w14:solidFill>
          </w14:textFill>
        </w:rPr>
      </w:pPr>
    </w:p>
    <w:p>
      <w:pPr>
        <w:spacing w:before="120" w:after="120" w:line="520" w:lineRule="exact"/>
        <w:ind w:left="210" w:leftChars="100" w:right="210" w:rightChars="100"/>
        <w:contextualSpacing/>
        <w:jc w:val="center"/>
        <w:rPr>
          <w:rFonts w:ascii="方正小标宋_GBK" w:hAnsi="宋体" w:eastAsia="方正小标宋_GBK" w:cs="Arial"/>
          <w:b/>
          <w:bCs/>
          <w:color w:val="000000" w:themeColor="text1"/>
          <w:sz w:val="36"/>
          <w:szCs w:val="36"/>
          <w14:textFill>
            <w14:solidFill>
              <w14:schemeClr w14:val="tx1"/>
            </w14:solidFill>
          </w14:textFill>
        </w:rPr>
      </w:pPr>
    </w:p>
    <w:p>
      <w:pPr>
        <w:spacing w:before="120" w:after="120" w:line="520" w:lineRule="exact"/>
        <w:ind w:left="210" w:leftChars="100" w:right="210" w:rightChars="100"/>
        <w:contextualSpacing/>
        <w:jc w:val="center"/>
        <w:rPr>
          <w:rFonts w:ascii="方正小标宋_GBK" w:hAnsi="宋体" w:eastAsia="方正小标宋_GBK" w:cs="Arial"/>
          <w:b/>
          <w:bCs/>
          <w:color w:val="000000" w:themeColor="text1"/>
          <w:sz w:val="36"/>
          <w:szCs w:val="36"/>
          <w14:textFill>
            <w14:solidFill>
              <w14:schemeClr w14:val="tx1"/>
            </w14:solidFill>
          </w14:textFill>
        </w:rPr>
      </w:pPr>
    </w:p>
    <w:p>
      <w:pPr>
        <w:spacing w:before="120" w:after="120" w:line="520" w:lineRule="exact"/>
        <w:ind w:left="210" w:leftChars="100" w:right="210" w:rightChars="100"/>
        <w:contextualSpacing/>
        <w:jc w:val="center"/>
        <w:rPr>
          <w:rFonts w:hint="eastAsia" w:ascii="方正小标宋简体" w:hAnsi="方正小标宋简体" w:eastAsia="方正小标宋简体" w:cs="方正小标宋简体"/>
          <w:b/>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
          <w:bCs/>
          <w:color w:val="000000" w:themeColor="text1"/>
          <w:sz w:val="44"/>
          <w:szCs w:val="44"/>
          <w14:textFill>
            <w14:solidFill>
              <w14:schemeClr w14:val="tx1"/>
            </w14:solidFill>
          </w14:textFill>
        </w:rPr>
        <w:t>大型工程机械监管平台网络环境租赁费</w:t>
      </w:r>
    </w:p>
    <w:p>
      <w:pPr>
        <w:spacing w:before="120" w:after="120" w:line="520" w:lineRule="exact"/>
        <w:ind w:left="210" w:leftChars="100" w:right="210" w:rightChars="100"/>
        <w:contextualSpacing/>
        <w:jc w:val="center"/>
        <w:rPr>
          <w:rFonts w:hint="eastAsia" w:ascii="方正小标宋简体" w:hAnsi="方正小标宋简体" w:eastAsia="方正小标宋简体" w:cs="方正小标宋简体"/>
          <w:b/>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
          <w:bCs/>
          <w:color w:val="000000" w:themeColor="text1"/>
          <w:sz w:val="44"/>
          <w:szCs w:val="44"/>
          <w14:textFill>
            <w14:solidFill>
              <w14:schemeClr w14:val="tx1"/>
            </w14:solidFill>
          </w14:textFill>
        </w:rPr>
        <w:t>项目支出绩效评价报告</w:t>
      </w:r>
    </w:p>
    <w:p>
      <w:pPr>
        <w:spacing w:before="120" w:after="120" w:line="520" w:lineRule="exact"/>
        <w:ind w:left="210" w:leftChars="100" w:right="210" w:rightChars="100"/>
        <w:contextualSpacing/>
        <w:jc w:val="center"/>
        <w:rPr>
          <w:rFonts w:hint="eastAsia" w:ascii="方正小标宋简体" w:hAnsi="方正小标宋简体" w:eastAsia="方正小标宋简体" w:cs="方正小标宋简体"/>
          <w:color w:val="000000" w:themeColor="text1"/>
          <w:sz w:val="44"/>
          <w:szCs w:val="44"/>
          <w14:textFill>
            <w14:solidFill>
              <w14:schemeClr w14:val="tx1"/>
            </w14:solidFill>
          </w14:textFill>
        </w:rPr>
      </w:pPr>
    </w:p>
    <w:p>
      <w:pPr>
        <w:spacing w:before="120" w:after="120" w:line="520" w:lineRule="exact"/>
        <w:ind w:left="210" w:leftChars="100" w:right="210" w:rightChars="100"/>
        <w:contextualSpacing/>
        <w:jc w:val="center"/>
        <w:rPr>
          <w:rFonts w:ascii="方正仿宋_GBK" w:eastAsia="方正仿宋_GBK"/>
          <w:color w:val="000000" w:themeColor="text1"/>
          <w:sz w:val="32"/>
          <w:szCs w:val="32"/>
          <w14:textFill>
            <w14:solidFill>
              <w14:schemeClr w14:val="tx1"/>
            </w14:solidFill>
          </w14:textFill>
        </w:rPr>
      </w:pPr>
    </w:p>
    <w:p>
      <w:pPr>
        <w:spacing w:before="120" w:after="120" w:line="520" w:lineRule="exact"/>
        <w:ind w:left="210" w:leftChars="100" w:right="210" w:rightChars="100"/>
        <w:contextualSpacing/>
        <w:jc w:val="center"/>
        <w:rPr>
          <w:rFonts w:hint="eastAsia" w:ascii="仿宋_GB2312" w:hAnsi="仿宋_GB2312" w:eastAsia="仿宋_GB2312" w:cs="仿宋_GB2312"/>
          <w:color w:val="000000" w:themeColor="text1"/>
          <w:sz w:val="44"/>
          <w:szCs w:val="44"/>
          <w14:textFill>
            <w14:solidFill>
              <w14:schemeClr w14:val="tx1"/>
            </w14:solidFill>
          </w14:textFill>
        </w:rPr>
      </w:pPr>
      <w:r>
        <w:rPr>
          <w:rFonts w:hint="eastAsia" w:ascii="仿宋_GB2312" w:hAnsi="仿宋_GB2312" w:eastAsia="仿宋_GB2312" w:cs="仿宋_GB2312"/>
          <w:color w:val="000000" w:themeColor="text1"/>
          <w:sz w:val="44"/>
          <w:szCs w:val="44"/>
          <w14:textFill>
            <w14:solidFill>
              <w14:schemeClr w14:val="tx1"/>
            </w14:solidFill>
          </w14:textFill>
        </w:rPr>
        <w:t>（2020年度）</w:t>
      </w:r>
    </w:p>
    <w:p>
      <w:pPr>
        <w:spacing w:before="120" w:after="120" w:line="520" w:lineRule="exact"/>
        <w:ind w:left="210" w:leftChars="100" w:right="210" w:rightChars="100"/>
        <w:contextualSpacing/>
        <w:jc w:val="center"/>
        <w:rPr>
          <w:rFonts w:ascii="方正仿宋_GBK" w:eastAsia="方正仿宋_GBK"/>
          <w:color w:val="000000" w:themeColor="text1"/>
          <w:sz w:val="32"/>
          <w:szCs w:val="32"/>
          <w14:textFill>
            <w14:solidFill>
              <w14:schemeClr w14:val="tx1"/>
            </w14:solidFill>
          </w14:textFill>
        </w:rPr>
      </w:pPr>
    </w:p>
    <w:p>
      <w:pPr>
        <w:spacing w:before="120" w:after="120" w:line="520" w:lineRule="exact"/>
        <w:ind w:left="210" w:leftChars="100" w:right="210" w:rightChars="100"/>
        <w:contextualSpacing/>
        <w:jc w:val="center"/>
        <w:rPr>
          <w:rFonts w:ascii="方正仿宋_GBK" w:eastAsia="方正仿宋_GBK"/>
          <w:color w:val="000000" w:themeColor="text1"/>
          <w:sz w:val="32"/>
          <w:szCs w:val="32"/>
          <w14:textFill>
            <w14:solidFill>
              <w14:schemeClr w14:val="tx1"/>
            </w14:solidFill>
          </w14:textFill>
        </w:rPr>
      </w:pPr>
    </w:p>
    <w:p>
      <w:pPr>
        <w:spacing w:before="120" w:after="120" w:line="520" w:lineRule="exact"/>
        <w:ind w:left="210" w:leftChars="100" w:right="210" w:rightChars="100"/>
        <w:contextualSpacing/>
        <w:jc w:val="center"/>
        <w:rPr>
          <w:rFonts w:ascii="方正仿宋_GBK" w:eastAsia="方正仿宋_GBK"/>
          <w:color w:val="000000" w:themeColor="text1"/>
          <w:sz w:val="32"/>
          <w:szCs w:val="32"/>
          <w14:textFill>
            <w14:solidFill>
              <w14:schemeClr w14:val="tx1"/>
            </w14:solidFill>
          </w14:textFill>
        </w:rPr>
      </w:pPr>
    </w:p>
    <w:p>
      <w:pPr>
        <w:spacing w:before="120" w:after="120" w:line="520" w:lineRule="exact"/>
        <w:ind w:left="210" w:leftChars="100" w:right="210" w:rightChars="100"/>
        <w:contextualSpacing/>
        <w:jc w:val="center"/>
        <w:rPr>
          <w:rFonts w:ascii="方正仿宋_GBK" w:eastAsia="方正仿宋_GBK"/>
          <w:color w:val="000000" w:themeColor="text1"/>
          <w:sz w:val="32"/>
          <w:szCs w:val="32"/>
          <w14:textFill>
            <w14:solidFill>
              <w14:schemeClr w14:val="tx1"/>
            </w14:solidFill>
          </w14:textFill>
        </w:rPr>
      </w:pPr>
    </w:p>
    <w:p>
      <w:pPr>
        <w:spacing w:before="120" w:after="120" w:line="520" w:lineRule="exact"/>
        <w:ind w:left="210" w:leftChars="100" w:right="210" w:rightChars="100"/>
        <w:contextualSpacing/>
        <w:jc w:val="center"/>
        <w:rPr>
          <w:rFonts w:ascii="方正仿宋_GBK" w:eastAsia="方正仿宋_GBK"/>
          <w:color w:val="000000" w:themeColor="text1"/>
          <w:sz w:val="32"/>
          <w:szCs w:val="32"/>
          <w14:textFill>
            <w14:solidFill>
              <w14:schemeClr w14:val="tx1"/>
            </w14:solidFill>
          </w14:textFill>
        </w:rPr>
      </w:pPr>
    </w:p>
    <w:p>
      <w:pPr>
        <w:spacing w:before="120" w:after="120" w:line="520" w:lineRule="exact"/>
        <w:ind w:left="210" w:leftChars="100" w:right="210" w:rightChars="100"/>
        <w:contextualSpacing/>
        <w:rPr>
          <w:rFonts w:hint="eastAsia" w:ascii="方正仿宋_GBK" w:eastAsia="方正仿宋_GBK"/>
          <w:color w:val="000000" w:themeColor="text1"/>
          <w:sz w:val="32"/>
          <w:szCs w:val="32"/>
          <w14:textFill>
            <w14:solidFill>
              <w14:schemeClr w14:val="tx1"/>
            </w14:solidFill>
          </w14:textFill>
        </w:rPr>
      </w:pPr>
    </w:p>
    <w:p>
      <w:pPr>
        <w:spacing w:before="120" w:after="120" w:line="520" w:lineRule="exact"/>
        <w:ind w:left="210" w:leftChars="100" w:right="210" w:rightChars="100"/>
        <w:contextualSpacing/>
        <w:rPr>
          <w:rFonts w:hint="eastAsia" w:ascii="方正仿宋_GBK" w:eastAsia="方正仿宋_GBK"/>
          <w:color w:val="000000" w:themeColor="text1"/>
          <w:sz w:val="32"/>
          <w:szCs w:val="32"/>
          <w14:textFill>
            <w14:solidFill>
              <w14:schemeClr w14:val="tx1"/>
            </w14:solidFill>
          </w14:textFill>
        </w:rPr>
      </w:pPr>
    </w:p>
    <w:p>
      <w:pPr>
        <w:spacing w:before="120" w:after="120" w:line="520" w:lineRule="exact"/>
        <w:ind w:left="210" w:leftChars="100" w:right="210" w:rightChars="100"/>
        <w:contextualSpacing/>
        <w:rPr>
          <w:rFonts w:ascii="方正仿宋_GBK" w:eastAsia="方正仿宋_GBK"/>
          <w:color w:val="000000" w:themeColor="text1"/>
          <w:sz w:val="32"/>
          <w:szCs w:val="32"/>
          <w14:textFill>
            <w14:solidFill>
              <w14:schemeClr w14:val="tx1"/>
            </w14:solidFill>
          </w14:textFill>
        </w:rPr>
      </w:pPr>
    </w:p>
    <w:p>
      <w:pPr>
        <w:spacing w:before="120" w:after="120" w:line="520" w:lineRule="exact"/>
        <w:ind w:left="210" w:leftChars="100" w:right="210" w:rightChars="100"/>
        <w:contextualSpacing/>
        <w:jc w:val="center"/>
        <w:rPr>
          <w:rFonts w:ascii="方正仿宋_GBK" w:eastAsia="方正仿宋_GBK"/>
          <w:color w:val="000000" w:themeColor="text1"/>
          <w:sz w:val="32"/>
          <w:szCs w:val="32"/>
          <w14:textFill>
            <w14:solidFill>
              <w14:schemeClr w14:val="tx1"/>
            </w14:solidFill>
          </w14:textFill>
        </w:rPr>
      </w:pPr>
    </w:p>
    <w:p>
      <w:pPr>
        <w:spacing w:before="120" w:after="120" w:line="520" w:lineRule="exact"/>
        <w:ind w:left="210" w:leftChars="100" w:right="210" w:rightChars="100"/>
        <w:contextualSpacing/>
        <w:jc w:val="center"/>
        <w:rPr>
          <w:rFonts w:ascii="方正仿宋_GBK" w:eastAsia="方正仿宋_GBK"/>
          <w:color w:val="000000" w:themeColor="text1"/>
          <w:sz w:val="32"/>
          <w:szCs w:val="32"/>
          <w14:textFill>
            <w14:solidFill>
              <w14:schemeClr w14:val="tx1"/>
            </w14:solidFill>
          </w14:textFill>
        </w:rPr>
      </w:pPr>
    </w:p>
    <w:p>
      <w:pPr>
        <w:spacing w:before="120" w:after="120" w:line="520" w:lineRule="exact"/>
        <w:ind w:right="210" w:rightChars="100"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项目名称：大型工程机械监管平台网络环境租赁费</w:t>
      </w:r>
    </w:p>
    <w:p>
      <w:pPr>
        <w:spacing w:before="120" w:after="120" w:line="520" w:lineRule="exact"/>
        <w:ind w:left="3518" w:leftChars="304" w:right="210" w:rightChars="100" w:hanging="2880" w:hangingChars="9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实施单位（公章）：塔城地区农业农村机械化发展中心</w:t>
      </w:r>
    </w:p>
    <w:p>
      <w:pPr>
        <w:spacing w:before="120" w:after="120" w:line="520" w:lineRule="exact"/>
        <w:ind w:right="210" w:rightChars="100"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主管部门（公章）：塔城地区农业农村局</w:t>
      </w:r>
    </w:p>
    <w:p>
      <w:pPr>
        <w:spacing w:before="120" w:after="120" w:line="520" w:lineRule="exact"/>
        <w:ind w:right="210" w:rightChars="100"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项目负责人（签章）：赖志强</w:t>
      </w:r>
    </w:p>
    <w:p>
      <w:pPr>
        <w:spacing w:before="120" w:after="120" w:line="520" w:lineRule="exact"/>
        <w:ind w:right="210" w:rightChars="100"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填报时间：2021年4月 6日</w:t>
      </w:r>
    </w:p>
    <w:p>
      <w:pPr>
        <w:spacing w:before="120" w:after="120" w:line="520" w:lineRule="exact"/>
        <w:ind w:right="210" w:rightChars="100" w:firstLine="640" w:firstLineChars="200"/>
        <w:contextualSpacing/>
        <w:rPr>
          <w:rFonts w:hint="eastAsia" w:ascii="黑体" w:hAnsi="黑体" w:eastAsia="黑体"/>
          <w:color w:val="000000" w:themeColor="text1"/>
          <w:sz w:val="32"/>
          <w:szCs w:val="32"/>
          <w14:textFill>
            <w14:solidFill>
              <w14:schemeClr w14:val="tx1"/>
            </w14:solidFill>
          </w14:textFill>
        </w:rPr>
      </w:pPr>
    </w:p>
    <w:p>
      <w:pPr>
        <w:spacing w:before="120" w:after="120" w:line="520" w:lineRule="exact"/>
        <w:ind w:right="210" w:rightChars="100" w:firstLine="640" w:firstLineChars="200"/>
        <w:contextualSpacing/>
        <w:rPr>
          <w:rFonts w:hint="eastAsia" w:ascii="黑体" w:hAnsi="黑体" w:eastAsia="黑体"/>
          <w:color w:val="000000" w:themeColor="text1"/>
          <w:sz w:val="32"/>
          <w:szCs w:val="32"/>
          <w14:textFill>
            <w14:solidFill>
              <w14:schemeClr w14:val="tx1"/>
            </w14:solidFill>
          </w14:textFill>
        </w:rPr>
      </w:pPr>
    </w:p>
    <w:p>
      <w:pPr>
        <w:pageBreakBefore w:val="0"/>
        <w:kinsoku/>
        <w:wordWrap/>
        <w:overflowPunct/>
        <w:topLinePunct w:val="0"/>
        <w:autoSpaceDE/>
        <w:autoSpaceDN/>
        <w:bidi w:val="0"/>
        <w:adjustRightInd/>
        <w:spacing w:line="560" w:lineRule="atLeast"/>
        <w:ind w:right="210" w:rightChars="100" w:firstLine="640" w:firstLineChars="200"/>
        <w:contextualSpacing/>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一、基本情况</w:t>
      </w:r>
    </w:p>
    <w:p>
      <w:pPr>
        <w:pageBreakBefore w:val="0"/>
        <w:kinsoku/>
        <w:wordWrap/>
        <w:overflowPunct/>
        <w:topLinePunct w:val="0"/>
        <w:autoSpaceDE/>
        <w:autoSpaceDN/>
        <w:bidi w:val="0"/>
        <w:adjustRightIn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ageBreakBefore w:val="0"/>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pageBreakBefore w:val="0"/>
        <w:kinsoku/>
        <w:wordWrap/>
        <w:overflowPunct/>
        <w:topLinePunct w:val="0"/>
        <w:autoSpaceDE/>
        <w:autoSpaceDN/>
        <w:bidi w:val="0"/>
        <w:adjustRightInd/>
        <w:spacing w:line="560" w:lineRule="atLeas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（1）项目实施的政策背景</w:t>
      </w:r>
    </w:p>
    <w:p>
      <w:pPr>
        <w:pageBreakBefore w:val="0"/>
        <w:kinsoku/>
        <w:wordWrap/>
        <w:overflowPunct/>
        <w:topLinePunct w:val="0"/>
        <w:autoSpaceDE/>
        <w:autoSpaceDN/>
        <w:bidi w:val="0"/>
        <w:adjustRightInd/>
        <w:spacing w:line="560" w:lineRule="atLeast"/>
        <w:ind w:firstLine="640" w:firstLineChars="200"/>
        <w:textAlignment w:val="auto"/>
      </w:pPr>
      <w:r>
        <w:rPr>
          <w:rFonts w:hint="eastAsia" w:ascii="仿宋_GB2312" w:hAnsi="仿宋_GB2312" w:eastAsia="仿宋_GB2312" w:cs="仿宋_GB2312"/>
          <w:kern w:val="0"/>
          <w:sz w:val="32"/>
          <w:szCs w:val="32"/>
        </w:rPr>
        <w:t>全面贯彻落实《新疆维吾尔自治区大型工程机械设备和车辆安全监督管理办法》，加强对大型工程机械设备的社会面管控工作，加大对大型工程机械设备违章行为的治理力度，强化安全生产措施落实，确保全区安全生产形势稳定。按规定开展大型工程机械设备牌证和操作证发放工作。</w:t>
      </w:r>
    </w:p>
    <w:p>
      <w:pPr>
        <w:pStyle w:val="2"/>
        <w:pageBreakBefore w:val="0"/>
        <w:numPr>
          <w:ilvl w:val="0"/>
          <w:numId w:val="1"/>
        </w:numPr>
        <w:kinsoku/>
        <w:wordWrap/>
        <w:overflowPunct/>
        <w:topLinePunct w:val="0"/>
        <w:autoSpaceDE/>
        <w:autoSpaceDN/>
        <w:bidi w:val="0"/>
        <w:adjustRightInd/>
        <w:snapToGrid w:val="0"/>
        <w:spacing w:before="0" w:after="0" w:line="560" w:lineRule="atLeast"/>
        <w:ind w:firstLine="640" w:firstLineChars="200"/>
        <w:jc w:val="both"/>
        <w:textAlignment w:val="auto"/>
        <w:rPr>
          <w:rFonts w:ascii="仿宋_GB2312" w:hAnsi="仿宋_GB2312" w:eastAsia="仿宋_GB2312" w:cs="仿宋_GB2312"/>
          <w:b w:val="0"/>
          <w:bCs w:val="0"/>
          <w:kern w:val="0"/>
        </w:rPr>
      </w:pPr>
      <w:r>
        <w:rPr>
          <w:rFonts w:hint="eastAsia" w:ascii="仿宋_GB2312" w:hAnsi="仿宋_GB2312" w:eastAsia="仿宋_GB2312" w:cs="仿宋_GB2312"/>
          <w:b w:val="0"/>
          <w:bCs w:val="0"/>
          <w:kern w:val="0"/>
        </w:rPr>
        <w:t>项目实施的历史概况</w:t>
      </w:r>
    </w:p>
    <w:p>
      <w:pPr>
        <w:pageBreakBefore w:val="0"/>
        <w:kinsoku/>
        <w:wordWrap/>
        <w:overflowPunct/>
        <w:topLinePunct w:val="0"/>
        <w:autoSpaceDE/>
        <w:autoSpaceDN/>
        <w:bidi w:val="0"/>
        <w:adjustRightInd/>
        <w:snapToGrid w:val="0"/>
        <w:spacing w:line="560" w:lineRule="atLeast"/>
        <w:ind w:firstLine="640" w:firstLineChars="200"/>
        <w:textAlignment w:val="auto"/>
        <w:rPr>
          <w:rStyle w:val="11"/>
          <w:rFonts w:ascii="黑体" w:hAnsi="黑体" w:eastAsia="黑体"/>
          <w:bCs w:val="0"/>
          <w:spacing w:val="-4"/>
          <w:sz w:val="32"/>
          <w:szCs w:val="32"/>
        </w:rPr>
      </w:pPr>
      <w:r>
        <w:rPr>
          <w:rFonts w:hint="eastAsia" w:ascii="仿宋_GB2312" w:hAnsi="仿宋" w:eastAsia="仿宋_GB2312" w:cs="仿宋"/>
          <w:color w:val="000000" w:themeColor="text1"/>
          <w:kern w:val="0"/>
          <w:sz w:val="32"/>
          <w:szCs w:val="32"/>
          <w14:textFill>
            <w14:solidFill>
              <w14:schemeClr w14:val="tx1"/>
            </w14:solidFill>
          </w14:textFill>
        </w:rPr>
        <w:t>地区大型工程机械设备监控中心承担着全地区所有大型工程机械设备和车辆安全监管工作，具体处理、收集、采集大型工程机械设备及驾驶操作人员各类信息，掌握本辖区大型工程机械设备分布、运行状况，以及牌证业务管理工作，及时对异常、异动的大型工程机械设备进行监测和统计分析，同时也属于政法委视频会议备用系统。</w:t>
      </w:r>
      <w:r>
        <w:rPr>
          <w:rFonts w:hint="eastAsia" w:ascii="仿宋_GB2312" w:hAnsi="仿宋" w:eastAsia="仿宋_GB2312" w:cs="仿宋"/>
          <w:color w:val="000000" w:themeColor="text1"/>
          <w:kern w:val="0"/>
          <w:sz w:val="32"/>
          <w:szCs w:val="32"/>
          <w:lang w:val="en-US" w:eastAsia="zh-CN"/>
          <w14:textFill>
            <w14:solidFill>
              <w14:schemeClr w14:val="tx1"/>
            </w14:solidFill>
          </w14:textFill>
        </w:rPr>
        <w:t>2018年，</w:t>
      </w:r>
      <w:r>
        <w:rPr>
          <w:rFonts w:hint="eastAsia" w:ascii="仿宋_GB2312" w:hAnsi="仿宋" w:eastAsia="仿宋_GB2312" w:cs="仿宋"/>
          <w:color w:val="000000" w:themeColor="text1"/>
          <w:kern w:val="0"/>
          <w:sz w:val="32"/>
          <w:szCs w:val="32"/>
          <w14:textFill>
            <w14:solidFill>
              <w14:schemeClr w14:val="tx1"/>
            </w14:solidFill>
          </w14:textFill>
        </w:rPr>
        <w:t>各级大型工程机械设备和车辆安全监管平台和监控中心建设前，每个地（州、市）需支付233.2万元监管平台相关设备费用及环境租赁费用；每个县（市、区）需支付10.6万元监管平台相关设备费用。后续四年（2019年-2022年）每个地州每年需支付设备、环境租赁费用30.6万元。</w:t>
      </w:r>
    </w:p>
    <w:p>
      <w:pPr>
        <w:pageBreakBefore w:val="0"/>
        <w:numPr>
          <w:ilvl w:val="0"/>
          <w:numId w:val="2"/>
        </w:numPr>
        <w:kinsoku/>
        <w:wordWrap/>
        <w:overflowPunct/>
        <w:topLinePunct w:val="0"/>
        <w:autoSpaceDE/>
        <w:autoSpaceDN/>
        <w:bidi w:val="0"/>
        <w:adjustRightInd/>
        <w:snapToGrid w:val="0"/>
        <w:spacing w:line="560" w:lineRule="atLeast"/>
        <w:ind w:firstLine="641"/>
        <w:textAlignment w:val="auto"/>
        <w:rPr>
          <w:rFonts w:ascii="仿宋_GB2312" w:hAnsi="仿宋" w:eastAsia="仿宋_GB2312" w:cs="仿宋"/>
          <w:b/>
          <w:bCs/>
          <w:color w:val="000000" w:themeColor="text1"/>
          <w:kern w:val="0"/>
          <w:sz w:val="32"/>
          <w:szCs w:val="32"/>
          <w14:textFill>
            <w14:solidFill>
              <w14:schemeClr w14:val="tx1"/>
            </w14:solidFill>
          </w14:textFill>
        </w:rPr>
      </w:pPr>
      <w:r>
        <w:rPr>
          <w:rFonts w:hint="eastAsia" w:ascii="仿宋_GB2312" w:hAnsi="仿宋" w:eastAsia="仿宋_GB2312" w:cs="仿宋"/>
          <w:b/>
          <w:bCs/>
          <w:color w:val="000000" w:themeColor="text1"/>
          <w:kern w:val="0"/>
          <w:sz w:val="32"/>
          <w:szCs w:val="32"/>
          <w14:textFill>
            <w14:solidFill>
              <w14:schemeClr w14:val="tx1"/>
            </w14:solidFill>
          </w14:textFill>
        </w:rPr>
        <w:t>项目主要内容及实施情况</w:t>
      </w:r>
    </w:p>
    <w:p>
      <w:pPr>
        <w:pStyle w:val="2"/>
        <w:pageBreakBefore w:val="0"/>
        <w:kinsoku/>
        <w:wordWrap/>
        <w:overflowPunct/>
        <w:topLinePunct w:val="0"/>
        <w:autoSpaceDE/>
        <w:autoSpaceDN/>
        <w:bidi w:val="0"/>
        <w:adjustRightInd/>
        <w:snapToGrid w:val="0"/>
        <w:spacing w:before="0" w:after="0" w:line="560" w:lineRule="atLeast"/>
        <w:ind w:firstLine="640"/>
        <w:jc w:val="left"/>
        <w:textAlignment w:val="auto"/>
        <w:rPr>
          <w:rFonts w:ascii="仿宋_GB2312" w:hAnsi="仿宋" w:eastAsia="仿宋_GB2312" w:cs="仿宋"/>
          <w:b w:val="0"/>
          <w:bCs w:val="0"/>
          <w:color w:val="000000" w:themeColor="text1"/>
          <w:kern w:val="0"/>
          <w14:textFill>
            <w14:solidFill>
              <w14:schemeClr w14:val="tx1"/>
            </w14:solidFill>
          </w14:textFill>
        </w:rPr>
      </w:pPr>
      <w:r>
        <w:rPr>
          <w:rFonts w:hint="eastAsia" w:ascii="仿宋_GB2312" w:hAnsi="仿宋" w:eastAsia="仿宋_GB2312" w:cs="仿宋"/>
          <w:b w:val="0"/>
          <w:bCs w:val="0"/>
          <w:color w:val="000000" w:themeColor="text1"/>
          <w:kern w:val="0"/>
          <w14:textFill>
            <w14:solidFill>
              <w14:schemeClr w14:val="tx1"/>
            </w14:solidFill>
          </w14:textFill>
        </w:rPr>
        <w:t>项目主要内容：全面贯彻落实《新疆维吾尔自治区大型工程机械设备和车辆安全监督管理办法》，按照《关于印发〈自治区农机安全专项整治三年行动实施方案〉的通知》要求，塔城地区大型工程机械设备和车辆安全监管工作领导小组办公室从预防和减少事故，保障人民群众生命财产安全和公共安全，营造安全稳定的社会环境的高度认真加以贯彻落实，全面提升大型工程机械设备安全监管能力。</w:t>
      </w:r>
    </w:p>
    <w:p>
      <w:pPr>
        <w:pageBreakBefore w:val="0"/>
        <w:kinsoku/>
        <w:wordWrap/>
        <w:overflowPunct/>
        <w:topLinePunct w:val="0"/>
        <w:autoSpaceDE/>
        <w:autoSpaceDN/>
        <w:bidi w:val="0"/>
        <w:adjustRightInd/>
        <w:snapToGrid w:val="0"/>
        <w:spacing w:line="560" w:lineRule="atLeast"/>
        <w:ind w:firstLine="640" w:firstLineChars="200"/>
        <w:textAlignment w:val="auto"/>
        <w:rPr>
          <w:rFonts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napToGrid w:val="0"/>
        <w:spacing w:line="560" w:lineRule="atLeast"/>
        <w:ind w:firstLine="579" w:firstLineChars="181"/>
        <w:textAlignment w:val="auto"/>
        <w:rPr>
          <w:rFonts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14:textFill>
            <w14:solidFill>
              <w14:schemeClr w14:val="tx1"/>
            </w14:solidFill>
          </w14:textFill>
        </w:rPr>
        <w:t>本项目总投资30.6万元，其中：财政本级资金30.6万元。项目实际支出30.6万元， 支出率为100%。</w:t>
      </w:r>
    </w:p>
    <w:p>
      <w:pPr>
        <w:pageBreakBefore w:val="0"/>
        <w:kinsoku/>
        <w:wordWrap/>
        <w:overflowPunct/>
        <w:topLinePunct w:val="0"/>
        <w:autoSpaceDE/>
        <w:autoSpaceDN/>
        <w:bidi w:val="0"/>
        <w:adjustRightInd/>
        <w:snapToGrid w:val="0"/>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pageBreakBefore w:val="0"/>
        <w:kinsoku/>
        <w:wordWrap/>
        <w:overflowPunct/>
        <w:topLinePunct w:val="0"/>
        <w:autoSpaceDE/>
        <w:autoSpaceDN/>
        <w:bidi w:val="0"/>
        <w:adjustRightInd/>
        <w:snapToGrid w:val="0"/>
        <w:spacing w:line="560" w:lineRule="atLeast"/>
        <w:ind w:firstLine="641"/>
        <w:textAlignment w:val="auto"/>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pPr>
        <w:pageBreakBefore w:val="0"/>
        <w:kinsoku/>
        <w:wordWrap/>
        <w:overflowPunct/>
        <w:topLinePunct w:val="0"/>
        <w:autoSpaceDE/>
        <w:autoSpaceDN/>
        <w:bidi w:val="0"/>
        <w:adjustRightInd/>
        <w:snapToGrid w:val="0"/>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项目总投资30.6万元，按照《新疆维吾尔自治区大型工程机械设备和车辆安全监管平台项目合同》</w:t>
      </w:r>
      <w:r>
        <w:rPr>
          <w:rFonts w:hint="eastAsia" w:ascii="仿宋_GB2312" w:eastAsia="仿宋_GB2312"/>
          <w:bCs/>
          <w:sz w:val="32"/>
          <w:szCs w:val="32"/>
        </w:rPr>
        <w:t>和</w:t>
      </w:r>
      <w:r>
        <w:rPr>
          <w:rFonts w:hint="eastAsia" w:ascii="仿宋_GB2312" w:hAnsi="仿宋_GB2312" w:eastAsia="仿宋_GB2312" w:cs="仿宋_GB2312"/>
          <w:bCs/>
          <w:sz w:val="32"/>
          <w:szCs w:val="32"/>
        </w:rPr>
        <w:t>单位</w:t>
      </w:r>
      <w:r>
        <w:rPr>
          <w:rFonts w:hint="eastAsia" w:ascii="仿宋_GB2312" w:hAnsi="仿宋_GB2312" w:eastAsia="仿宋_GB2312" w:cs="仿宋_GB2312"/>
          <w:sz w:val="32"/>
          <w:szCs w:val="32"/>
        </w:rPr>
        <w:t>财务制度等相关规定，资金支出符合</w:t>
      </w:r>
      <w:r>
        <w:rPr>
          <w:rFonts w:hint="eastAsia" w:hAnsi="宋体" w:eastAsia="仿宋_GB2312" w:cs="宋体"/>
          <w:kern w:val="0"/>
          <w:sz w:val="32"/>
          <w:szCs w:val="32"/>
        </w:rPr>
        <w:t>大型工程机械监管平台网络环境租赁费</w:t>
      </w:r>
      <w:r>
        <w:rPr>
          <w:rFonts w:hint="eastAsia" w:ascii="仿宋_GB2312" w:hAnsi="仿宋_GB2312" w:eastAsia="仿宋_GB2312" w:cs="仿宋_GB2312"/>
          <w:sz w:val="32"/>
          <w:szCs w:val="32"/>
        </w:rPr>
        <w:t>专项资金费用范围，做到了专款专用。在项目资金拨付和使用过程中，为确保项目资金的安全性，提高项目资金使用效率，严格遵循项目资金的拨付程序，认真审核项目实施各阶段的相关材料和手续，根据项目实施进展情况拨付资金。</w:t>
      </w:r>
    </w:p>
    <w:p>
      <w:pPr>
        <w:pageBreakBefore w:val="0"/>
        <w:kinsoku/>
        <w:wordWrap/>
        <w:overflowPunct/>
        <w:topLinePunct w:val="0"/>
        <w:autoSpaceDE/>
        <w:autoSpaceDN/>
        <w:bidi w:val="0"/>
        <w:adjustRightInd/>
        <w:snapToGrid w:val="0"/>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pPr>
        <w:pStyle w:val="2"/>
        <w:pageBreakBefore w:val="0"/>
        <w:kinsoku/>
        <w:wordWrap/>
        <w:overflowPunct/>
        <w:topLinePunct w:val="0"/>
        <w:autoSpaceDE/>
        <w:autoSpaceDN/>
        <w:bidi w:val="0"/>
        <w:adjustRightInd/>
        <w:snapToGrid w:val="0"/>
        <w:spacing w:before="0" w:after="0" w:line="560" w:lineRule="atLeast"/>
        <w:ind w:firstLine="640" w:firstLineChars="200"/>
        <w:jc w:val="both"/>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项目预算资金来源于</w:t>
      </w:r>
      <w:r>
        <w:rPr>
          <w:rFonts w:hint="eastAsia" w:ascii="仿宋_GB2312" w:hAnsi="仿宋_GB2312" w:eastAsia="仿宋_GB2312" w:cs="仿宋_GB2312"/>
          <w:b w:val="0"/>
          <w:bCs w:val="0"/>
          <w:kern w:val="1"/>
          <w:lang w:eastAsia="zh-CN"/>
        </w:rPr>
        <w:t>财政</w:t>
      </w:r>
      <w:bookmarkStart w:id="2" w:name="_GoBack"/>
      <w:bookmarkEnd w:id="2"/>
      <w:r>
        <w:rPr>
          <w:rFonts w:hint="eastAsia" w:ascii="仿宋_GB2312" w:hAnsi="仿宋_GB2312" w:eastAsia="仿宋_GB2312" w:cs="仿宋_GB2312"/>
          <w:b w:val="0"/>
          <w:bCs w:val="0"/>
          <w:kern w:val="2"/>
        </w:rPr>
        <w:t>批复的资金，项目资金到位30.6万元，用于支付项目实施进程中的各项费用。</w:t>
      </w:r>
    </w:p>
    <w:p>
      <w:pPr>
        <w:pageBreakBefore w:val="0"/>
        <w:kinsoku/>
        <w:wordWrap/>
        <w:overflowPunct/>
        <w:topLinePunct w:val="0"/>
        <w:autoSpaceDE/>
        <w:autoSpaceDN/>
        <w:bidi w:val="0"/>
        <w:adjustRightIn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pPr>
        <w:pageBreakBefore w:val="0"/>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1、总体目标</w:t>
      </w:r>
    </w:p>
    <w:p>
      <w:pPr>
        <w:pageBreakBefore w:val="0"/>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进一步推进大型工程机械设备和车辆安全监管，完善社会治安防控体系，切实履行好各部门安全监管职责。</w:t>
      </w:r>
    </w:p>
    <w:p>
      <w:pPr>
        <w:pageBreakBefore w:val="0"/>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(1)、开展大型工程机械注册登记。认真履行安全监督检查的职责，积极开展联合执法，推进大型工程机械注册登记工作。全年大型工程机械注册登记累计达到4100台,注册登记登记覆盖率达到90%；</w:t>
      </w:r>
    </w:p>
    <w:p>
      <w:pPr>
        <w:pageBreakBefore w:val="0"/>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办理大型工程机械操作证。严格按照大型工程机械驾驶员安全背景审查要求，对持有B2以上有效期内驾驶证经审查合格发放操作证。严格把关大型工程机械设备驾驶培训考核。全年办理大型工程机械操作证3500人。</w:t>
      </w:r>
    </w:p>
    <w:p>
      <w:pPr>
        <w:pageBreakBefore w:val="0"/>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（3）、监控大型工程机械设备安全运行。进一步提高监管水平，加强大型工程机械设备监控平台注册登记，</w:t>
      </w:r>
      <w:r>
        <w:rPr>
          <w:rFonts w:hint="eastAsia" w:ascii="仿宋_GB2312" w:hAnsi="仿宋_GB2312" w:eastAsia="仿宋_GB2312" w:cs="仿宋_GB2312"/>
          <w:bCs/>
          <w:sz w:val="32"/>
          <w:szCs w:val="32"/>
        </w:rPr>
        <w:t>大型机械设备安全运行0事故</w:t>
      </w:r>
      <w:r>
        <w:rPr>
          <w:rFonts w:hint="eastAsia" w:ascii="仿宋_GB2312" w:hAnsi="仿宋_GB2312" w:eastAsia="仿宋_GB2312" w:cs="仿宋_GB2312"/>
          <w:sz w:val="32"/>
          <w:szCs w:val="32"/>
        </w:rPr>
        <w:t>。</w:t>
      </w:r>
    </w:p>
    <w:p>
      <w:pPr>
        <w:pageBreakBefore w:val="0"/>
        <w:kinsoku/>
        <w:wordWrap/>
        <w:overflowPunct/>
        <w:topLinePunct w:val="0"/>
        <w:autoSpaceDE/>
        <w:autoSpaceDN/>
        <w:bidi w:val="0"/>
        <w:adjustRightInd/>
        <w:snapToGrid w:val="0"/>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2、阶段性目标</w:t>
      </w:r>
    </w:p>
    <w:p>
      <w:pPr>
        <w:pageBreakBefore w:val="0"/>
        <w:kinsoku/>
        <w:wordWrap/>
        <w:overflowPunct/>
        <w:topLinePunct w:val="0"/>
        <w:autoSpaceDE/>
        <w:autoSpaceDN/>
        <w:bidi w:val="0"/>
        <w:adjustRightInd/>
        <w:snapToGrid w:val="0"/>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（1）前期准备：根据《新疆维吾尔自治区大型工程机械设备和车辆安全监管平台项目合同》，通过制定项目实施方案，经项目负责人审核通过后，有序开展后续工程。</w:t>
      </w:r>
    </w:p>
    <w:p>
      <w:pPr>
        <w:pageBreakBefore w:val="0"/>
        <w:kinsoku/>
        <w:wordWrap/>
        <w:overflowPunct/>
        <w:topLinePunct w:val="0"/>
        <w:autoSpaceDE/>
        <w:autoSpaceDN/>
        <w:bidi w:val="0"/>
        <w:adjustRightInd/>
        <w:snapToGrid w:val="0"/>
        <w:spacing w:line="560" w:lineRule="atLeas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（2）组织实施：资金一到位，立即根据项目要求实施项目。项目责任人按照《新疆维吾尔自治区大型工程机械设备和车辆安全监管平台项目合同》要求逐一进行项目部署安排，提高项目质量及效率性。</w:t>
      </w:r>
    </w:p>
    <w:p>
      <w:pPr>
        <w:pageBreakBefore w:val="0"/>
        <w:kinsoku/>
        <w:wordWrap/>
        <w:overflowPunct/>
        <w:topLinePunct w:val="0"/>
        <w:autoSpaceDE/>
        <w:autoSpaceDN/>
        <w:bidi w:val="0"/>
        <w:adjustRightInd/>
        <w:snapToGrid w:val="0"/>
        <w:spacing w:line="560" w:lineRule="atLeast"/>
        <w:ind w:firstLine="641"/>
        <w:textAlignment w:val="auto"/>
        <w:rPr>
          <w:rFonts w:ascii="黑体" w:hAnsi="黑体" w:eastAsia="黑体"/>
          <w:sz w:val="32"/>
          <w:szCs w:val="32"/>
        </w:rPr>
      </w:pPr>
      <w:r>
        <w:rPr>
          <w:rFonts w:hint="eastAsia" w:ascii="黑体" w:hAnsi="黑体" w:eastAsia="黑体"/>
          <w:sz w:val="32"/>
          <w:szCs w:val="32"/>
        </w:rPr>
        <w:t>二、绩效评价工作开展情况</w:t>
      </w:r>
    </w:p>
    <w:p>
      <w:pPr>
        <w:pageBreakBefore w:val="0"/>
        <w:kinsoku/>
        <w:wordWrap/>
        <w:overflowPunct/>
        <w:topLinePunct w:val="0"/>
        <w:autoSpaceDE/>
        <w:autoSpaceDN/>
        <w:bidi w:val="0"/>
        <w:adjustRightInd/>
        <w:snapToGrid w:val="0"/>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Style w:val="2"/>
        <w:pageBreakBefore w:val="0"/>
        <w:widowControl w:val="0"/>
        <w:kinsoku/>
        <w:wordWrap/>
        <w:overflowPunct/>
        <w:topLinePunct w:val="0"/>
        <w:autoSpaceDE/>
        <w:autoSpaceDN/>
        <w:bidi w:val="0"/>
        <w:adjustRightInd/>
        <w:snapToGrid w:val="0"/>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pPr>
        <w:pageBreakBefore w:val="0"/>
        <w:kinsoku/>
        <w:wordWrap/>
        <w:overflowPunct/>
        <w:topLinePunct w:val="0"/>
        <w:autoSpaceDE/>
        <w:autoSpaceDN/>
        <w:bidi w:val="0"/>
        <w:adjustRightInd/>
        <w:snapToGrid w:val="0"/>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3"/>
        </w:numPr>
        <w:kinsoku/>
        <w:wordWrap/>
        <w:overflowPunct/>
        <w:topLinePunct w:val="0"/>
        <w:autoSpaceDE/>
        <w:autoSpaceDN/>
        <w:bidi w:val="0"/>
        <w:adjustRightInd/>
        <w:snapToGrid w:val="0"/>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pacing w:line="560" w:lineRule="atLeast"/>
        <w:ind w:left="142" w:firstLine="496" w:firstLineChars="155"/>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pageBreakBefore w:val="0"/>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Style w:val="2"/>
        <w:pageBreakBefore w:val="0"/>
        <w:widowControl w:val="0"/>
        <w:kinsoku/>
        <w:wordWrap/>
        <w:overflowPunct/>
        <w:topLinePunct w:val="0"/>
        <w:autoSpaceDE/>
        <w:autoSpaceDN/>
        <w:bidi w:val="0"/>
        <w:adjustRightIn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2、绩效评价的对象</w:t>
      </w:r>
    </w:p>
    <w:p>
      <w:pPr>
        <w:pageBreakBefore w:val="0"/>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sz w:val="32"/>
          <w:szCs w:val="32"/>
        </w:rPr>
      </w:pPr>
      <w:r>
        <w:rPr>
          <w:rFonts w:hint="eastAsia" w:hAnsi="宋体" w:eastAsia="仿宋_GB2312" w:cs="宋体"/>
          <w:kern w:val="0"/>
          <w:sz w:val="32"/>
          <w:szCs w:val="32"/>
        </w:rPr>
        <w:t>大型工程机械监管平台网络环境租赁费项目30.6万元。</w:t>
      </w:r>
      <w:r>
        <w:rPr>
          <w:rFonts w:hint="eastAsia" w:ascii="仿宋_GB2312" w:hAnsi="仿宋_GB2312" w:eastAsia="仿宋_GB2312" w:cs="仿宋_GB2312"/>
          <w:sz w:val="32"/>
          <w:szCs w:val="32"/>
        </w:rPr>
        <w:t>为科学、公正地评价财政资金使用绩效，确定合理的绩效评价指标体系，根据项目实际进展情况如实填写自评表，严格按照打分标准进行项目自评，撰写绩效自评报告。</w:t>
      </w:r>
    </w:p>
    <w:p>
      <w:pPr>
        <w:pStyle w:val="2"/>
        <w:pageBreakBefore w:val="0"/>
        <w:widowControl w:val="0"/>
        <w:kinsoku/>
        <w:wordWrap/>
        <w:overflowPunct/>
        <w:topLinePunct w:val="0"/>
        <w:autoSpaceDE/>
        <w:autoSpaceDN/>
        <w:bidi w:val="0"/>
        <w:adjustRightIn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3、绩效评价的范围</w:t>
      </w:r>
    </w:p>
    <w:p>
      <w:pPr>
        <w:pageBreakBefore w:val="0"/>
        <w:kinsoku/>
        <w:wordWrap/>
        <w:overflowPunct/>
        <w:topLinePunct w:val="0"/>
        <w:autoSpaceDE/>
        <w:autoSpaceDN/>
        <w:bidi w:val="0"/>
        <w:adjustRightIn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从</w:t>
      </w:r>
      <w:r>
        <w:rPr>
          <w:rFonts w:hint="eastAsia" w:hAnsi="宋体" w:eastAsia="仿宋_GB2312" w:cs="宋体"/>
          <w:kern w:val="0"/>
          <w:sz w:val="32"/>
          <w:szCs w:val="32"/>
        </w:rPr>
        <w:t>大型工程机械监管平台网络环境租赁费项目</w:t>
      </w:r>
      <w:r>
        <w:rPr>
          <w:rFonts w:hint="eastAsia" w:ascii="仿宋_GB2312" w:hAnsi="仿宋_GB2312" w:eastAsia="仿宋_GB2312" w:cs="仿宋_GB2312"/>
          <w:sz w:val="32"/>
          <w:szCs w:val="32"/>
        </w:rPr>
        <w:t>的决策、过程、产出、效益等方面进行评价。</w:t>
      </w:r>
    </w:p>
    <w:p>
      <w:pPr>
        <w:pageBreakBefore w:val="0"/>
        <w:kinsoku/>
        <w:wordWrap/>
        <w:overflowPunct/>
        <w:topLinePunct w:val="0"/>
        <w:autoSpaceDE/>
        <w:autoSpaceDN/>
        <w:bidi w:val="0"/>
        <w:adjustRightInd/>
        <w:spacing w:line="560" w:lineRule="atLeast"/>
        <w:ind w:firstLine="641"/>
        <w:textAlignment w:val="auto"/>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pPr>
        <w:pStyle w:val="2"/>
        <w:pageBreakBefore w:val="0"/>
        <w:widowControl w:val="0"/>
        <w:kinsoku/>
        <w:wordWrap/>
        <w:overflowPunct/>
        <w:topLinePunct w:val="0"/>
        <w:autoSpaceDE/>
        <w:autoSpaceDN/>
        <w:bidi w:val="0"/>
        <w:adjustRightIn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1、绩效评价原则</w:t>
      </w:r>
    </w:p>
    <w:p>
      <w:pPr>
        <w:pageBreakBefore w:val="0"/>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Style w:val="2"/>
        <w:pageBreakBefore w:val="0"/>
        <w:kinsoku/>
        <w:wordWrap/>
        <w:overflowPunct/>
        <w:topLinePunct w:val="0"/>
        <w:autoSpaceDE/>
        <w:autoSpaceDN/>
        <w:bidi w:val="0"/>
        <w:adjustRightIn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pPr>
        <w:pStyle w:val="2"/>
        <w:pageBreakBefore w:val="0"/>
        <w:kinsoku/>
        <w:wordWrap/>
        <w:overflowPunct/>
        <w:topLinePunct w:val="0"/>
        <w:autoSpaceDE/>
        <w:autoSpaceDN/>
        <w:bidi w:val="0"/>
        <w:adjustRightIn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pPr>
        <w:pStyle w:val="2"/>
        <w:pageBreakBefore w:val="0"/>
        <w:widowControl w:val="0"/>
        <w:kinsoku/>
        <w:wordWrap/>
        <w:overflowPunct/>
        <w:topLinePunct w:val="0"/>
        <w:autoSpaceDE/>
        <w:autoSpaceDN/>
        <w:bidi w:val="0"/>
        <w:adjustRightIn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2、评价指标体系</w:t>
      </w:r>
    </w:p>
    <w:p>
      <w:pPr>
        <w:pageBreakBefore w:val="0"/>
        <w:kinsoku/>
        <w:wordWrap/>
        <w:overflowPunct/>
        <w:topLinePunct w:val="0"/>
        <w:autoSpaceDE/>
        <w:autoSpaceDN/>
        <w:bidi w:val="0"/>
        <w:adjustRightInd/>
        <w:spacing w:line="560" w:lineRule="atLeast"/>
        <w:ind w:firstLine="641"/>
        <w:textAlignment w:val="auto"/>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pageBreakBefore w:val="0"/>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pageBreakBefore w:val="0"/>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确定各个指标相对于项目总体绩效的权重分值。在绩效评价指标体系中，项目决策权重占</w:t>
      </w:r>
      <w:r>
        <w:rPr>
          <w:rFonts w:hint="eastAsia" w:ascii="仿宋_GB2312" w:hAnsi="仿宋_GB2312" w:eastAsia="仿宋_GB2312" w:cs="仿宋_GB2312"/>
          <w:color w:val="000000"/>
          <w:spacing w:val="17"/>
          <w:sz w:val="32"/>
          <w:szCs w:val="32"/>
          <w:lang w:val="en-US" w:eastAsia="zh-CN"/>
        </w:rPr>
        <w:t>5分</w:t>
      </w:r>
      <w:r>
        <w:rPr>
          <w:rFonts w:hint="eastAsia" w:ascii="仿宋_GB2312" w:hAnsi="仿宋_GB2312" w:eastAsia="仿宋_GB2312" w:cs="仿宋_GB2312"/>
          <w:color w:val="000000"/>
          <w:spacing w:val="17"/>
          <w:sz w:val="32"/>
          <w:szCs w:val="32"/>
        </w:rPr>
        <w:t>，项目过程权重占</w:t>
      </w:r>
      <w:r>
        <w:rPr>
          <w:rFonts w:hint="eastAsia" w:ascii="仿宋_GB2312" w:hAnsi="仿宋_GB2312" w:eastAsia="仿宋_GB2312" w:cs="仿宋_GB2312"/>
          <w:color w:val="000000"/>
          <w:spacing w:val="17"/>
          <w:sz w:val="32"/>
          <w:szCs w:val="32"/>
          <w:lang w:val="en-US" w:eastAsia="zh-CN"/>
        </w:rPr>
        <w:t>5分</w:t>
      </w:r>
      <w:r>
        <w:rPr>
          <w:rFonts w:hint="eastAsia" w:ascii="仿宋_GB2312" w:hAnsi="仿宋_GB2312" w:eastAsia="仿宋_GB2312" w:cs="仿宋_GB2312"/>
          <w:color w:val="000000"/>
          <w:spacing w:val="17"/>
          <w:sz w:val="32"/>
          <w:szCs w:val="32"/>
        </w:rPr>
        <w:t>，项目产出权重值占</w:t>
      </w:r>
      <w:r>
        <w:rPr>
          <w:rFonts w:hint="eastAsia" w:ascii="仿宋_GB2312" w:hAnsi="仿宋_GB2312" w:eastAsia="仿宋_GB2312" w:cs="仿宋_GB2312"/>
          <w:color w:val="000000"/>
          <w:spacing w:val="17"/>
          <w:sz w:val="32"/>
          <w:szCs w:val="32"/>
          <w:lang w:val="en-US" w:eastAsia="zh-CN"/>
        </w:rPr>
        <w:t>50分</w:t>
      </w:r>
      <w:r>
        <w:rPr>
          <w:rFonts w:hint="eastAsia" w:ascii="仿宋_GB2312" w:hAnsi="仿宋_GB2312" w:eastAsia="仿宋_GB2312" w:cs="仿宋_GB2312"/>
          <w:color w:val="000000"/>
          <w:spacing w:val="17"/>
          <w:sz w:val="32"/>
          <w:szCs w:val="32"/>
        </w:rPr>
        <w:t>，项目效益权重值占</w:t>
      </w:r>
      <w:r>
        <w:rPr>
          <w:rFonts w:hint="eastAsia" w:ascii="仿宋_GB2312" w:hAnsi="仿宋_GB2312" w:eastAsia="仿宋_GB2312" w:cs="仿宋_GB2312"/>
          <w:color w:val="000000"/>
          <w:spacing w:val="17"/>
          <w:sz w:val="32"/>
          <w:szCs w:val="32"/>
          <w:lang w:val="en-US" w:eastAsia="zh-CN"/>
        </w:rPr>
        <w:t>40分</w:t>
      </w:r>
      <w:r>
        <w:rPr>
          <w:rFonts w:hint="eastAsia" w:ascii="仿宋_GB2312" w:hAnsi="仿宋_GB2312" w:eastAsia="仿宋_GB2312" w:cs="仿宋_GB2312"/>
          <w:color w:val="000000"/>
          <w:spacing w:val="17"/>
          <w:sz w:val="32"/>
          <w:szCs w:val="32"/>
        </w:rPr>
        <w:t>。</w:t>
      </w:r>
    </w:p>
    <w:p>
      <w:pPr>
        <w:pageBreakBefore w:val="0"/>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pageBreakBefore w:val="0"/>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pacing w:before="0" w:after="0" w:line="560" w:lineRule="atLeast"/>
        <w:ind w:firstLine="708" w:firstLineChars="200"/>
        <w:jc w:val="both"/>
        <w:textAlignment w:val="auto"/>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pageBreakBefore w:val="0"/>
        <w:kinsoku/>
        <w:wordWrap/>
        <w:overflowPunct/>
        <w:topLinePunct w:val="0"/>
        <w:autoSpaceDE/>
        <w:autoSpaceDN/>
        <w:bidi w:val="0"/>
        <w:adjustRightInd/>
        <w:spacing w:before="0" w:after="0" w:line="560" w:lineRule="atLeast"/>
        <w:ind w:firstLine="708" w:firstLineChars="200"/>
        <w:jc w:val="both"/>
        <w:textAlignment w:val="auto"/>
        <w:rPr>
          <w:rFonts w:hint="eastAsia" w:ascii="仿宋_GB2312" w:hAnsi="仿宋_GB2312" w:eastAsia="仿宋_GB2312" w:cs="仿宋_GB2312"/>
          <w:b w:val="0"/>
          <w:bCs w:val="0"/>
          <w:color w:val="000000"/>
          <w:spacing w:val="17"/>
          <w:kern w:val="2"/>
          <w:lang w:eastAsia="zh-CN"/>
        </w:rPr>
      </w:pPr>
      <w:r>
        <w:rPr>
          <w:rFonts w:hint="eastAsia" w:ascii="仿宋_GB2312" w:hAnsi="仿宋_GB2312" w:eastAsia="仿宋_GB2312" w:cs="仿宋_GB2312"/>
          <w:b w:val="0"/>
          <w:bCs w:val="0"/>
          <w:color w:val="000000"/>
          <w:spacing w:val="17"/>
          <w:kern w:val="2"/>
        </w:rPr>
        <w:t>具体评价指标体系详情见附件1</w:t>
      </w:r>
      <w:r>
        <w:rPr>
          <w:rFonts w:hint="eastAsia" w:ascii="仿宋_GB2312" w:hAnsi="仿宋_GB2312" w:eastAsia="仿宋_GB2312" w:cs="仿宋_GB2312"/>
          <w:b w:val="0"/>
          <w:bCs w:val="0"/>
          <w:color w:val="000000"/>
          <w:spacing w:val="17"/>
          <w:kern w:val="2"/>
          <w:lang w:eastAsia="zh-CN"/>
        </w:rPr>
        <w:t>。</w:t>
      </w:r>
    </w:p>
    <w:p>
      <w:pPr>
        <w:pStyle w:val="2"/>
        <w:pageBreakBefore w:val="0"/>
        <w:widowControl w:val="0"/>
        <w:kinsoku/>
        <w:wordWrap/>
        <w:overflowPunct/>
        <w:topLinePunct w:val="0"/>
        <w:autoSpaceDE/>
        <w:autoSpaceDN/>
        <w:bidi w:val="0"/>
        <w:adjustRightIn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3、绩效评价方法</w:t>
      </w:r>
    </w:p>
    <w:p>
      <w:pPr>
        <w:pageBreakBefore w:val="0"/>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绩效评价从项目决策、项目过程、项目产出、项目效益四个维度进行评价。评价对象为项目目标实施情况，评价核心为资金的支出完成情况和项目的产出效益。</w:t>
      </w:r>
    </w:p>
    <w:p>
      <w:pPr>
        <w:pageBreakBefore w:val="0"/>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pageBreakBefore w:val="0"/>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pageBreakBefore w:val="0"/>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pageBreakBefore w:val="0"/>
        <w:kinsoku/>
        <w:wordWrap/>
        <w:overflowPunct/>
        <w:topLinePunct w:val="0"/>
        <w:autoSpaceDE/>
        <w:autoSpaceDN/>
        <w:bidi w:val="0"/>
        <w:adjustRightInd/>
        <w:spacing w:line="560" w:lineRule="atLeas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
        <w:pageBreakBefore w:val="0"/>
        <w:widowControl w:val="0"/>
        <w:kinsoku/>
        <w:wordWrap/>
        <w:overflowPunct/>
        <w:topLinePunct w:val="0"/>
        <w:autoSpaceDE/>
        <w:autoSpaceDN/>
        <w:bidi w:val="0"/>
        <w:adjustRightInd/>
        <w:spacing w:before="0" w:after="0" w:line="560" w:lineRule="atLeast"/>
        <w:ind w:firstLine="641"/>
        <w:jc w:val="both"/>
        <w:textAlignment w:val="auto"/>
        <w:outlineLvl w:val="9"/>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4</w:t>
      </w:r>
      <w:r>
        <w:rPr>
          <w:rFonts w:hint="eastAsia" w:ascii="仿宋_GB2312" w:hAnsi="仿宋_GB2312" w:eastAsia="仿宋_GB2312" w:cs="仿宋_GB2312"/>
          <w:b/>
          <w:bCs/>
        </w:rPr>
        <w:t>、绩效评价</w:t>
      </w:r>
      <w:r>
        <w:rPr>
          <w:rFonts w:hint="eastAsia" w:ascii="仿宋_GB2312" w:hAnsi="仿宋_GB2312" w:eastAsia="仿宋_GB2312" w:cs="仿宋_GB2312"/>
          <w:b/>
          <w:bCs/>
          <w:lang w:val="en-US" w:eastAsia="zh-CN"/>
        </w:rPr>
        <w:t>标准</w:t>
      </w:r>
    </w:p>
    <w:p>
      <w:pPr>
        <w:pageBreakBefore w:val="0"/>
        <w:kinsoku/>
        <w:wordWrap/>
        <w:overflowPunct/>
        <w:topLinePunct w:val="0"/>
        <w:autoSpaceDE/>
        <w:autoSpaceDN/>
        <w:bidi w:val="0"/>
        <w:adjustRightInd/>
        <w:spacing w:line="560" w:lineRule="atLeast"/>
        <w:ind w:firstLine="641"/>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rPr>
        <w:t>绩效评价标准通常包括计划标准、行业标准、历史标准等，用于对绩效指标完成情况进行比较。</w:t>
      </w:r>
      <w:r>
        <w:rPr>
          <w:rFonts w:hint="eastAsia" w:ascii="仿宋_GB2312" w:hAnsi="仿宋_GB2312" w:eastAsia="仿宋_GB2312" w:cs="仿宋_GB2312"/>
          <w:color w:val="000000"/>
          <w:spacing w:val="17"/>
          <w:sz w:val="32"/>
          <w:szCs w:val="32"/>
          <w:highlight w:val="none"/>
        </w:rPr>
        <w:t>本次评价主要采用了计划标准和行业标准。</w:t>
      </w:r>
    </w:p>
    <w:p>
      <w:pPr>
        <w:pageBreakBefore w:val="0"/>
        <w:kinsoku/>
        <w:wordWrap/>
        <w:overflowPunct/>
        <w:topLinePunct w:val="0"/>
        <w:autoSpaceDE/>
        <w:autoSpaceDN/>
        <w:bidi w:val="0"/>
        <w:adjustRightInd/>
        <w:snapToGrid/>
        <w:spacing w:line="560" w:lineRule="atLeast"/>
        <w:ind w:left="0" w:firstLine="711" w:firstLineChars="200"/>
        <w:textAlignment w:val="auto"/>
        <w:rPr>
          <w:rFonts w:hint="eastAsia" w:ascii="仿宋_GB2312" w:hAnsi="仿宋_GB2312" w:eastAsia="仿宋_GB2312" w:cs="仿宋_GB2312"/>
          <w:b w:val="0"/>
          <w:bCs w:val="0"/>
          <w:color w:val="000000"/>
          <w:spacing w:val="17"/>
          <w:kern w:val="2"/>
          <w:sz w:val="32"/>
          <w:szCs w:val="32"/>
          <w:highlight w:val="none"/>
          <w:lang w:val="en-US" w:eastAsia="zh-CN" w:bidi="ar-SA"/>
        </w:rPr>
      </w:pPr>
      <w:r>
        <w:rPr>
          <w:rFonts w:hint="eastAsia" w:ascii="仿宋_GB2312" w:hAnsi="仿宋_GB2312" w:eastAsia="仿宋_GB2312" w:cs="仿宋_GB2312"/>
          <w:b/>
          <w:bCs/>
          <w:color w:val="000000"/>
          <w:spacing w:val="17"/>
          <w:kern w:val="2"/>
          <w:sz w:val="32"/>
          <w:szCs w:val="32"/>
          <w:highlight w:val="none"/>
          <w:lang w:val="en-US" w:eastAsia="zh-CN" w:bidi="ar-SA"/>
        </w:rPr>
        <w:t>（三）绩效评价工作过程</w:t>
      </w:r>
      <w:r>
        <w:rPr>
          <w:rFonts w:hint="eastAsia" w:ascii="仿宋_GB2312" w:hAnsi="仿宋_GB2312" w:eastAsia="仿宋_GB2312" w:cs="仿宋_GB2312"/>
          <w:b w:val="0"/>
          <w:bCs w:val="0"/>
          <w:color w:val="000000"/>
          <w:spacing w:val="17"/>
          <w:kern w:val="2"/>
          <w:sz w:val="32"/>
          <w:szCs w:val="32"/>
          <w:highlight w:val="none"/>
          <w:lang w:val="en-US" w:eastAsia="zh-CN" w:bidi="ar-SA"/>
        </w:rPr>
        <w:t>。</w:t>
      </w:r>
    </w:p>
    <w:p>
      <w:pPr>
        <w:pageBreakBefore w:val="0"/>
        <w:kinsoku/>
        <w:wordWrap/>
        <w:overflowPunct/>
        <w:topLinePunct w:val="0"/>
        <w:autoSpaceDE/>
        <w:autoSpaceDN/>
        <w:bidi w:val="0"/>
        <w:adjustRightInd/>
        <w:spacing w:line="560" w:lineRule="atLeas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1、前期准备。首先成立评价工作组，开展前期调研；其次明确项目绩效目标，设计绩效评价指标体系并确定绩效评价方法；接着确定现场和非现场评价范围，设计资料清单；最后制定评价实施方案并进行论证。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pacing w:line="560" w:lineRule="atLeas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2、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pacing w:line="560" w:lineRule="atLeast"/>
        <w:ind w:firstLine="641"/>
        <w:textAlignment w:val="auto"/>
      </w:pPr>
      <w:r>
        <w:rPr>
          <w:rFonts w:hint="default" w:ascii="仿宋_GB2312" w:hAnsi="仿宋_GB2312" w:eastAsia="仿宋_GB2312" w:cs="仿宋_GB2312"/>
          <w:color w:val="000000"/>
          <w:spacing w:val="17"/>
          <w:sz w:val="32"/>
          <w:szCs w:val="32"/>
          <w:lang w:val="en-US" w:eastAsia="zh-CN"/>
        </w:rPr>
        <w:t>3、分析评价。根据收集梳理的资料围绕项目立项、资金落实、业务管理、财务管理、项目产出、项目效益等内容，对照已确定的绩效评价指标进行详细全面的分析评价，逐项打分并形成绩效评价最终结果。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4"/>
        </w:numPr>
        <w:kinsoku/>
        <w:wordWrap/>
        <w:overflowPunct/>
        <w:topLinePunct w:val="0"/>
        <w:autoSpaceDE/>
        <w:autoSpaceDN/>
        <w:bidi w:val="0"/>
        <w:adjustRightInd/>
        <w:spacing w:line="560" w:lineRule="atLeast"/>
        <w:ind w:firstLine="641"/>
        <w:textAlignment w:val="auto"/>
        <w:rPr>
          <w:rFonts w:ascii="黑体" w:hAnsi="黑体" w:eastAsia="黑体" w:cs="黑体"/>
          <w:sz w:val="32"/>
          <w:szCs w:val="32"/>
        </w:rPr>
      </w:pPr>
      <w:r>
        <w:rPr>
          <w:rFonts w:hint="eastAsia" w:ascii="黑体" w:hAnsi="黑体" w:eastAsia="黑体" w:cs="黑体"/>
          <w:sz w:val="32"/>
          <w:szCs w:val="32"/>
        </w:rPr>
        <w:t>综合评价情况及评价结论（附相关评分表）</w:t>
      </w:r>
    </w:p>
    <w:p>
      <w:pPr>
        <w:pStyle w:val="2"/>
        <w:pageBreakBefore w:val="0"/>
        <w:widowControl w:val="0"/>
        <w:kinsoku/>
        <w:wordWrap/>
        <w:overflowPunct/>
        <w:topLinePunct w:val="0"/>
        <w:autoSpaceDE/>
        <w:autoSpaceDN/>
        <w:bidi w:val="0"/>
        <w:adjustRightIn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对大型工程机械监管平台网络环境租赁费项目进行客观评价，最终评分结果：总得分为 98.2分，属于“优”。其中，项目决策类指标权重为5分，得分为 5分，得分率为 100%。项目过程类指标权重为5分，得分为5 分，得分率为 100%。项目产出类指标权重为50分，得分为48.2分，得分率为 96.4%。项目效益类指标权重为40分，得分为40分，得分率为100%。</w:t>
      </w:r>
    </w:p>
    <w:p>
      <w:pPr>
        <w:pStyle w:val="2"/>
        <w:pageBreakBefore w:val="0"/>
        <w:kinsoku/>
        <w:wordWrap/>
        <w:overflowPunct/>
        <w:topLinePunct w:val="0"/>
        <w:autoSpaceDE/>
        <w:autoSpaceDN/>
        <w:bidi w:val="0"/>
        <w:adjustRightInd/>
        <w:spacing w:before="0" w:after="0" w:line="560" w:lineRule="atLeast"/>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表1综合评分表</w:t>
      </w:r>
    </w:p>
    <w:tbl>
      <w:tblPr>
        <w:tblStyle w:val="9"/>
        <w:tblpPr w:leftFromText="180" w:rightFromText="180" w:vertAnchor="text" w:horzAnchor="page" w:tblpX="840" w:tblpY="-67"/>
        <w:tblOverlap w:val="never"/>
        <w:tblW w:w="9918"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0"/>
        <w:gridCol w:w="987"/>
        <w:gridCol w:w="1278"/>
        <w:gridCol w:w="1701"/>
        <w:gridCol w:w="724"/>
        <w:gridCol w:w="1041"/>
        <w:gridCol w:w="920"/>
        <w:gridCol w:w="1211"/>
        <w:gridCol w:w="95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2" w:hRule="atLeast"/>
          <w:tblHeader/>
        </w:trPr>
        <w:tc>
          <w:tcPr>
            <w:tcW w:w="1100" w:type="dxa"/>
            <w:shd w:val="clear" w:color="auto" w:fill="BFBFBF"/>
            <w:vAlign w:val="center"/>
          </w:tcPr>
          <w:p>
            <w:pPr>
              <w:pageBreakBefore w:val="0"/>
              <w:widowControl/>
              <w:kinsoku/>
              <w:wordWrap/>
              <w:overflowPunct/>
              <w:topLinePunct w:val="0"/>
              <w:autoSpaceDE/>
              <w:autoSpaceDN/>
              <w:bidi w:val="0"/>
              <w:adjustRightInd/>
              <w:spacing w:line="560" w:lineRule="atLeas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87" w:type="dxa"/>
            <w:shd w:val="clear" w:color="auto" w:fill="BFBFB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78" w:type="dxa"/>
            <w:shd w:val="clear" w:color="auto" w:fill="BFBFB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1" w:type="dxa"/>
            <w:shd w:val="clear" w:color="auto" w:fill="BFBFB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4" w:type="dxa"/>
            <w:shd w:val="clear" w:color="auto" w:fill="BFBFB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1"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1"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56"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100"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决策　</w:t>
            </w:r>
          </w:p>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tc>
        <w:tc>
          <w:tcPr>
            <w:tcW w:w="987"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5分</w:t>
            </w:r>
          </w:p>
        </w:tc>
        <w:tc>
          <w:tcPr>
            <w:tcW w:w="1278"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1701"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立项依据</w:t>
            </w:r>
          </w:p>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724"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041"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920"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211"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56"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100"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987"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278"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701"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立项程序</w:t>
            </w:r>
          </w:p>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724"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041"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920"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211"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56"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100"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987"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278"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1701"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绩效目标</w:t>
            </w:r>
          </w:p>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1"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1"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56"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100"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987"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278"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701"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绩效指标</w:t>
            </w:r>
          </w:p>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72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1"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1"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56"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100"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987"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278"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资金投入</w:t>
            </w:r>
          </w:p>
        </w:tc>
        <w:tc>
          <w:tcPr>
            <w:tcW w:w="1701"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预算编制</w:t>
            </w:r>
          </w:p>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724"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1"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0"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1"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56"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100"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987"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278"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701"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资金分配</w:t>
            </w:r>
          </w:p>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4"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1"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0"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1"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56"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100" w:type="dxa"/>
            <w:vMerge w:val="restart"/>
            <w:shd w:val="clear" w:color="auto" w:fill="FFFFFF"/>
            <w:vAlign w:val="center"/>
          </w:tcPr>
          <w:p>
            <w:pPr>
              <w:pageBreakBefore w:val="0"/>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过程</w:t>
            </w:r>
          </w:p>
          <w:p>
            <w:pPr>
              <w:pageBreakBefore w:val="0"/>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tc>
        <w:tc>
          <w:tcPr>
            <w:tcW w:w="987"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5分</w:t>
            </w:r>
          </w:p>
        </w:tc>
        <w:tc>
          <w:tcPr>
            <w:tcW w:w="1278"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1"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72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1"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1"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56"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100"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987"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278"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701"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724"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1"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0"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1"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56"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100"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987"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278"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1"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资金使用</w:t>
            </w:r>
          </w:p>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72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1"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1"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56"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100"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987"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278"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组织实施</w:t>
            </w:r>
          </w:p>
        </w:tc>
        <w:tc>
          <w:tcPr>
            <w:tcW w:w="1701"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管理制度</w:t>
            </w:r>
          </w:p>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72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1"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1"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56"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100"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987"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278"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701"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制度执行</w:t>
            </w:r>
          </w:p>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72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1"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1"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56"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100"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w:t>
            </w:r>
          </w:p>
        </w:tc>
        <w:tc>
          <w:tcPr>
            <w:tcW w:w="987"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50分</w:t>
            </w:r>
          </w:p>
        </w:tc>
        <w:tc>
          <w:tcPr>
            <w:tcW w:w="1278"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1701"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72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1041"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92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14.7</w:t>
            </w:r>
          </w:p>
        </w:tc>
        <w:tc>
          <w:tcPr>
            <w:tcW w:w="1211"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98%</w:t>
            </w:r>
          </w:p>
        </w:tc>
        <w:tc>
          <w:tcPr>
            <w:tcW w:w="956"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14.7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100"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987"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278"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1701"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72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041"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92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211"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56"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100"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987"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278" w:type="dxa"/>
            <w:shd w:val="clear" w:color="auto" w:fill="FFFFFF"/>
            <w:vAlign w:val="center"/>
          </w:tcPr>
          <w:p>
            <w:pPr>
              <w:pageBreakBefore w:val="0"/>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1701"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72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1041"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92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13.5</w:t>
            </w:r>
          </w:p>
        </w:tc>
        <w:tc>
          <w:tcPr>
            <w:tcW w:w="1211"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90%</w:t>
            </w:r>
          </w:p>
        </w:tc>
        <w:tc>
          <w:tcPr>
            <w:tcW w:w="956"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100"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987"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278"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1701"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72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041"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92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211"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56"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100"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效益　</w:t>
            </w:r>
          </w:p>
        </w:tc>
        <w:tc>
          <w:tcPr>
            <w:tcW w:w="987"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40分</w:t>
            </w:r>
          </w:p>
        </w:tc>
        <w:tc>
          <w:tcPr>
            <w:tcW w:w="1278"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1701"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实施效益</w:t>
            </w:r>
          </w:p>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（社会效益、经济效益、可持续效益）</w:t>
            </w:r>
          </w:p>
        </w:tc>
        <w:tc>
          <w:tcPr>
            <w:tcW w:w="724"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30</w:t>
            </w:r>
          </w:p>
        </w:tc>
        <w:tc>
          <w:tcPr>
            <w:tcW w:w="1041"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30</w:t>
            </w:r>
          </w:p>
        </w:tc>
        <w:tc>
          <w:tcPr>
            <w:tcW w:w="920"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30</w:t>
            </w:r>
          </w:p>
        </w:tc>
        <w:tc>
          <w:tcPr>
            <w:tcW w:w="1211"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56"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rPr>
        <w:tc>
          <w:tcPr>
            <w:tcW w:w="1100"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987"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278"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701"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72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041"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92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211"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56"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r>
    </w:tbl>
    <w:p>
      <w:pPr>
        <w:pageBreakBefore w:val="0"/>
        <w:kinsoku/>
        <w:wordWrap/>
        <w:overflowPunct/>
        <w:topLinePunct w:val="0"/>
        <w:autoSpaceDE/>
        <w:autoSpaceDN/>
        <w:bidi w:val="0"/>
        <w:adjustRightInd/>
        <w:spacing w:line="560" w:lineRule="atLeast"/>
        <w:ind w:firstLine="320" w:firstLineChars="100"/>
        <w:textAlignment w:val="auto"/>
        <w:rPr>
          <w:rFonts w:ascii="黑体" w:hAnsi="黑体" w:eastAsia="黑体"/>
          <w:sz w:val="32"/>
          <w:szCs w:val="32"/>
        </w:rPr>
      </w:pPr>
    </w:p>
    <w:p>
      <w:pPr>
        <w:pageBreakBefore w:val="0"/>
        <w:kinsoku/>
        <w:wordWrap/>
        <w:overflowPunct/>
        <w:topLinePunct w:val="0"/>
        <w:autoSpaceDE/>
        <w:autoSpaceDN/>
        <w:bidi w:val="0"/>
        <w:adjustRightInd/>
        <w:spacing w:line="560" w:lineRule="atLeast"/>
        <w:ind w:firstLine="320" w:firstLineChars="100"/>
        <w:textAlignment w:val="auto"/>
        <w:rPr>
          <w:rFonts w:ascii="黑体" w:hAnsi="黑体" w:eastAsia="黑体"/>
          <w:sz w:val="32"/>
          <w:szCs w:val="32"/>
        </w:rPr>
      </w:pPr>
      <w:r>
        <w:rPr>
          <w:rFonts w:hint="eastAsia" w:ascii="黑体" w:hAnsi="黑体" w:eastAsia="黑体"/>
          <w:sz w:val="32"/>
          <w:szCs w:val="32"/>
        </w:rPr>
        <w:t>四、绩效评价指标分析</w:t>
      </w:r>
    </w:p>
    <w:p>
      <w:pPr>
        <w:pStyle w:val="2"/>
        <w:pageBreakBefore w:val="0"/>
        <w:kinsoku/>
        <w:wordWrap/>
        <w:overflowPunct/>
        <w:topLinePunct w:val="0"/>
        <w:autoSpaceDE/>
        <w:autoSpaceDN/>
        <w:bidi w:val="0"/>
        <w:adjustRightInd/>
        <w:spacing w:before="0" w:after="0" w:line="560" w:lineRule="atLeast"/>
        <w:ind w:firstLine="321" w:firstLineChars="100"/>
        <w:jc w:val="both"/>
        <w:textAlignment w:val="auto"/>
        <w:rPr>
          <w:rFonts w:ascii="楷体_GB2312" w:hAnsi="楷体_GB2312" w:eastAsia="楷体_GB2312" w:cs="楷体_GB2312"/>
        </w:rPr>
      </w:pPr>
      <w:r>
        <w:rPr>
          <w:rFonts w:hint="eastAsia" w:ascii="楷体_GB2312" w:hAnsi="楷体_GB2312" w:eastAsia="楷体_GB2312" w:cs="楷体_GB2312"/>
        </w:rPr>
        <w:t>（一）项目决策情况</w:t>
      </w:r>
    </w:p>
    <w:p>
      <w:pPr>
        <w:pageBreakBefore w:val="0"/>
        <w:kinsoku/>
        <w:wordWrap/>
        <w:overflowPunct/>
        <w:topLinePunct w:val="0"/>
        <w:autoSpaceDE/>
        <w:autoSpaceDN/>
        <w:bidi w:val="0"/>
        <w:adjustRightInd/>
        <w:spacing w:line="560" w:lineRule="atLeast"/>
        <w:ind w:firstLine="640" w:firstLineChars="200"/>
        <w:textAlignment w:val="auto"/>
        <w:rPr>
          <w:rFonts w:ascii="仿宋_GB2312" w:eastAsia="仿宋_GB2312"/>
          <w:sz w:val="32"/>
          <w:szCs w:val="32"/>
        </w:rPr>
      </w:pPr>
      <w:r>
        <w:rPr>
          <w:rFonts w:hint="eastAsia" w:ascii="仿宋_GB2312" w:eastAsia="仿宋_GB2312"/>
          <w:sz w:val="32"/>
          <w:szCs w:val="32"/>
        </w:rPr>
        <w:t>项目立项与我单位部门职责范围相符，属于部门履职所需；项目属于公共财政支持范围，符合中央、地方事权支出责任划分原则，项目按照规定的程序申请设立；项目所设定的绩效目标依据充分，与实际工作内容密切相关；项目预期产出效益和效果符合正常的业绩水平且与预算确定的项目资金量相匹配；依据绩效目标设定的绩效指标清晰、细化、可衡量，与项目目标计划数相对应；项目预算编制内容与项目内容相匹配，预算额度测算依据充分，按照标准编制，预算确定的项目资金量与工作任务相匹配；预算资金分配依据充分，分配额度合理，与项目单位相适应。</w:t>
      </w:r>
    </w:p>
    <w:p>
      <w:pPr>
        <w:pageBreakBefore w:val="0"/>
        <w:kinsoku/>
        <w:wordWrap/>
        <w:overflowPunct/>
        <w:topLinePunct w:val="0"/>
        <w:autoSpaceDE/>
        <w:autoSpaceDN/>
        <w:bidi w:val="0"/>
        <w:adjustRightInd/>
        <w:spacing w:line="560" w:lineRule="atLeast"/>
        <w:ind w:firstLine="640" w:firstLineChars="200"/>
        <w:textAlignment w:val="auto"/>
        <w:rPr>
          <w:rFonts w:ascii="仿宋_GB2312" w:eastAsia="仿宋_GB2312"/>
          <w:sz w:val="32"/>
          <w:szCs w:val="32"/>
        </w:rPr>
      </w:pPr>
      <w:r>
        <w:rPr>
          <w:rFonts w:hint="eastAsia" w:ascii="仿宋_GB2312" w:eastAsia="仿宋_GB2312"/>
          <w:sz w:val="32"/>
          <w:szCs w:val="32"/>
        </w:rPr>
        <w:t>决策项目分值:5分，我单位经过自评得分：5分。</w:t>
      </w:r>
    </w:p>
    <w:p>
      <w:pPr>
        <w:pStyle w:val="2"/>
        <w:pageBreakBefore w:val="0"/>
        <w:numPr>
          <w:ilvl w:val="0"/>
          <w:numId w:val="5"/>
        </w:numPr>
        <w:kinsoku/>
        <w:wordWrap/>
        <w:overflowPunct/>
        <w:topLinePunct w:val="0"/>
        <w:autoSpaceDE/>
        <w:autoSpaceDN/>
        <w:bidi w:val="0"/>
        <w:adjustRightInd/>
        <w:spacing w:before="0" w:after="0" w:line="560" w:lineRule="atLeast"/>
        <w:ind w:firstLine="321" w:firstLineChars="100"/>
        <w:jc w:val="both"/>
        <w:textAlignment w:val="auto"/>
      </w:pPr>
      <w:r>
        <w:rPr>
          <w:rFonts w:hint="eastAsia" w:ascii="楷体_GB2312" w:hAnsi="楷体_GB2312" w:eastAsia="楷体_GB2312" w:cs="楷体_GB2312"/>
        </w:rPr>
        <w:t>项目过程情况</w:t>
      </w:r>
    </w:p>
    <w:p>
      <w:pPr>
        <w:pageBreakBefore w:val="0"/>
        <w:kinsoku/>
        <w:wordWrap/>
        <w:overflowPunct/>
        <w:topLinePunct w:val="0"/>
        <w:autoSpaceDE/>
        <w:autoSpaceDN/>
        <w:bidi w:val="0"/>
        <w:adjustRightInd/>
        <w:spacing w:line="560" w:lineRule="atLeast"/>
        <w:ind w:firstLine="640" w:firstLineChars="200"/>
        <w:textAlignment w:val="auto"/>
        <w:rPr>
          <w:rFonts w:ascii="仿宋_GB2312" w:eastAsia="仿宋_GB2312"/>
          <w:sz w:val="32"/>
          <w:szCs w:val="32"/>
          <w:lang w:bidi="zh-TW"/>
        </w:rPr>
      </w:pPr>
      <w:r>
        <w:rPr>
          <w:rFonts w:hint="eastAsia" w:ascii="仿宋_GB2312" w:eastAsia="仿宋_GB2312"/>
          <w:sz w:val="32"/>
          <w:szCs w:val="32"/>
        </w:rPr>
        <w:t>1</w:t>
      </w:r>
      <w:r>
        <w:rPr>
          <w:rFonts w:hint="eastAsia" w:ascii="仿宋_GB2312" w:eastAsia="仿宋_GB2312"/>
          <w:sz w:val="32"/>
          <w:szCs w:val="32"/>
          <w:lang w:bidi="zh-TW"/>
        </w:rPr>
        <w:t>、资金管理情况</w:t>
      </w:r>
    </w:p>
    <w:p>
      <w:pPr>
        <w:pageBreakBefore w:val="0"/>
        <w:kinsoku/>
        <w:wordWrap/>
        <w:overflowPunct/>
        <w:topLinePunct w:val="0"/>
        <w:autoSpaceDE/>
        <w:autoSpaceDN/>
        <w:bidi w:val="0"/>
        <w:adjustRightInd/>
        <w:spacing w:line="560" w:lineRule="atLeast"/>
        <w:ind w:firstLine="640" w:firstLineChars="200"/>
        <w:textAlignment w:val="auto"/>
        <w:rPr>
          <w:rFonts w:ascii="仿宋_GB2312" w:eastAsia="仿宋_GB2312"/>
          <w:sz w:val="32"/>
          <w:szCs w:val="32"/>
          <w:lang w:bidi="zh-TW"/>
        </w:rPr>
      </w:pPr>
      <w:r>
        <w:rPr>
          <w:rFonts w:hint="eastAsia" w:ascii="仿宋_GB2312" w:eastAsia="仿宋_GB2312"/>
          <w:sz w:val="32"/>
          <w:szCs w:val="32"/>
          <w:lang w:bidi="zh-TW"/>
        </w:rPr>
        <w:t>（</w:t>
      </w:r>
      <w:r>
        <w:rPr>
          <w:rFonts w:hint="eastAsia" w:ascii="仿宋_GB2312" w:eastAsia="仿宋_GB2312"/>
          <w:sz w:val="32"/>
          <w:szCs w:val="32"/>
        </w:rPr>
        <w:t>1</w:t>
      </w:r>
      <w:r>
        <w:rPr>
          <w:rFonts w:hint="eastAsia" w:ascii="仿宋_GB2312" w:eastAsia="仿宋_GB2312"/>
          <w:sz w:val="32"/>
          <w:szCs w:val="32"/>
          <w:lang w:bidi="zh-TW"/>
        </w:rPr>
        <w:t>）资金到位率：</w:t>
      </w:r>
    </w:p>
    <w:p>
      <w:pPr>
        <w:pageBreakBefore w:val="0"/>
        <w:kinsoku/>
        <w:wordWrap/>
        <w:overflowPunct/>
        <w:topLinePunct w:val="0"/>
        <w:autoSpaceDE/>
        <w:autoSpaceDN/>
        <w:bidi w:val="0"/>
        <w:adjustRightInd/>
        <w:spacing w:line="560" w:lineRule="atLeast"/>
        <w:ind w:firstLine="640" w:firstLineChars="200"/>
        <w:textAlignment w:val="auto"/>
        <w:rPr>
          <w:rFonts w:ascii="仿宋_GB2312" w:eastAsia="仿宋_GB2312"/>
          <w:sz w:val="32"/>
          <w:szCs w:val="32"/>
          <w:lang w:bidi="zh-TW"/>
        </w:rPr>
      </w:pPr>
      <w:r>
        <w:rPr>
          <w:rFonts w:hint="eastAsia" w:ascii="仿宋_GB2312" w:eastAsia="仿宋_GB2312"/>
          <w:sz w:val="32"/>
          <w:szCs w:val="32"/>
        </w:rPr>
        <w:t>财政下达文件，拨付资金，</w:t>
      </w:r>
      <w:r>
        <w:rPr>
          <w:rFonts w:hint="eastAsia" w:ascii="仿宋_GB2312" w:eastAsia="仿宋_GB2312"/>
          <w:sz w:val="32"/>
          <w:szCs w:val="32"/>
          <w:lang w:bidi="zh-TW"/>
        </w:rPr>
        <w:t>资金到位率=</w:t>
      </w:r>
      <w:r>
        <w:rPr>
          <w:rFonts w:hint="eastAsia" w:ascii="仿宋_GB2312" w:eastAsia="仿宋_GB2312"/>
          <w:sz w:val="32"/>
          <w:szCs w:val="32"/>
        </w:rPr>
        <w:t>100%</w:t>
      </w:r>
    </w:p>
    <w:p>
      <w:pPr>
        <w:pageBreakBefore w:val="0"/>
        <w:kinsoku/>
        <w:wordWrap/>
        <w:overflowPunct/>
        <w:topLinePunct w:val="0"/>
        <w:autoSpaceDE/>
        <w:autoSpaceDN/>
        <w:bidi w:val="0"/>
        <w:adjustRightInd/>
        <w:spacing w:line="560" w:lineRule="atLeast"/>
        <w:ind w:firstLine="640" w:firstLineChars="200"/>
        <w:textAlignment w:val="auto"/>
        <w:rPr>
          <w:rFonts w:ascii="仿宋_GB2312" w:eastAsia="仿宋_GB2312"/>
          <w:sz w:val="32"/>
          <w:szCs w:val="32"/>
          <w:lang w:bidi="zh-TW"/>
        </w:rPr>
      </w:pPr>
      <w:r>
        <w:rPr>
          <w:rFonts w:hint="eastAsia" w:ascii="仿宋_GB2312" w:eastAsia="仿宋_GB2312"/>
          <w:sz w:val="32"/>
          <w:szCs w:val="32"/>
          <w:lang w:bidi="zh-TW"/>
        </w:rPr>
        <w:t>实际到位资金：</w:t>
      </w:r>
      <w:r>
        <w:rPr>
          <w:rFonts w:hint="eastAsia" w:ascii="仿宋_GB2312" w:eastAsia="仿宋_GB2312"/>
          <w:sz w:val="32"/>
          <w:szCs w:val="32"/>
        </w:rPr>
        <w:t>30.6万元</w:t>
      </w:r>
      <w:r>
        <w:rPr>
          <w:rFonts w:hint="eastAsia" w:ascii="仿宋_GB2312" w:eastAsia="仿宋_GB2312"/>
          <w:sz w:val="32"/>
          <w:szCs w:val="32"/>
          <w:lang w:bidi="zh-TW"/>
        </w:rPr>
        <w:t>，预算资金：</w:t>
      </w:r>
      <w:r>
        <w:rPr>
          <w:rFonts w:hint="eastAsia" w:ascii="仿宋_GB2312" w:eastAsia="仿宋_GB2312"/>
          <w:sz w:val="32"/>
          <w:szCs w:val="32"/>
        </w:rPr>
        <w:t>30.6万元</w:t>
      </w:r>
      <w:r>
        <w:rPr>
          <w:rFonts w:hint="eastAsia" w:ascii="仿宋_GB2312" w:eastAsia="仿宋_GB2312"/>
          <w:sz w:val="32"/>
          <w:szCs w:val="32"/>
          <w:lang w:bidi="zh-TW"/>
        </w:rPr>
        <w:t>。</w:t>
      </w:r>
    </w:p>
    <w:p>
      <w:pPr>
        <w:pageBreakBefore w:val="0"/>
        <w:kinsoku/>
        <w:wordWrap/>
        <w:overflowPunct/>
        <w:topLinePunct w:val="0"/>
        <w:autoSpaceDE/>
        <w:autoSpaceDN/>
        <w:bidi w:val="0"/>
        <w:adjustRightInd/>
        <w:spacing w:line="560" w:lineRule="atLeast"/>
        <w:ind w:firstLine="640" w:firstLineChars="200"/>
        <w:textAlignment w:val="auto"/>
        <w:rPr>
          <w:rFonts w:ascii="仿宋_GB2312" w:eastAsia="仿宋_GB2312"/>
          <w:sz w:val="32"/>
          <w:szCs w:val="32"/>
        </w:rPr>
      </w:pPr>
      <w:r>
        <w:rPr>
          <w:rFonts w:hint="eastAsia" w:ascii="仿宋_GB2312" w:eastAsia="仿宋_GB2312"/>
          <w:sz w:val="32"/>
          <w:szCs w:val="32"/>
        </w:rPr>
        <w:t>（2）预算执行率：</w:t>
      </w:r>
    </w:p>
    <w:p>
      <w:pPr>
        <w:pageBreakBefore w:val="0"/>
        <w:kinsoku/>
        <w:wordWrap/>
        <w:overflowPunct/>
        <w:topLinePunct w:val="0"/>
        <w:autoSpaceDE/>
        <w:autoSpaceDN/>
        <w:bidi w:val="0"/>
        <w:adjustRightInd/>
        <w:spacing w:line="560" w:lineRule="atLeast"/>
        <w:ind w:firstLine="640" w:firstLineChars="200"/>
        <w:textAlignment w:val="auto"/>
        <w:rPr>
          <w:rFonts w:ascii="仿宋_GB2312" w:eastAsia="仿宋_GB2312"/>
          <w:sz w:val="32"/>
          <w:szCs w:val="32"/>
        </w:rPr>
      </w:pPr>
      <w:r>
        <w:rPr>
          <w:rFonts w:hint="eastAsia" w:ascii="仿宋_GB2312" w:eastAsia="仿宋_GB2312"/>
          <w:sz w:val="32"/>
          <w:szCs w:val="32"/>
        </w:rPr>
        <w:t>我单位规范项目资金管理，按照规定支付项目资金，实际到位资金：30.6万元，实际支出资金：30.6万元</w:t>
      </w:r>
      <w:r>
        <w:rPr>
          <w:rFonts w:hint="eastAsia" w:ascii="仿宋_GB2312" w:eastAsia="仿宋_GB2312"/>
          <w:sz w:val="32"/>
          <w:szCs w:val="32"/>
          <w:lang w:eastAsia="zh-CN"/>
        </w:rPr>
        <w:t>，</w:t>
      </w:r>
      <w:r>
        <w:rPr>
          <w:rFonts w:hint="eastAsia" w:ascii="仿宋_GB2312" w:eastAsia="仿宋_GB2312"/>
          <w:sz w:val="32"/>
          <w:szCs w:val="32"/>
          <w:lang w:bidi="zh-TW"/>
        </w:rPr>
        <w:t>资金执行率=</w:t>
      </w:r>
      <w:r>
        <w:rPr>
          <w:rFonts w:hint="eastAsia" w:ascii="仿宋_GB2312" w:eastAsia="仿宋_GB2312"/>
          <w:sz w:val="32"/>
          <w:szCs w:val="32"/>
        </w:rPr>
        <w:t>100%。</w:t>
      </w:r>
    </w:p>
    <w:p>
      <w:pPr>
        <w:pageBreakBefore w:val="0"/>
        <w:kinsoku/>
        <w:wordWrap/>
        <w:overflowPunct/>
        <w:topLinePunct w:val="0"/>
        <w:autoSpaceDE/>
        <w:autoSpaceDN/>
        <w:bidi w:val="0"/>
        <w:adjustRightInd/>
        <w:spacing w:line="560" w:lineRule="atLeast"/>
        <w:ind w:firstLine="640" w:firstLineChars="200"/>
        <w:textAlignment w:val="auto"/>
        <w:rPr>
          <w:rFonts w:ascii="仿宋_GB2312" w:eastAsia="仿宋_GB2312"/>
          <w:sz w:val="32"/>
          <w:szCs w:val="32"/>
        </w:rPr>
      </w:pPr>
      <w:r>
        <w:rPr>
          <w:rFonts w:hint="eastAsia" w:ascii="仿宋_GB2312" w:eastAsia="仿宋_GB2312"/>
          <w:sz w:val="32"/>
          <w:szCs w:val="32"/>
        </w:rPr>
        <w:t>（3）资金使用合规性：</w:t>
      </w:r>
    </w:p>
    <w:p>
      <w:pPr>
        <w:pageBreakBefore w:val="0"/>
        <w:kinsoku/>
        <w:wordWrap/>
        <w:overflowPunct/>
        <w:topLinePunct w:val="0"/>
        <w:autoSpaceDE/>
        <w:autoSpaceDN/>
        <w:bidi w:val="0"/>
        <w:adjustRightInd/>
        <w:spacing w:line="560" w:lineRule="atLeast"/>
        <w:ind w:firstLine="640" w:firstLineChars="200"/>
        <w:textAlignment w:val="auto"/>
        <w:rPr>
          <w:rFonts w:ascii="仿宋_GB2312" w:eastAsia="仿宋_GB2312"/>
          <w:sz w:val="32"/>
          <w:szCs w:val="32"/>
        </w:rPr>
      </w:pPr>
      <w:r>
        <w:rPr>
          <w:rFonts w:hint="eastAsia" w:ascii="仿宋_GB2312" w:eastAsia="仿宋_GB2312"/>
          <w:sz w:val="32"/>
          <w:szCs w:val="32"/>
        </w:rPr>
        <w:t>符合国家财经法规和财务管理制度以及有关专项资金管理办法的规定；资金的拨付有完整的审批程序和手续；符合项目预算批复或合同规定的用途；我单位不存在截留、挤占、挪用、虚列支出等情况。</w:t>
      </w:r>
    </w:p>
    <w:p>
      <w:pPr>
        <w:pageBreakBefore w:val="0"/>
        <w:numPr>
          <w:ilvl w:val="0"/>
          <w:numId w:val="6"/>
        </w:numPr>
        <w:kinsoku/>
        <w:wordWrap/>
        <w:overflowPunct/>
        <w:topLinePunct w:val="0"/>
        <w:autoSpaceDE/>
        <w:autoSpaceDN/>
        <w:bidi w:val="0"/>
        <w:adjustRightInd/>
        <w:spacing w:line="560" w:lineRule="atLeast"/>
        <w:ind w:left="210" w:leftChars="100" w:firstLine="640" w:firstLineChars="200"/>
        <w:textAlignment w:val="auto"/>
        <w:rPr>
          <w:rFonts w:ascii="仿宋_GB2312" w:eastAsia="仿宋_GB2312"/>
          <w:sz w:val="32"/>
          <w:szCs w:val="32"/>
        </w:rPr>
      </w:pPr>
      <w:r>
        <w:rPr>
          <w:rFonts w:hint="eastAsia" w:ascii="仿宋_GB2312" w:eastAsia="仿宋_GB2312"/>
          <w:sz w:val="32"/>
          <w:szCs w:val="32"/>
        </w:rPr>
        <w:t>组织实施情况：己制定相应的财务和业务管理制度；财务和业务管理制度合法、合规、完整。符合相关法律法规和相关管理规定；项目调整及支出调整手续完备；</w:t>
      </w:r>
    </w:p>
    <w:p>
      <w:pPr>
        <w:pStyle w:val="7"/>
        <w:pageBreakBefore w:val="0"/>
        <w:shd w:val="clear" w:color="auto" w:fill="FFFFFF"/>
        <w:kinsoku/>
        <w:wordWrap/>
        <w:overflowPunct/>
        <w:topLinePunct w:val="0"/>
        <w:autoSpaceDE/>
        <w:autoSpaceDN/>
        <w:bidi w:val="0"/>
        <w:adjustRightInd/>
        <w:spacing w:before="0" w:beforeAutospacing="0" w:after="0" w:afterAutospacing="0" w:line="560" w:lineRule="atLeast"/>
        <w:ind w:right="210" w:rightChars="100" w:firstLine="800" w:firstLineChars="250"/>
        <w:jc w:val="both"/>
        <w:textAlignment w:val="auto"/>
        <w:rPr>
          <w:rFonts w:ascii="仿宋_GB2312" w:hAnsi="Calibri" w:eastAsia="仿宋_GB2312" w:cs="Times New Roman"/>
          <w:kern w:val="2"/>
          <w:sz w:val="32"/>
          <w:szCs w:val="32"/>
        </w:rPr>
      </w:pPr>
      <w:r>
        <w:rPr>
          <w:rFonts w:hint="eastAsia" w:ascii="仿宋_GB2312" w:hAnsi="Calibri" w:eastAsia="仿宋_GB2312" w:cs="Times New Roman"/>
          <w:kern w:val="2"/>
          <w:sz w:val="32"/>
          <w:szCs w:val="32"/>
        </w:rPr>
        <w:t>项目过程分值:5分，我单位经过自评得分：5分</w:t>
      </w:r>
    </w:p>
    <w:p>
      <w:pPr>
        <w:pStyle w:val="8"/>
        <w:pageBreakBefore w:val="0"/>
        <w:numPr>
          <w:ilvl w:val="0"/>
          <w:numId w:val="5"/>
        </w:numPr>
        <w:kinsoku/>
        <w:wordWrap/>
        <w:overflowPunct/>
        <w:topLinePunct w:val="0"/>
        <w:autoSpaceDE/>
        <w:autoSpaceDN/>
        <w:bidi w:val="0"/>
        <w:adjustRightInd/>
        <w:spacing w:after="0" w:line="560" w:lineRule="atLeast"/>
        <w:ind w:firstLine="321" w:firstLineChars="1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项目产出</w:t>
      </w:r>
    </w:p>
    <w:p>
      <w:pPr>
        <w:pageBreakBefore w:val="0"/>
        <w:kinsoku/>
        <w:wordWrap/>
        <w:overflowPunct/>
        <w:topLinePunct w:val="0"/>
        <w:autoSpaceDE/>
        <w:autoSpaceDN/>
        <w:bidi w:val="0"/>
        <w:adjustRightInd/>
        <w:spacing w:line="560" w:lineRule="atLeast"/>
        <w:ind w:right="210" w:rightChars="100" w:firstLine="627" w:firstLineChars="200"/>
        <w:textAlignment w:val="auto"/>
        <w:rPr>
          <w:rFonts w:ascii="仿宋_GB2312" w:eastAsia="仿宋_GB2312"/>
          <w:sz w:val="32"/>
          <w:szCs w:val="32"/>
        </w:rPr>
      </w:pPr>
      <w:r>
        <w:rPr>
          <w:rStyle w:val="11"/>
          <w:rFonts w:hint="eastAsia" w:ascii="仿宋_GB2312" w:hAnsi="仿宋" w:eastAsia="仿宋_GB2312" w:cs="仿宋"/>
          <w:bCs w:val="0"/>
          <w:spacing w:val="-4"/>
          <w:sz w:val="32"/>
          <w:szCs w:val="32"/>
        </w:rPr>
        <w:t>（</w:t>
      </w:r>
      <w:r>
        <w:rPr>
          <w:rFonts w:hint="eastAsia" w:ascii="仿宋_GB2312" w:eastAsia="仿宋_GB2312"/>
          <w:sz w:val="32"/>
          <w:szCs w:val="32"/>
        </w:rPr>
        <w:t>1）数量指标方面：</w:t>
      </w:r>
    </w:p>
    <w:p>
      <w:pPr>
        <w:pageBreakBefore w:val="0"/>
        <w:kinsoku/>
        <w:wordWrap/>
        <w:overflowPunct/>
        <w:topLinePunct w:val="0"/>
        <w:autoSpaceDE/>
        <w:autoSpaceDN/>
        <w:bidi w:val="0"/>
        <w:adjustRightInd/>
        <w:spacing w:line="560" w:lineRule="atLeast"/>
        <w:ind w:left="210" w:leftChars="100" w:right="210" w:rightChars="100" w:firstLine="640" w:firstLineChars="200"/>
        <w:textAlignment w:val="auto"/>
        <w:rPr>
          <w:rFonts w:ascii="仿宋_GB2312" w:eastAsia="仿宋_GB2312"/>
          <w:sz w:val="32"/>
          <w:szCs w:val="32"/>
        </w:rPr>
      </w:pPr>
      <w:r>
        <w:rPr>
          <w:rFonts w:hint="eastAsia" w:ascii="仿宋_GB2312" w:eastAsia="仿宋_GB2312"/>
          <w:sz w:val="32"/>
          <w:szCs w:val="32"/>
        </w:rPr>
        <w:t>计划产出数：注册登记大型工程机械≥3500台;办理大型机械操作证件≥1700人;</w:t>
      </w:r>
    </w:p>
    <w:p>
      <w:pPr>
        <w:pageBreakBefore w:val="0"/>
        <w:kinsoku/>
        <w:wordWrap/>
        <w:overflowPunct/>
        <w:topLinePunct w:val="0"/>
        <w:autoSpaceDE/>
        <w:autoSpaceDN/>
        <w:bidi w:val="0"/>
        <w:adjustRightInd/>
        <w:spacing w:line="560" w:lineRule="atLeast"/>
        <w:ind w:left="210" w:leftChars="100" w:right="210" w:rightChars="100" w:firstLine="640" w:firstLineChars="200"/>
        <w:textAlignment w:val="auto"/>
        <w:rPr>
          <w:rFonts w:ascii="仿宋_GB2312" w:eastAsia="仿宋_GB2312"/>
          <w:sz w:val="32"/>
          <w:szCs w:val="32"/>
        </w:rPr>
      </w:pPr>
      <w:r>
        <w:rPr>
          <w:rFonts w:hint="eastAsia" w:ascii="仿宋_GB2312" w:eastAsia="仿宋_GB2312"/>
          <w:sz w:val="32"/>
          <w:szCs w:val="32"/>
        </w:rPr>
        <w:t>实际产出数：注册登记大型工程机械4100台;办理大型机械操作证件3500人;</w:t>
      </w:r>
    </w:p>
    <w:p>
      <w:pPr>
        <w:pageBreakBefore w:val="0"/>
        <w:kinsoku/>
        <w:wordWrap/>
        <w:overflowPunct/>
        <w:topLinePunct w:val="0"/>
        <w:autoSpaceDE/>
        <w:autoSpaceDN/>
        <w:bidi w:val="0"/>
        <w:adjustRightInd/>
        <w:spacing w:line="560" w:lineRule="atLeast"/>
        <w:ind w:left="210" w:leftChars="100" w:right="210" w:rightChars="100" w:firstLine="640" w:firstLineChars="200"/>
        <w:textAlignment w:val="auto"/>
        <w:rPr>
          <w:rFonts w:ascii="仿宋_GB2312" w:eastAsia="仿宋_GB2312"/>
          <w:sz w:val="32"/>
          <w:szCs w:val="32"/>
        </w:rPr>
      </w:pPr>
      <w:r>
        <w:rPr>
          <w:rFonts w:hint="eastAsia" w:ascii="仿宋_GB2312" w:eastAsia="仿宋_GB2312"/>
          <w:sz w:val="32"/>
          <w:szCs w:val="32"/>
        </w:rPr>
        <w:t>实际完成率100%。</w:t>
      </w:r>
    </w:p>
    <w:p>
      <w:pPr>
        <w:pageBreakBefore w:val="0"/>
        <w:kinsoku/>
        <w:wordWrap/>
        <w:overflowPunct/>
        <w:topLinePunct w:val="0"/>
        <w:autoSpaceDE/>
        <w:autoSpaceDN/>
        <w:bidi w:val="0"/>
        <w:adjustRightInd/>
        <w:spacing w:line="560" w:lineRule="atLeast"/>
        <w:ind w:firstLine="640"/>
        <w:textAlignment w:val="auto"/>
        <w:rPr>
          <w:rFonts w:ascii="仿宋_GB2312" w:eastAsia="仿宋_GB2312"/>
          <w:sz w:val="32"/>
          <w:szCs w:val="32"/>
        </w:rPr>
      </w:pPr>
      <w:r>
        <w:rPr>
          <w:rFonts w:hint="eastAsia" w:ascii="仿宋_GB2312" w:eastAsia="仿宋_GB2312"/>
          <w:sz w:val="32"/>
          <w:szCs w:val="32"/>
        </w:rPr>
        <w:t>（2）质量指标方面：</w:t>
      </w:r>
    </w:p>
    <w:p>
      <w:pPr>
        <w:pageBreakBefore w:val="0"/>
        <w:kinsoku/>
        <w:wordWrap/>
        <w:overflowPunct/>
        <w:topLinePunct w:val="0"/>
        <w:autoSpaceDE/>
        <w:autoSpaceDN/>
        <w:bidi w:val="0"/>
        <w:adjustRightInd/>
        <w:snapToGrid w:val="0"/>
        <w:spacing w:line="560" w:lineRule="atLeast"/>
        <w:ind w:left="210" w:leftChars="100" w:right="210" w:rightChars="100"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质量达标</w:t>
      </w:r>
      <w:r>
        <w:rPr>
          <w:rFonts w:hint="eastAsia" w:ascii="仿宋_GB2312" w:eastAsia="仿宋_GB2312"/>
          <w:sz w:val="32"/>
          <w:szCs w:val="32"/>
          <w:lang w:val="en-US" w:eastAsia="zh-CN"/>
        </w:rPr>
        <w:t>计划</w:t>
      </w:r>
      <w:r>
        <w:rPr>
          <w:rFonts w:hint="eastAsia" w:ascii="仿宋_GB2312" w:eastAsia="仿宋_GB2312"/>
          <w:sz w:val="32"/>
          <w:szCs w:val="32"/>
        </w:rPr>
        <w:t>数：注册登记覆盖率</w:t>
      </w:r>
      <w:r>
        <w:rPr>
          <w:rFonts w:hint="eastAsia" w:ascii="仿宋_GB2312" w:eastAsia="仿宋_GB2312"/>
          <w:sz w:val="32"/>
          <w:szCs w:val="32"/>
          <w:lang w:val="en-US" w:eastAsia="zh-CN"/>
        </w:rPr>
        <w:t>≥</w:t>
      </w:r>
      <w:r>
        <w:rPr>
          <w:rFonts w:hint="eastAsia" w:ascii="仿宋_GB2312" w:eastAsia="仿宋_GB2312"/>
          <w:sz w:val="32"/>
          <w:szCs w:val="32"/>
        </w:rPr>
        <w:t>95%</w:t>
      </w:r>
      <w:r>
        <w:rPr>
          <w:rFonts w:hint="eastAsia" w:ascii="仿宋_GB2312" w:eastAsia="仿宋_GB2312"/>
          <w:sz w:val="32"/>
          <w:szCs w:val="32"/>
          <w:lang w:eastAsia="zh-CN"/>
        </w:rPr>
        <w:t>；</w:t>
      </w:r>
    </w:p>
    <w:p>
      <w:pPr>
        <w:pageBreakBefore w:val="0"/>
        <w:kinsoku/>
        <w:wordWrap/>
        <w:overflowPunct/>
        <w:topLinePunct w:val="0"/>
        <w:autoSpaceDE/>
        <w:autoSpaceDN/>
        <w:bidi w:val="0"/>
        <w:adjustRightInd/>
        <w:spacing w:line="560" w:lineRule="atLeast"/>
        <w:ind w:left="210" w:leftChars="100" w:right="210" w:rightChars="100" w:firstLine="640" w:firstLineChars="200"/>
        <w:textAlignment w:val="auto"/>
        <w:rPr>
          <w:rFonts w:hint="eastAsia" w:ascii="仿宋_GB2312" w:eastAsia="仿宋_GB2312"/>
          <w:sz w:val="32"/>
          <w:szCs w:val="32"/>
        </w:rPr>
      </w:pPr>
      <w:r>
        <w:rPr>
          <w:rFonts w:hint="eastAsia" w:ascii="仿宋_GB2312" w:eastAsia="仿宋_GB2312"/>
          <w:sz w:val="32"/>
          <w:szCs w:val="32"/>
        </w:rPr>
        <w:t>质量达标产出数：注册登记覆盖率95%。</w:t>
      </w:r>
    </w:p>
    <w:p>
      <w:pPr>
        <w:pageBreakBefore w:val="0"/>
        <w:kinsoku/>
        <w:wordWrap/>
        <w:overflowPunct/>
        <w:topLinePunct w:val="0"/>
        <w:autoSpaceDE/>
        <w:autoSpaceDN/>
        <w:bidi w:val="0"/>
        <w:adjustRightInd/>
        <w:spacing w:line="560" w:lineRule="atLeast"/>
        <w:ind w:left="210" w:leftChars="100" w:right="210" w:rightChars="100" w:firstLine="640" w:firstLineChars="200"/>
        <w:textAlignment w:val="auto"/>
        <w:rPr>
          <w:rFonts w:ascii="仿宋_GB2312" w:eastAsia="仿宋_GB2312"/>
          <w:sz w:val="32"/>
          <w:szCs w:val="32"/>
        </w:rPr>
      </w:pPr>
      <w:r>
        <w:rPr>
          <w:rFonts w:hint="eastAsia" w:ascii="仿宋_GB2312" w:eastAsia="仿宋_GB2312"/>
          <w:sz w:val="32"/>
          <w:szCs w:val="32"/>
        </w:rPr>
        <w:t>质量达标率=100%。</w:t>
      </w:r>
    </w:p>
    <w:p>
      <w:pPr>
        <w:pStyle w:val="2"/>
        <w:pageBreakBefore w:val="0"/>
        <w:kinsoku/>
        <w:wordWrap/>
        <w:overflowPunct/>
        <w:topLinePunct w:val="0"/>
        <w:autoSpaceDE/>
        <w:autoSpaceDN/>
        <w:bidi w:val="0"/>
        <w:adjustRightInd/>
        <w:snapToGrid w:val="0"/>
        <w:spacing w:before="0" w:after="0" w:line="560" w:lineRule="atLeast"/>
        <w:ind w:firstLine="640" w:firstLineChars="200"/>
        <w:jc w:val="both"/>
        <w:textAlignment w:val="auto"/>
        <w:rPr>
          <w:rFonts w:ascii="仿宋_GB2312" w:hAnsi="Calibri" w:eastAsia="仿宋_GB2312"/>
          <w:b w:val="0"/>
          <w:kern w:val="2"/>
        </w:rPr>
      </w:pPr>
      <w:r>
        <w:rPr>
          <w:rFonts w:hint="eastAsia" w:ascii="仿宋_GB2312" w:hAnsi="Calibri" w:eastAsia="仿宋_GB2312"/>
          <w:b w:val="0"/>
          <w:kern w:val="2"/>
        </w:rPr>
        <w:t>（3）成本指标方面：</w:t>
      </w:r>
    </w:p>
    <w:p>
      <w:pPr>
        <w:pageBreakBefore w:val="0"/>
        <w:kinsoku/>
        <w:wordWrap/>
        <w:overflowPunct/>
        <w:topLinePunct w:val="0"/>
        <w:autoSpaceDE/>
        <w:autoSpaceDN/>
        <w:bidi w:val="0"/>
        <w:adjustRightInd/>
        <w:snapToGrid w:val="0"/>
        <w:spacing w:line="560" w:lineRule="atLeast"/>
        <w:ind w:left="922" w:leftChars="439"/>
        <w:textAlignment w:val="auto"/>
        <w:rPr>
          <w:rFonts w:hint="eastAsia" w:ascii="仿宋_GB2312" w:eastAsia="仿宋_GB2312"/>
          <w:sz w:val="32"/>
          <w:szCs w:val="32"/>
        </w:rPr>
      </w:pPr>
      <w:r>
        <w:rPr>
          <w:rFonts w:hint="eastAsia" w:ascii="仿宋_GB2312" w:eastAsia="仿宋_GB2312"/>
          <w:sz w:val="32"/>
          <w:szCs w:val="32"/>
        </w:rPr>
        <w:t>计划成本：本年度推进成本30.6万元。</w:t>
      </w:r>
    </w:p>
    <w:p>
      <w:pPr>
        <w:pageBreakBefore w:val="0"/>
        <w:kinsoku/>
        <w:wordWrap/>
        <w:overflowPunct/>
        <w:topLinePunct w:val="0"/>
        <w:autoSpaceDE/>
        <w:autoSpaceDN/>
        <w:bidi w:val="0"/>
        <w:adjustRightInd/>
        <w:snapToGrid w:val="0"/>
        <w:spacing w:line="560" w:lineRule="atLeast"/>
        <w:ind w:left="922" w:leftChars="439"/>
        <w:textAlignment w:val="auto"/>
        <w:rPr>
          <w:rFonts w:hint="eastAsia" w:ascii="仿宋_GB2312" w:eastAsia="仿宋_GB2312"/>
          <w:sz w:val="32"/>
          <w:szCs w:val="32"/>
        </w:rPr>
      </w:pPr>
      <w:r>
        <w:rPr>
          <w:rFonts w:hint="eastAsia" w:ascii="仿宋_GB2312" w:eastAsia="仿宋_GB2312"/>
          <w:sz w:val="32"/>
          <w:szCs w:val="32"/>
        </w:rPr>
        <w:t>实际成本：完成既定工作目标实际支出30.6万元。</w:t>
      </w:r>
    </w:p>
    <w:p>
      <w:pPr>
        <w:pageBreakBefore w:val="0"/>
        <w:kinsoku/>
        <w:wordWrap/>
        <w:overflowPunct/>
        <w:topLinePunct w:val="0"/>
        <w:autoSpaceDE/>
        <w:autoSpaceDN/>
        <w:bidi w:val="0"/>
        <w:adjustRightInd/>
        <w:spacing w:line="560" w:lineRule="atLeast"/>
        <w:ind w:left="210" w:leftChars="100" w:right="210" w:rightChars="100" w:firstLine="640" w:firstLineChars="200"/>
        <w:textAlignment w:val="auto"/>
        <w:rPr>
          <w:rFonts w:ascii="仿宋_GB2312" w:eastAsia="仿宋_GB2312"/>
          <w:sz w:val="32"/>
          <w:szCs w:val="32"/>
        </w:rPr>
      </w:pPr>
      <w:r>
        <w:rPr>
          <w:rFonts w:hint="eastAsia" w:ascii="仿宋_GB2312" w:eastAsia="仿宋_GB2312"/>
          <w:sz w:val="32"/>
          <w:szCs w:val="32"/>
        </w:rPr>
        <w:t>实际完成率100%。</w:t>
      </w:r>
    </w:p>
    <w:p>
      <w:pPr>
        <w:pageBreakBefore w:val="0"/>
        <w:kinsoku/>
        <w:wordWrap/>
        <w:overflowPunct/>
        <w:topLinePunct w:val="0"/>
        <w:autoSpaceDE/>
        <w:autoSpaceDN/>
        <w:bidi w:val="0"/>
        <w:adjustRightInd/>
        <w:snapToGrid w:val="0"/>
        <w:spacing w:line="560" w:lineRule="atLeast"/>
        <w:ind w:firstLine="640" w:firstLineChars="200"/>
        <w:textAlignment w:val="auto"/>
        <w:rPr>
          <w:rFonts w:ascii="仿宋_GB2312" w:eastAsia="仿宋_GB2312"/>
          <w:sz w:val="32"/>
          <w:szCs w:val="32"/>
        </w:rPr>
      </w:pPr>
      <w:r>
        <w:rPr>
          <w:rFonts w:hint="eastAsia" w:ascii="仿宋_GB2312" w:eastAsia="仿宋_GB2312"/>
          <w:sz w:val="32"/>
          <w:szCs w:val="32"/>
        </w:rPr>
        <w:t>（4）时效指标方面：</w:t>
      </w:r>
    </w:p>
    <w:p>
      <w:pPr>
        <w:pageBreakBefore w:val="0"/>
        <w:kinsoku/>
        <w:wordWrap/>
        <w:overflowPunct/>
        <w:topLinePunct w:val="0"/>
        <w:autoSpaceDE/>
        <w:autoSpaceDN/>
        <w:bidi w:val="0"/>
        <w:adjustRightInd/>
        <w:snapToGrid w:val="0"/>
        <w:spacing w:line="560" w:lineRule="atLeast"/>
        <w:ind w:firstLine="960" w:firstLineChars="300"/>
        <w:textAlignment w:val="auto"/>
        <w:rPr>
          <w:rFonts w:hint="eastAsia" w:ascii="仿宋_GB2312" w:eastAsia="仿宋_GB2312"/>
          <w:sz w:val="32"/>
          <w:szCs w:val="32"/>
          <w:lang w:eastAsia="zh-CN"/>
        </w:rPr>
      </w:pPr>
      <w:r>
        <w:rPr>
          <w:rFonts w:hint="eastAsia" w:ascii="仿宋_GB2312" w:eastAsia="仿宋_GB2312"/>
          <w:sz w:val="32"/>
          <w:szCs w:val="32"/>
          <w:lang w:val="en-US" w:eastAsia="zh-CN"/>
        </w:rPr>
        <w:t>时效计划：</w:t>
      </w:r>
      <w:r>
        <w:rPr>
          <w:rFonts w:hint="eastAsia" w:ascii="仿宋_GB2312" w:eastAsia="仿宋_GB2312"/>
          <w:sz w:val="32"/>
          <w:szCs w:val="32"/>
        </w:rPr>
        <w:t>完成实时监控率</w:t>
      </w:r>
      <w:r>
        <w:rPr>
          <w:rFonts w:hint="eastAsia" w:ascii="仿宋_GB2312" w:eastAsia="仿宋_GB2312"/>
          <w:sz w:val="32"/>
          <w:szCs w:val="32"/>
          <w:lang w:val="en-US" w:eastAsia="zh-CN"/>
        </w:rPr>
        <w:t>=10</w:t>
      </w:r>
      <w:r>
        <w:rPr>
          <w:rFonts w:hint="eastAsia" w:ascii="仿宋_GB2312" w:eastAsia="仿宋_GB2312"/>
          <w:sz w:val="32"/>
          <w:szCs w:val="32"/>
        </w:rPr>
        <w:t>0%</w:t>
      </w:r>
      <w:r>
        <w:rPr>
          <w:rFonts w:hint="eastAsia" w:ascii="仿宋_GB2312" w:eastAsia="仿宋_GB2312"/>
          <w:sz w:val="32"/>
          <w:szCs w:val="32"/>
          <w:lang w:eastAsia="zh-CN"/>
        </w:rPr>
        <w:t>，</w:t>
      </w:r>
      <w:r>
        <w:rPr>
          <w:rFonts w:hint="eastAsia" w:ascii="仿宋_GB2312" w:eastAsia="仿宋_GB2312"/>
          <w:sz w:val="32"/>
          <w:szCs w:val="32"/>
        </w:rPr>
        <w:t>登记证、操作证件完成及时率</w:t>
      </w:r>
      <w:r>
        <w:rPr>
          <w:rFonts w:hint="eastAsia" w:ascii="仿宋_GB2312" w:eastAsia="仿宋_GB2312"/>
          <w:sz w:val="32"/>
          <w:szCs w:val="32"/>
          <w:lang w:val="en-US" w:eastAsia="zh-CN"/>
        </w:rPr>
        <w:t>=</w:t>
      </w:r>
      <w:r>
        <w:rPr>
          <w:rFonts w:hint="eastAsia" w:ascii="仿宋_GB2312" w:eastAsia="仿宋_GB2312"/>
          <w:sz w:val="32"/>
          <w:szCs w:val="32"/>
        </w:rPr>
        <w:t>100%。</w:t>
      </w:r>
    </w:p>
    <w:p>
      <w:pPr>
        <w:pageBreakBefore w:val="0"/>
        <w:kinsoku/>
        <w:wordWrap/>
        <w:overflowPunct/>
        <w:topLinePunct w:val="0"/>
        <w:autoSpaceDE/>
        <w:autoSpaceDN/>
        <w:bidi w:val="0"/>
        <w:adjustRightInd/>
        <w:snapToGrid w:val="0"/>
        <w:spacing w:line="560" w:lineRule="atLeast"/>
        <w:ind w:firstLine="960" w:firstLineChars="300"/>
        <w:textAlignment w:val="auto"/>
        <w:rPr>
          <w:rFonts w:hint="eastAsia" w:ascii="仿宋_GB2312" w:eastAsia="仿宋_GB2312"/>
          <w:sz w:val="32"/>
          <w:szCs w:val="32"/>
          <w:lang w:val="en-US" w:eastAsia="zh-CN"/>
        </w:rPr>
      </w:pPr>
    </w:p>
    <w:p>
      <w:pPr>
        <w:pageBreakBefore w:val="0"/>
        <w:kinsoku/>
        <w:wordWrap/>
        <w:overflowPunct/>
        <w:topLinePunct w:val="0"/>
        <w:autoSpaceDE/>
        <w:autoSpaceDN/>
        <w:bidi w:val="0"/>
        <w:adjustRightInd/>
        <w:snapToGrid w:val="0"/>
        <w:spacing w:line="560" w:lineRule="atLeast"/>
        <w:ind w:firstLine="960" w:firstLineChars="300"/>
        <w:textAlignment w:val="auto"/>
        <w:rPr>
          <w:rFonts w:hint="eastAsia" w:ascii="仿宋_GB2312" w:eastAsia="仿宋_GB2312"/>
          <w:sz w:val="32"/>
          <w:szCs w:val="32"/>
        </w:rPr>
      </w:pPr>
      <w:r>
        <w:rPr>
          <w:rFonts w:hint="eastAsia" w:ascii="仿宋_GB2312" w:eastAsia="仿宋_GB2312"/>
          <w:sz w:val="32"/>
          <w:szCs w:val="32"/>
          <w:lang w:val="en-US" w:eastAsia="zh-CN"/>
        </w:rPr>
        <w:t>时效完成：</w:t>
      </w:r>
      <w:r>
        <w:rPr>
          <w:rFonts w:hint="eastAsia" w:ascii="仿宋_GB2312" w:eastAsia="仿宋_GB2312"/>
          <w:sz w:val="32"/>
          <w:szCs w:val="32"/>
        </w:rPr>
        <w:t>完成实时监控率80%;登记证、操作证件完成及时率100%。</w:t>
      </w:r>
    </w:p>
    <w:p>
      <w:pPr>
        <w:pageBreakBefore w:val="0"/>
        <w:kinsoku/>
        <w:wordWrap/>
        <w:overflowPunct/>
        <w:topLinePunct w:val="0"/>
        <w:autoSpaceDE/>
        <w:autoSpaceDN/>
        <w:bidi w:val="0"/>
        <w:adjustRightInd/>
        <w:spacing w:line="560" w:lineRule="atLeast"/>
        <w:ind w:left="210" w:leftChars="100" w:right="210" w:rightChars="100" w:firstLine="640" w:firstLineChars="200"/>
        <w:textAlignment w:val="auto"/>
      </w:pPr>
      <w:r>
        <w:rPr>
          <w:rFonts w:hint="eastAsia" w:ascii="仿宋_GB2312" w:eastAsia="仿宋_GB2312"/>
          <w:sz w:val="32"/>
          <w:szCs w:val="32"/>
        </w:rPr>
        <w:t>实际完成率</w:t>
      </w:r>
      <w:r>
        <w:rPr>
          <w:rFonts w:hint="eastAsia" w:ascii="仿宋_GB2312" w:eastAsia="仿宋_GB2312"/>
          <w:sz w:val="32"/>
          <w:szCs w:val="32"/>
          <w:lang w:val="en-US" w:eastAsia="zh-CN"/>
        </w:rPr>
        <w:t>80</w:t>
      </w:r>
      <w:r>
        <w:rPr>
          <w:rFonts w:hint="eastAsia" w:ascii="仿宋_GB2312" w:eastAsia="仿宋_GB2312"/>
          <w:sz w:val="32"/>
          <w:szCs w:val="32"/>
        </w:rPr>
        <w:t>%。</w:t>
      </w:r>
    </w:p>
    <w:p>
      <w:pPr>
        <w:pageBreakBefore w:val="0"/>
        <w:kinsoku/>
        <w:wordWrap/>
        <w:overflowPunct/>
        <w:topLinePunct w:val="0"/>
        <w:autoSpaceDE/>
        <w:autoSpaceDN/>
        <w:bidi w:val="0"/>
        <w:adjustRightInd/>
        <w:snapToGrid w:val="0"/>
        <w:spacing w:line="560" w:lineRule="atLeast"/>
        <w:ind w:firstLine="960" w:firstLineChars="300"/>
        <w:textAlignment w:val="auto"/>
        <w:rPr>
          <w:rFonts w:ascii="仿宋_GB2312" w:eastAsia="仿宋_GB2312"/>
          <w:sz w:val="32"/>
          <w:szCs w:val="32"/>
        </w:rPr>
      </w:pPr>
      <w:r>
        <w:rPr>
          <w:rFonts w:hint="eastAsia" w:ascii="仿宋_GB2312" w:eastAsia="仿宋_GB2312"/>
          <w:sz w:val="32"/>
          <w:szCs w:val="32"/>
        </w:rPr>
        <w:t>项目产出分值:50分，我单位经过自评得分：</w:t>
      </w:r>
      <w:r>
        <w:rPr>
          <w:rFonts w:hint="eastAsia" w:ascii="仿宋_GB2312" w:eastAsia="仿宋_GB2312"/>
          <w:sz w:val="32"/>
          <w:szCs w:val="32"/>
          <w:lang w:val="en-US" w:eastAsia="zh-CN"/>
        </w:rPr>
        <w:t>48.01</w:t>
      </w:r>
      <w:r>
        <w:rPr>
          <w:rFonts w:hint="eastAsia" w:ascii="仿宋_GB2312" w:eastAsia="仿宋_GB2312"/>
          <w:sz w:val="32"/>
          <w:szCs w:val="32"/>
        </w:rPr>
        <w:t>分。</w:t>
      </w:r>
    </w:p>
    <w:p>
      <w:pPr>
        <w:pStyle w:val="8"/>
        <w:pageBreakBefore w:val="0"/>
        <w:numPr>
          <w:ilvl w:val="0"/>
          <w:numId w:val="5"/>
        </w:numPr>
        <w:kinsoku/>
        <w:wordWrap/>
        <w:overflowPunct/>
        <w:topLinePunct w:val="0"/>
        <w:autoSpaceDE/>
        <w:autoSpaceDN/>
        <w:bidi w:val="0"/>
        <w:adjustRightInd/>
        <w:snapToGrid w:val="0"/>
        <w:spacing w:after="0" w:line="560" w:lineRule="atLeast"/>
        <w:ind w:firstLine="321" w:firstLineChars="1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效益情况</w:t>
      </w:r>
    </w:p>
    <w:p>
      <w:pPr>
        <w:pageBreakBefore w:val="0"/>
        <w:kinsoku/>
        <w:wordWrap/>
        <w:overflowPunct/>
        <w:topLinePunct w:val="0"/>
        <w:autoSpaceDE/>
        <w:autoSpaceDN/>
        <w:bidi w:val="0"/>
        <w:adjustRightInd/>
        <w:snapToGrid w:val="0"/>
        <w:spacing w:line="560" w:lineRule="atLeast"/>
        <w:ind w:firstLine="641"/>
        <w:textAlignment w:val="auto"/>
        <w:rPr>
          <w:rStyle w:val="26"/>
        </w:rPr>
      </w:pPr>
      <w:r>
        <w:rPr>
          <w:rStyle w:val="26"/>
          <w:rFonts w:hint="eastAsia"/>
        </w:rPr>
        <w:t>经济效益指标方面：无</w:t>
      </w:r>
    </w:p>
    <w:p>
      <w:pPr>
        <w:pageBreakBefore w:val="0"/>
        <w:kinsoku/>
        <w:wordWrap/>
        <w:overflowPunct/>
        <w:topLinePunct w:val="0"/>
        <w:autoSpaceDE/>
        <w:autoSpaceDN/>
        <w:bidi w:val="0"/>
        <w:adjustRightInd/>
        <w:snapToGrid w:val="0"/>
        <w:spacing w:line="560" w:lineRule="atLeast"/>
        <w:ind w:firstLine="641"/>
        <w:textAlignment w:val="auto"/>
        <w:rPr>
          <w:rFonts w:ascii="仿宋_GB2312" w:hAnsi="仿宋_GB2312" w:eastAsia="仿宋_GB2312" w:cs="仿宋_GB2312"/>
          <w:color w:val="000000"/>
          <w:sz w:val="32"/>
          <w:szCs w:val="32"/>
        </w:rPr>
      </w:pPr>
      <w:r>
        <w:rPr>
          <w:rStyle w:val="26"/>
          <w:rFonts w:hint="eastAsia"/>
        </w:rPr>
        <w:t>社会效益指标方面：</w:t>
      </w:r>
      <w:r>
        <w:rPr>
          <w:rFonts w:hint="eastAsia" w:ascii="仿宋_GB2312" w:hAnsi="仿宋_GB2312" w:eastAsia="仿宋_GB2312" w:cs="仿宋_GB2312"/>
          <w:color w:val="000000"/>
          <w:sz w:val="32"/>
          <w:szCs w:val="32"/>
        </w:rPr>
        <w:t>大型工程机械冲撞事件0起。</w:t>
      </w:r>
    </w:p>
    <w:p>
      <w:pPr>
        <w:pageBreakBefore w:val="0"/>
        <w:kinsoku/>
        <w:wordWrap/>
        <w:overflowPunct/>
        <w:topLinePunct w:val="0"/>
        <w:autoSpaceDE/>
        <w:autoSpaceDN/>
        <w:bidi w:val="0"/>
        <w:adjustRightInd/>
        <w:snapToGrid w:val="0"/>
        <w:spacing w:line="560" w:lineRule="atLeast"/>
        <w:ind w:firstLine="641"/>
        <w:textAlignment w:val="auto"/>
        <w:rPr>
          <w:rStyle w:val="26"/>
        </w:rPr>
      </w:pPr>
      <w:r>
        <w:rPr>
          <w:rFonts w:hint="eastAsia" w:ascii="仿宋_GB2312" w:hAnsi="仿宋_GB2312" w:eastAsia="仿宋_GB2312" w:cs="仿宋_GB2312"/>
          <w:color w:val="000000"/>
          <w:sz w:val="32"/>
          <w:szCs w:val="32"/>
        </w:rPr>
        <w:t>严密防范大型工程机械冲撞事故发生，切实保障人民群众生命财产安全。</w:t>
      </w:r>
    </w:p>
    <w:p>
      <w:pPr>
        <w:pageBreakBefore w:val="0"/>
        <w:kinsoku/>
        <w:wordWrap/>
        <w:overflowPunct/>
        <w:topLinePunct w:val="0"/>
        <w:autoSpaceDE/>
        <w:autoSpaceDN/>
        <w:bidi w:val="0"/>
        <w:adjustRightInd/>
        <w:snapToGrid w:val="0"/>
        <w:spacing w:line="560" w:lineRule="atLeast"/>
        <w:ind w:firstLine="641"/>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生态效益指标方面:监控大型机械设备对生态破坏100%。</w:t>
      </w:r>
    </w:p>
    <w:p>
      <w:pPr>
        <w:pageBreakBefore w:val="0"/>
        <w:kinsoku/>
        <w:wordWrap/>
        <w:overflowPunct/>
        <w:topLinePunct w:val="0"/>
        <w:autoSpaceDE/>
        <w:autoSpaceDN/>
        <w:bidi w:val="0"/>
        <w:adjustRightInd/>
        <w:snapToGrid w:val="0"/>
        <w:spacing w:line="560" w:lineRule="atLeast"/>
        <w:ind w:firstLine="641"/>
        <w:textAlignment w:val="auto"/>
        <w:rPr>
          <w:rStyle w:val="26"/>
        </w:rPr>
      </w:pPr>
      <w:r>
        <w:rPr>
          <w:rFonts w:hint="eastAsia" w:ascii="仿宋_GB2312" w:hAnsi="仿宋_GB2312" w:eastAsia="仿宋_GB2312" w:cs="仿宋_GB2312"/>
          <w:color w:val="000000"/>
          <w:sz w:val="32"/>
          <w:szCs w:val="32"/>
        </w:rPr>
        <w:t>加强大型农业机械作业管理，严防机械事故对生态环境的破坏。</w:t>
      </w:r>
    </w:p>
    <w:p>
      <w:pPr>
        <w:pageBreakBefore w:val="0"/>
        <w:kinsoku/>
        <w:wordWrap/>
        <w:overflowPunct/>
        <w:topLinePunct w:val="0"/>
        <w:autoSpaceDE/>
        <w:autoSpaceDN/>
        <w:bidi w:val="0"/>
        <w:adjustRightInd/>
        <w:snapToGrid w:val="0"/>
        <w:spacing w:line="560" w:lineRule="atLeast"/>
        <w:ind w:firstLine="641"/>
        <w:textAlignment w:val="auto"/>
        <w:rPr>
          <w:rFonts w:ascii="仿宋_GB2312" w:hAnsi="仿宋_GB2312" w:eastAsia="仿宋_GB2312" w:cs="仿宋_GB2312"/>
          <w:color w:val="000000"/>
          <w:sz w:val="32"/>
          <w:szCs w:val="32"/>
        </w:rPr>
      </w:pPr>
      <w:r>
        <w:rPr>
          <w:rStyle w:val="26"/>
        </w:rPr>
        <w:t>可持续影响指标</w:t>
      </w:r>
      <w:r>
        <w:rPr>
          <w:rStyle w:val="26"/>
          <w:rFonts w:hint="eastAsia"/>
        </w:rPr>
        <w:t>方面：</w:t>
      </w:r>
      <w:r>
        <w:rPr>
          <w:rFonts w:hint="eastAsia" w:ascii="仿宋_GB2312" w:hAnsi="仿宋_GB2312" w:eastAsia="仿宋_GB2312" w:cs="仿宋_GB2312"/>
          <w:color w:val="000000"/>
          <w:sz w:val="32"/>
          <w:szCs w:val="32"/>
        </w:rPr>
        <w:t>大型机械设备监控率逐年增加。</w:t>
      </w:r>
    </w:p>
    <w:p>
      <w:pPr>
        <w:pageBreakBefore w:val="0"/>
        <w:kinsoku/>
        <w:wordWrap/>
        <w:overflowPunct/>
        <w:topLinePunct w:val="0"/>
        <w:autoSpaceDE/>
        <w:autoSpaceDN/>
        <w:bidi w:val="0"/>
        <w:adjustRightInd/>
        <w:snapToGrid w:val="0"/>
        <w:spacing w:line="560" w:lineRule="atLeast"/>
        <w:ind w:firstLine="641"/>
        <w:textAlignment w:val="auto"/>
        <w:rPr>
          <w:rStyle w:val="26"/>
        </w:rPr>
      </w:pPr>
      <w:r>
        <w:rPr>
          <w:rFonts w:hint="eastAsia" w:ascii="仿宋_GB2312" w:hAnsi="仿宋_GB2312" w:eastAsia="仿宋_GB2312" w:cs="仿宋_GB2312"/>
          <w:color w:val="000000"/>
          <w:sz w:val="32"/>
          <w:szCs w:val="32"/>
        </w:rPr>
        <w:t>全面提升大型工程机械设备安全监管能力，预防和减少农机事故的发生。</w:t>
      </w:r>
    </w:p>
    <w:p>
      <w:pPr>
        <w:pageBreakBefore w:val="0"/>
        <w:kinsoku/>
        <w:wordWrap/>
        <w:overflowPunct/>
        <w:topLinePunct w:val="0"/>
        <w:autoSpaceDE/>
        <w:autoSpaceDN/>
        <w:bidi w:val="0"/>
        <w:adjustRightInd/>
        <w:snapToGrid w:val="0"/>
        <w:spacing w:line="560" w:lineRule="atLeast"/>
        <w:ind w:firstLine="641"/>
        <w:textAlignment w:val="auto"/>
        <w:rPr>
          <w:rFonts w:ascii="仿宋_GB2312" w:hAnsi="仿宋_GB2312" w:eastAsia="仿宋_GB2312" w:cs="仿宋_GB2312"/>
          <w:color w:val="000000"/>
          <w:sz w:val="32"/>
          <w:szCs w:val="32"/>
        </w:rPr>
      </w:pPr>
      <w:r>
        <w:rPr>
          <w:rStyle w:val="26"/>
        </w:rPr>
        <w:t>满意度指标</w:t>
      </w:r>
      <w:r>
        <w:rPr>
          <w:rStyle w:val="26"/>
          <w:rFonts w:hint="eastAsia"/>
        </w:rPr>
        <w:t>方面：</w:t>
      </w:r>
      <w:r>
        <w:rPr>
          <w:rFonts w:hint="eastAsia" w:ascii="仿宋_GB2312" w:hAnsi="仿宋_GB2312" w:eastAsia="仿宋_GB2312" w:cs="仿宋_GB2312"/>
          <w:color w:val="000000"/>
          <w:sz w:val="32"/>
          <w:szCs w:val="32"/>
        </w:rPr>
        <w:t>服务对象投诉起数：0起。</w:t>
      </w:r>
    </w:p>
    <w:p>
      <w:pPr>
        <w:pageBreakBefore w:val="0"/>
        <w:kinsoku/>
        <w:wordWrap/>
        <w:overflowPunct/>
        <w:topLinePunct w:val="0"/>
        <w:autoSpaceDE/>
        <w:autoSpaceDN/>
        <w:bidi w:val="0"/>
        <w:adjustRightInd/>
        <w:snapToGrid w:val="0"/>
        <w:spacing w:line="560" w:lineRule="atLeast"/>
        <w:ind w:firstLine="641"/>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加强农机监理人员管理与培训，便捷高效开展工作服务，服务对象0投诉。</w:t>
      </w:r>
    </w:p>
    <w:p>
      <w:pPr>
        <w:pageBreakBefore w:val="0"/>
        <w:kinsoku/>
        <w:wordWrap/>
        <w:overflowPunct/>
        <w:topLinePunct w:val="0"/>
        <w:autoSpaceDE/>
        <w:autoSpaceDN/>
        <w:bidi w:val="0"/>
        <w:adjustRightInd/>
        <w:snapToGrid w:val="0"/>
        <w:spacing w:line="560" w:lineRule="atLeast"/>
        <w:ind w:firstLine="960" w:firstLineChars="300"/>
        <w:textAlignment w:val="auto"/>
        <w:rPr>
          <w:rFonts w:ascii="仿宋_GB2312" w:eastAsia="仿宋_GB2312"/>
          <w:sz w:val="32"/>
          <w:szCs w:val="32"/>
        </w:rPr>
      </w:pPr>
      <w:r>
        <w:rPr>
          <w:rFonts w:hint="eastAsia" w:ascii="仿宋_GB2312" w:eastAsia="仿宋_GB2312"/>
          <w:sz w:val="32"/>
          <w:szCs w:val="32"/>
        </w:rPr>
        <w:t>项目</w:t>
      </w:r>
      <w:r>
        <w:rPr>
          <w:rFonts w:hint="eastAsia" w:ascii="仿宋_GB2312" w:eastAsia="仿宋_GB2312"/>
          <w:sz w:val="32"/>
          <w:szCs w:val="32"/>
          <w:lang w:eastAsia="zh-CN"/>
        </w:rPr>
        <w:t>效益</w:t>
      </w:r>
      <w:r>
        <w:rPr>
          <w:rFonts w:hint="eastAsia" w:ascii="仿宋_GB2312" w:eastAsia="仿宋_GB2312"/>
          <w:sz w:val="32"/>
          <w:szCs w:val="32"/>
        </w:rPr>
        <w:t>分值:</w:t>
      </w:r>
      <w:r>
        <w:rPr>
          <w:rFonts w:hint="eastAsia" w:ascii="仿宋_GB2312" w:eastAsia="仿宋_GB2312"/>
          <w:sz w:val="32"/>
          <w:szCs w:val="32"/>
          <w:lang w:val="en-US" w:eastAsia="zh-CN"/>
        </w:rPr>
        <w:t>4</w:t>
      </w:r>
      <w:r>
        <w:rPr>
          <w:rFonts w:hint="eastAsia" w:ascii="仿宋_GB2312" w:eastAsia="仿宋_GB2312"/>
          <w:sz w:val="32"/>
          <w:szCs w:val="32"/>
        </w:rPr>
        <w:t>0分，我单位经过自评得分：</w:t>
      </w:r>
      <w:r>
        <w:rPr>
          <w:rFonts w:hint="eastAsia" w:ascii="仿宋_GB2312" w:eastAsia="仿宋_GB2312"/>
          <w:sz w:val="32"/>
          <w:szCs w:val="32"/>
          <w:lang w:val="en-US" w:eastAsia="zh-CN"/>
        </w:rPr>
        <w:t>4</w:t>
      </w:r>
      <w:r>
        <w:rPr>
          <w:rFonts w:hint="eastAsia" w:ascii="仿宋_GB2312" w:eastAsia="仿宋_GB2312"/>
          <w:sz w:val="32"/>
          <w:szCs w:val="32"/>
        </w:rPr>
        <w:t>0分。</w:t>
      </w:r>
    </w:p>
    <w:p>
      <w:pPr>
        <w:pageBreakBefore w:val="0"/>
        <w:kinsoku/>
        <w:wordWrap/>
        <w:overflowPunct/>
        <w:topLinePunct w:val="0"/>
        <w:autoSpaceDE/>
        <w:autoSpaceDN/>
        <w:bidi w:val="0"/>
        <w:adjustRightInd/>
        <w:spacing w:line="560" w:lineRule="atLeast"/>
        <w:ind w:firstLine="641"/>
        <w:textAlignment w:val="auto"/>
        <w:rPr>
          <w:rStyle w:val="26"/>
        </w:rPr>
      </w:pPr>
      <w:r>
        <w:rPr>
          <w:rFonts w:hint="eastAsia" w:ascii="黑体" w:hAnsi="黑体" w:eastAsia="黑体"/>
          <w:sz w:val="32"/>
          <w:szCs w:val="32"/>
        </w:rPr>
        <w:t>五、主要经验及做法、存在的问题及原因分析</w:t>
      </w:r>
    </w:p>
    <w:p>
      <w:pPr>
        <w:pageBreakBefore w:val="0"/>
        <w:kinsoku/>
        <w:wordWrap/>
        <w:overflowPunct/>
        <w:topLinePunct w:val="0"/>
        <w:autoSpaceDE/>
        <w:autoSpaceDN/>
        <w:bidi w:val="0"/>
        <w:adjustRightInd/>
        <w:spacing w:line="560" w:lineRule="atLeas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（一）主要经验及做法</w:t>
      </w:r>
    </w:p>
    <w:p>
      <w:pPr>
        <w:pageBreakBefore w:val="0"/>
        <w:kinsoku/>
        <w:wordWrap/>
        <w:overflowPunct/>
        <w:topLinePunct w:val="0"/>
        <w:autoSpaceDE/>
        <w:autoSpaceDN/>
        <w:bidi w:val="0"/>
        <w:adjustRightIn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pacing w:before="0" w:after="0" w:line="560" w:lineRule="atLeast"/>
        <w:ind w:firstLine="640" w:firstLineChars="200"/>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7"/>
        </w:numPr>
        <w:kinsoku/>
        <w:wordWrap/>
        <w:overflowPunct/>
        <w:topLinePunct w:val="0"/>
        <w:autoSpaceDE/>
        <w:autoSpaceDN/>
        <w:bidi w:val="0"/>
        <w:adjustRightIn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Style w:val="2"/>
        <w:pageBreakBefore w:val="0"/>
        <w:kinsoku/>
        <w:wordWrap/>
        <w:overflowPunct/>
        <w:topLinePunct w:val="0"/>
        <w:autoSpaceDE/>
        <w:autoSpaceDN/>
        <w:bidi w:val="0"/>
        <w:adjustRightInd/>
        <w:spacing w:before="0" w:after="0" w:line="560" w:lineRule="atLeast"/>
        <w:ind w:firstLine="643" w:firstLineChars="200"/>
        <w:jc w:val="both"/>
        <w:textAlignment w:val="auto"/>
        <w:rPr>
          <w:rFonts w:ascii="仿宋_GB2312" w:hAnsi="仿宋_GB2312" w:eastAsia="仿宋_GB2312" w:cs="仿宋_GB2312"/>
          <w:b/>
          <w:bCs/>
          <w:kern w:val="2"/>
        </w:rPr>
      </w:pPr>
      <w:r>
        <w:rPr>
          <w:rFonts w:hint="eastAsia" w:ascii="仿宋_GB2312" w:hAnsi="仿宋_GB2312" w:eastAsia="仿宋_GB2312" w:cs="仿宋_GB2312"/>
          <w:b/>
          <w:bCs/>
          <w:kern w:val="2"/>
        </w:rPr>
        <w:t>1、存在的问题</w:t>
      </w:r>
    </w:p>
    <w:p>
      <w:pPr>
        <w:pageBreakBefore w:val="0"/>
        <w:kinsoku/>
        <w:wordWrap/>
        <w:overflowPunct/>
        <w:topLinePunct w:val="0"/>
        <w:autoSpaceDE/>
        <w:autoSpaceDN/>
        <w:bidi w:val="0"/>
        <w:adjustRightIn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2020年受</w:t>
      </w:r>
      <w:r>
        <w:rPr>
          <w:rFonts w:hint="eastAsia" w:ascii="仿宋_GB2312" w:eastAsia="仿宋_GB2312"/>
          <w:sz w:val="32"/>
          <w:szCs w:val="32"/>
          <w:lang w:val="en-US" w:eastAsia="zh-CN"/>
        </w:rPr>
        <w:t>传染病防控</w:t>
      </w:r>
      <w:r>
        <w:rPr>
          <w:rFonts w:hint="eastAsia" w:ascii="仿宋_GB2312" w:hAnsi="仿宋_GB2312" w:eastAsia="仿宋_GB2312" w:cs="仿宋_GB2312"/>
          <w:sz w:val="32"/>
          <w:szCs w:val="32"/>
        </w:rPr>
        <w:t>影响，工作进度也受到影响，通过后期的努力保证工作任务完成；通过对年初预算绩效目标体系的评定、年中支出绩效的监控、年末支出绩效的自评，进一步呈现出绩效指标设定工作中存在不足与偏差。</w:t>
      </w:r>
    </w:p>
    <w:p>
      <w:pPr>
        <w:pageBreakBefore w:val="0"/>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2、原因分析</w:t>
      </w:r>
    </w:p>
    <w:p>
      <w:pPr>
        <w:pageBreakBefore w:val="0"/>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绩效指标的设定过程中存在对当年工作预期不准确、因素考虑不全面的情况，需加强改进，做到科学、合理设定。</w:t>
      </w:r>
    </w:p>
    <w:p>
      <w:pPr>
        <w:pageBreakBefore w:val="0"/>
        <w:numPr>
          <w:ilvl w:val="0"/>
          <w:numId w:val="8"/>
        </w:numPr>
        <w:kinsoku/>
        <w:wordWrap/>
        <w:overflowPunct/>
        <w:topLinePunct w:val="0"/>
        <w:autoSpaceDE/>
        <w:autoSpaceDN/>
        <w:bidi w:val="0"/>
        <w:adjustRightInd/>
        <w:spacing w:line="560" w:lineRule="atLeast"/>
        <w:ind w:firstLine="641"/>
        <w:textAlignment w:val="auto"/>
        <w:rPr>
          <w:rFonts w:ascii="黑体" w:hAnsi="黑体" w:eastAsia="黑体"/>
          <w:sz w:val="32"/>
          <w:szCs w:val="32"/>
        </w:rPr>
      </w:pPr>
      <w:r>
        <w:rPr>
          <w:rFonts w:hint="eastAsia" w:ascii="黑体" w:hAnsi="黑体" w:eastAsia="黑体"/>
          <w:sz w:val="32"/>
          <w:szCs w:val="32"/>
        </w:rPr>
        <w:t>有关建议</w:t>
      </w:r>
    </w:p>
    <w:p>
      <w:pPr>
        <w:pageBreakBefore w:val="0"/>
        <w:numPr>
          <w:ilvl w:val="0"/>
          <w:numId w:val="9"/>
        </w:numPr>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9"/>
        </w:numPr>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帐、定专人。同时，资金拨付除坚持按项目计划、工程进度和质量分阶段验收拨款外，还坚持部门联审制，项目单位先做事、后报帐，从而确保专项资金专款专用，有效地防止了截留、挤占和挪用。</w:t>
      </w:r>
    </w:p>
    <w:p>
      <w:pPr>
        <w:pageBreakBefore w:val="0"/>
        <w:numPr>
          <w:ilvl w:val="0"/>
          <w:numId w:val="8"/>
        </w:numPr>
        <w:kinsoku/>
        <w:wordWrap/>
        <w:overflowPunct/>
        <w:topLinePunct w:val="0"/>
        <w:autoSpaceDE/>
        <w:autoSpaceDN/>
        <w:bidi w:val="0"/>
        <w:adjustRightInd/>
        <w:spacing w:line="560" w:lineRule="atLeast"/>
        <w:ind w:firstLine="641"/>
        <w:textAlignment w:val="auto"/>
        <w:rPr>
          <w:rFonts w:ascii="黑体" w:hAnsi="黑体" w:eastAsia="黑体"/>
          <w:sz w:val="32"/>
          <w:szCs w:val="32"/>
        </w:rPr>
      </w:pPr>
      <w:r>
        <w:rPr>
          <w:rFonts w:hint="eastAsia" w:ascii="黑体" w:hAnsi="黑体" w:eastAsia="黑体"/>
          <w:sz w:val="32"/>
          <w:szCs w:val="32"/>
        </w:rPr>
        <w:t>其他需要说</w:t>
      </w:r>
      <w:bookmarkStart w:id="1" w:name="page8"/>
      <w:bookmarkEnd w:id="1"/>
      <w:r>
        <w:rPr>
          <w:rFonts w:hint="eastAsia" w:ascii="黑体" w:hAnsi="黑体" w:eastAsia="黑体"/>
          <w:sz w:val="32"/>
          <w:szCs w:val="32"/>
        </w:rPr>
        <w:t>明的问题</w:t>
      </w:r>
    </w:p>
    <w:p>
      <w:pPr>
        <w:pStyle w:val="2"/>
        <w:pageBreakBefore w:val="0"/>
        <w:kinsoku/>
        <w:wordWrap/>
        <w:overflowPunct/>
        <w:topLinePunct w:val="0"/>
        <w:autoSpaceDE/>
        <w:autoSpaceDN/>
        <w:bidi w:val="0"/>
        <w:adjustRightInd/>
        <w:spacing w:before="0" w:after="0" w:line="560" w:lineRule="atLeast"/>
        <w:ind w:firstLine="470" w:firstLineChars="147"/>
        <w:jc w:val="both"/>
        <w:textAlignment w:val="auto"/>
        <w:rPr>
          <w:rFonts w:hint="eastAsia" w:ascii="仿宋_GB2312" w:eastAsia="仿宋_GB2312"/>
          <w:b w:val="0"/>
          <w:lang w:val="en-US" w:eastAsia="zh-CN"/>
        </w:rPr>
      </w:pPr>
      <w:r>
        <w:rPr>
          <w:rFonts w:hint="eastAsia" w:ascii="仿宋_GB2312" w:eastAsia="仿宋_GB2312"/>
          <w:b w:val="0"/>
        </w:rPr>
        <w:t>无</w:t>
      </w:r>
      <w:r>
        <w:rPr>
          <w:rFonts w:hint="eastAsia" w:ascii="仿宋_GB2312" w:eastAsia="仿宋_GB2312"/>
          <w:b w:val="0"/>
          <w:lang w:eastAsia="zh-CN"/>
        </w:rPr>
        <w:t>。</w:t>
      </w:r>
    </w:p>
    <w:p>
      <w:pPr>
        <w:pageBreakBefore w:val="0"/>
        <w:kinsoku/>
        <w:wordWrap/>
        <w:overflowPunct/>
        <w:topLinePunct w:val="0"/>
        <w:autoSpaceDE/>
        <w:autoSpaceDN/>
        <w:bidi w:val="0"/>
        <w:adjustRightInd/>
        <w:spacing w:line="560" w:lineRule="atLeast"/>
        <w:textAlignment w:val="auto"/>
      </w:pPr>
    </w:p>
    <w:p>
      <w:pPr>
        <w:pageBreakBefore w:val="0"/>
        <w:kinsoku/>
        <w:wordWrap/>
        <w:overflowPunct/>
        <w:topLinePunct w:val="0"/>
        <w:autoSpaceDE/>
        <w:autoSpaceDN/>
        <w:bidi w:val="0"/>
        <w:adjustRightInd/>
        <w:spacing w:line="560" w:lineRule="atLeast"/>
        <w:textAlignment w:val="auto"/>
      </w:pPr>
    </w:p>
    <w:p>
      <w:pPr>
        <w:pageBreakBefore w:val="0"/>
        <w:kinsoku/>
        <w:wordWrap/>
        <w:overflowPunct/>
        <w:topLinePunct w:val="0"/>
        <w:autoSpaceDE/>
        <w:autoSpaceDN/>
        <w:bidi w:val="0"/>
        <w:adjustRightInd/>
        <w:spacing w:line="560" w:lineRule="atLeast"/>
        <w:textAlignment w:val="auto"/>
      </w:pPr>
    </w:p>
    <w:p>
      <w:pPr>
        <w:sectPr>
          <w:footerReference r:id="rId3" w:type="default"/>
          <w:pgSz w:w="11906" w:h="16838"/>
          <w:pgMar w:top="1440" w:right="1558" w:bottom="1440" w:left="1800" w:header="851" w:footer="992" w:gutter="0"/>
          <w:cols w:space="425" w:num="1"/>
          <w:docGrid w:type="lines" w:linePitch="312" w:charSpace="0"/>
        </w:sectPr>
      </w:pPr>
    </w:p>
    <w:p>
      <w:pPr>
        <w:spacing w:line="600" w:lineRule="exact"/>
        <w:rPr>
          <w:rFonts w:ascii="仿宋_GB2312"/>
          <w:bCs/>
          <w:sz w:val="32"/>
          <w:szCs w:val="32"/>
        </w:rPr>
      </w:pPr>
      <w:r>
        <w:rPr>
          <w:rFonts w:hint="eastAsia" w:ascii="仿宋_GB2312"/>
          <w:bCs/>
          <w:sz w:val="32"/>
          <w:szCs w:val="32"/>
        </w:rPr>
        <w:t>附件1</w:t>
      </w:r>
    </w:p>
    <w:tbl>
      <w:tblPr>
        <w:tblStyle w:val="9"/>
        <w:tblW w:w="5000"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14"/>
        <w:gridCol w:w="517"/>
        <w:gridCol w:w="587"/>
        <w:gridCol w:w="4303"/>
        <w:gridCol w:w="6523"/>
        <w:gridCol w:w="848"/>
        <w:gridCol w:w="88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181" w:type="pct"/>
            <w:shd w:val="clear" w:color="auto" w:fill="FFFFFF"/>
            <w:noWrap/>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182" w:type="pct"/>
            <w:shd w:val="clear" w:color="auto" w:fill="FFFFFF"/>
            <w:noWrap/>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207" w:type="pct"/>
            <w:shd w:val="clear" w:color="auto" w:fill="FFFFFF"/>
            <w:noWrap/>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1518" w:type="pct"/>
            <w:shd w:val="clear" w:color="auto" w:fill="FFFFFF"/>
            <w:noWrap/>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指标解释</w:t>
            </w:r>
          </w:p>
        </w:tc>
        <w:tc>
          <w:tcPr>
            <w:tcW w:w="2301" w:type="pct"/>
            <w:shd w:val="clear" w:color="auto" w:fill="FFFFFF"/>
            <w:noWrap/>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指标说明</w:t>
            </w:r>
          </w:p>
        </w:tc>
        <w:tc>
          <w:tcPr>
            <w:tcW w:w="299" w:type="pct"/>
            <w:shd w:val="clear" w:color="auto" w:fill="FFFFFF"/>
            <w:noWrap/>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311" w:type="pct"/>
            <w:shd w:val="clear" w:color="auto" w:fill="FFFFFF"/>
            <w:noWrap/>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181" w:type="pct"/>
            <w:vMerge w:val="restar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　</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82" w:type="pct"/>
            <w:vMerge w:val="restar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207" w:type="pc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立项依据</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1518" w:type="pct"/>
            <w:shd w:val="clear" w:color="auto"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项目立项是否符合法律法规、相关政策、发展规划以及部门职责，用以反映和考核项目立项依据情况。</w:t>
            </w:r>
          </w:p>
        </w:tc>
        <w:tc>
          <w:tcPr>
            <w:tcW w:w="2301" w:type="pct"/>
            <w:shd w:val="clear" w:color="auto" w:fill="FFFFFF"/>
            <w:noWrap/>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①项目立项是否符合国家法律法规、国民经济发展规划和相关政策；</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②项目立项是否符合行业发展规划和政策要求；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③项目立项是否与部门职责范围相符，属于部门履职所需；</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④项目是否属于公共财政支持范围，是否符合中央、地方事权支出责任划分原则；</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⑤项目是否与相关部门同类项目或部门内部相关项目重复。</w:t>
            </w:r>
          </w:p>
        </w:tc>
        <w:tc>
          <w:tcPr>
            <w:tcW w:w="299" w:type="pct"/>
            <w:shd w:val="clear" w:color="auto" w:fill="FFFFFF"/>
            <w:noWrap/>
            <w:vAlign w:val="center"/>
          </w:tcPr>
          <w:p>
            <w:pPr>
              <w:widowControl/>
              <w:spacing w:line="0" w:lineRule="atLeast"/>
              <w:ind w:firstLine="110" w:firstLineChars="50"/>
              <w:jc w:val="left"/>
              <w:rPr>
                <w:rFonts w:ascii="宋体" w:hAnsi="宋体" w:cs="宋体"/>
                <w:color w:val="000000"/>
                <w:kern w:val="0"/>
                <w:sz w:val="22"/>
                <w:szCs w:val="22"/>
              </w:rPr>
            </w:pPr>
            <w:r>
              <w:rPr>
                <w:rFonts w:hint="eastAsia" w:ascii="宋体" w:hAnsi="宋体" w:cs="宋体"/>
                <w:color w:val="000000"/>
                <w:kern w:val="0"/>
                <w:sz w:val="22"/>
                <w:szCs w:val="22"/>
              </w:rPr>
              <w:t>0.5</w:t>
            </w:r>
          </w:p>
        </w:tc>
        <w:tc>
          <w:tcPr>
            <w:tcW w:w="311" w:type="pct"/>
            <w:shd w:val="clear" w:color="auto" w:fill="FFFFFF"/>
            <w:noWrap/>
            <w:vAlign w:val="center"/>
          </w:tcPr>
          <w:p>
            <w:pPr>
              <w:widowControl/>
              <w:spacing w:line="0" w:lineRule="atLeast"/>
              <w:ind w:firstLine="110" w:firstLineChars="50"/>
              <w:jc w:val="left"/>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181" w:type="pct"/>
            <w:vMerge w:val="continue"/>
            <w:shd w:val="clear" w:color="auto" w:fill="FFFFFF"/>
            <w:noWrap/>
            <w:vAlign w:val="center"/>
          </w:tcPr>
          <w:p>
            <w:pPr>
              <w:spacing w:line="0" w:lineRule="atLeast"/>
              <w:jc w:val="center"/>
              <w:rPr>
                <w:rFonts w:ascii="宋体" w:hAnsi="宋体" w:cs="宋体"/>
                <w:color w:val="000000"/>
                <w:kern w:val="0"/>
                <w:sz w:val="22"/>
                <w:szCs w:val="22"/>
              </w:rPr>
            </w:pPr>
          </w:p>
        </w:tc>
        <w:tc>
          <w:tcPr>
            <w:tcW w:w="182" w:type="pct"/>
            <w:vMerge w:val="continue"/>
            <w:shd w:val="clear" w:color="auto" w:fill="FFFFFF"/>
            <w:noWrap/>
            <w:vAlign w:val="center"/>
          </w:tcPr>
          <w:p>
            <w:pPr>
              <w:widowControl/>
              <w:spacing w:line="0" w:lineRule="atLeast"/>
              <w:jc w:val="center"/>
              <w:rPr>
                <w:rFonts w:ascii="宋体" w:hAnsi="宋体" w:cs="宋体"/>
                <w:color w:val="000000"/>
                <w:kern w:val="0"/>
                <w:sz w:val="22"/>
                <w:szCs w:val="22"/>
              </w:rPr>
            </w:pPr>
          </w:p>
        </w:tc>
        <w:tc>
          <w:tcPr>
            <w:tcW w:w="207" w:type="pc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立项程序</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1518" w:type="pct"/>
            <w:shd w:val="clear" w:color="auto"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项目申请、设立过程是否符合相关要求，用以反映和考核项目立项的规范情况。</w:t>
            </w:r>
          </w:p>
        </w:tc>
        <w:tc>
          <w:tcPr>
            <w:tcW w:w="2301" w:type="pct"/>
            <w:shd w:val="clear" w:color="auto" w:fill="FFFFFF"/>
            <w:noWrap/>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①项目是否按照规定的程序申请设立；</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②审批文件、材料是否符合相关要求；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③事前是否已经过必要的可行性研究、专家论证、风险评估、绩效评估、集体决策。</w:t>
            </w:r>
          </w:p>
        </w:tc>
        <w:tc>
          <w:tcPr>
            <w:tcW w:w="299" w:type="pct"/>
            <w:shd w:val="clear" w:color="auto" w:fill="FFFFFF"/>
            <w:noWrap/>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0.5</w:t>
            </w:r>
          </w:p>
        </w:tc>
        <w:tc>
          <w:tcPr>
            <w:tcW w:w="311" w:type="pct"/>
            <w:shd w:val="clear" w:color="auto" w:fill="FFFFFF"/>
            <w:noWrap/>
            <w:vAlign w:val="center"/>
          </w:tcPr>
          <w:p>
            <w:pPr>
              <w:widowControl/>
              <w:spacing w:line="0" w:lineRule="atLeast"/>
              <w:ind w:firstLine="110" w:firstLineChars="50"/>
              <w:jc w:val="left"/>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181" w:type="pct"/>
            <w:vMerge w:val="continue"/>
            <w:shd w:val="clear" w:color="auto" w:fill="FFFFFF"/>
            <w:noWrap/>
            <w:vAlign w:val="center"/>
          </w:tcPr>
          <w:p>
            <w:pPr>
              <w:spacing w:line="0" w:lineRule="atLeast"/>
              <w:jc w:val="center"/>
              <w:rPr>
                <w:rFonts w:ascii="宋体" w:hAnsi="宋体" w:cs="宋体"/>
                <w:color w:val="000000"/>
                <w:kern w:val="0"/>
                <w:sz w:val="22"/>
                <w:szCs w:val="22"/>
              </w:rPr>
            </w:pPr>
          </w:p>
        </w:tc>
        <w:tc>
          <w:tcPr>
            <w:tcW w:w="182" w:type="pc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207" w:type="pc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1518"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项目所设定的绩效目标是否依据充分，是否符合客观实际，用以反映和考核项目绩效目标与项目实施的相符情况。</w:t>
            </w:r>
          </w:p>
        </w:tc>
        <w:tc>
          <w:tcPr>
            <w:tcW w:w="2301" w:type="pct"/>
            <w:shd w:val="clear" w:color="000000" w:fill="FFFFFF"/>
            <w:noWrap/>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（如未设定预算绩效目标，也可考核其他工作任务目标）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①项目是否有绩效目标；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②项目绩效目标与实际工作内容是否具有相关性；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③项目预期产出效益和效果是否符合正常的业绩水平；</w:t>
            </w:r>
          </w:p>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④是否与预算确定的项目投资额或资金量相匹配。</w:t>
            </w:r>
          </w:p>
        </w:tc>
        <w:tc>
          <w:tcPr>
            <w:tcW w:w="299" w:type="pct"/>
            <w:shd w:val="clear" w:color="000000" w:fill="FFFFFF"/>
            <w:noWrap/>
            <w:vAlign w:val="center"/>
          </w:tcPr>
          <w:p>
            <w:pPr>
              <w:widowControl/>
              <w:spacing w:line="0" w:lineRule="atLeast"/>
              <w:ind w:firstLine="220" w:firstLineChars="100"/>
              <w:jc w:val="left"/>
              <w:rPr>
                <w:rFonts w:ascii="宋体" w:hAnsi="宋体" w:cs="宋体"/>
                <w:color w:val="000000"/>
                <w:kern w:val="0"/>
                <w:sz w:val="22"/>
                <w:szCs w:val="22"/>
              </w:rPr>
            </w:pPr>
            <w:r>
              <w:rPr>
                <w:rFonts w:hint="eastAsia" w:ascii="宋体" w:hAnsi="宋体" w:cs="宋体"/>
                <w:color w:val="000000"/>
                <w:kern w:val="0"/>
                <w:sz w:val="22"/>
                <w:szCs w:val="22"/>
              </w:rPr>
              <w:t>1</w:t>
            </w:r>
          </w:p>
        </w:tc>
        <w:tc>
          <w:tcPr>
            <w:tcW w:w="311" w:type="pct"/>
            <w:shd w:val="clear" w:color="000000" w:fill="FFFFFF"/>
            <w:noWrap/>
            <w:vAlign w:val="center"/>
          </w:tcPr>
          <w:p>
            <w:pPr>
              <w:widowControl/>
              <w:spacing w:line="0" w:lineRule="atLeast"/>
              <w:ind w:firstLine="330" w:firstLineChars="150"/>
              <w:jc w:val="lef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81" w:type="pct"/>
            <w:vMerge w:val="restar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　</w:t>
            </w:r>
          </w:p>
        </w:tc>
        <w:tc>
          <w:tcPr>
            <w:tcW w:w="182" w:type="pc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tc>
        <w:tc>
          <w:tcPr>
            <w:tcW w:w="207" w:type="pc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绩效指标</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1518"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依据绩效目标设定的绩效指标是否清晰、细化、可衡量等，用以反映和考核项目绩效目标的明细化情况。</w:t>
            </w:r>
          </w:p>
        </w:tc>
        <w:tc>
          <w:tcPr>
            <w:tcW w:w="2301"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①是否将项目绩效目标细化分解为具体的绩效指标；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②是否通过清晰、可衡量的指标值予以体现；</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③是否与项目目标任务数或计划数相对应。</w:t>
            </w:r>
            <w:r>
              <w:rPr>
                <w:rFonts w:hint="eastAsia" w:ascii="宋体" w:hAnsi="宋体" w:cs="宋体"/>
                <w:color w:val="000000"/>
                <w:kern w:val="0"/>
                <w:sz w:val="22"/>
                <w:szCs w:val="22"/>
              </w:rPr>
              <w:br w:type="textWrapping"/>
            </w:r>
          </w:p>
        </w:tc>
        <w:tc>
          <w:tcPr>
            <w:tcW w:w="299"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 xml:space="preserve">  1</w:t>
            </w:r>
          </w:p>
        </w:tc>
        <w:tc>
          <w:tcPr>
            <w:tcW w:w="311"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 xml:space="preserv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81" w:type="pct"/>
            <w:vMerge w:val="continue"/>
            <w:shd w:val="clear" w:color="auto" w:fill="FFFFFF"/>
            <w:noWrap/>
            <w:vAlign w:val="center"/>
          </w:tcPr>
          <w:p>
            <w:pPr>
              <w:spacing w:line="0" w:lineRule="atLeast"/>
              <w:jc w:val="center"/>
              <w:rPr>
                <w:rFonts w:ascii="宋体" w:hAnsi="宋体" w:cs="宋体"/>
                <w:color w:val="000000"/>
                <w:kern w:val="0"/>
                <w:sz w:val="22"/>
                <w:szCs w:val="22"/>
              </w:rPr>
            </w:pPr>
          </w:p>
        </w:tc>
        <w:tc>
          <w:tcPr>
            <w:tcW w:w="182" w:type="pct"/>
            <w:vMerge w:val="restar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资金投入</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207" w:type="pc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预算编制</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1518" w:type="pct"/>
            <w:shd w:val="clear" w:color="auto"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项目预算编制是否经过科学论证、有明确标准，资金额度与年度目标是否相适应，用以反映和考核项目预算编制的科学性、合理性情况。</w:t>
            </w:r>
          </w:p>
        </w:tc>
        <w:tc>
          <w:tcPr>
            <w:tcW w:w="2301" w:type="pct"/>
            <w:shd w:val="clear" w:color="auto"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①预算编制是否经过科学论证；</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②预算内容与项目内容是否匹配；</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③预算额度测算依据是否充分，是否按照标准编制；</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④预算确定的项目投资额或资金量是否与工作任务相匹配。</w:t>
            </w:r>
          </w:p>
        </w:tc>
        <w:tc>
          <w:tcPr>
            <w:tcW w:w="299" w:type="pct"/>
            <w:shd w:val="clear" w:color="auto"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 xml:space="preserve">   1</w:t>
            </w:r>
          </w:p>
        </w:tc>
        <w:tc>
          <w:tcPr>
            <w:tcW w:w="311" w:type="pct"/>
            <w:shd w:val="clear" w:color="auto"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 xml:space="preserv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81" w:type="pct"/>
            <w:vMerge w:val="continue"/>
            <w:shd w:val="clear" w:color="auto" w:fill="FFFFFF"/>
            <w:noWrap/>
            <w:vAlign w:val="center"/>
          </w:tcPr>
          <w:p>
            <w:pPr>
              <w:widowControl/>
              <w:spacing w:line="0" w:lineRule="atLeast"/>
              <w:jc w:val="center"/>
              <w:rPr>
                <w:rFonts w:ascii="宋体" w:hAnsi="宋体" w:cs="宋体"/>
                <w:color w:val="000000"/>
                <w:kern w:val="0"/>
                <w:sz w:val="22"/>
                <w:szCs w:val="22"/>
              </w:rPr>
            </w:pPr>
          </w:p>
        </w:tc>
        <w:tc>
          <w:tcPr>
            <w:tcW w:w="182" w:type="pct"/>
            <w:vMerge w:val="continue"/>
            <w:shd w:val="clear" w:color="auto" w:fill="FFFFFF"/>
            <w:noWrap/>
            <w:vAlign w:val="center"/>
          </w:tcPr>
          <w:p>
            <w:pPr>
              <w:widowControl/>
              <w:spacing w:line="0" w:lineRule="atLeast"/>
              <w:jc w:val="center"/>
              <w:rPr>
                <w:rFonts w:ascii="宋体" w:hAnsi="宋体" w:cs="宋体"/>
                <w:color w:val="000000"/>
                <w:kern w:val="0"/>
                <w:sz w:val="22"/>
                <w:szCs w:val="22"/>
              </w:rPr>
            </w:pPr>
          </w:p>
        </w:tc>
        <w:tc>
          <w:tcPr>
            <w:tcW w:w="207" w:type="pc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资金分配</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1518" w:type="pct"/>
            <w:shd w:val="clear" w:color="auto"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项目预算资金分配是否有测算依据，与补助单位或地方实际是否相适应，用以反映和考核项目预算资金分配的科学性、合理性情况。</w:t>
            </w:r>
          </w:p>
        </w:tc>
        <w:tc>
          <w:tcPr>
            <w:tcW w:w="2301" w:type="pct"/>
            <w:shd w:val="clear" w:color="auto"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①预算资金分配依据是否充分；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②资金分配额度是否合理，与项目单位或地方实际是否相适应。</w:t>
            </w:r>
          </w:p>
        </w:tc>
        <w:tc>
          <w:tcPr>
            <w:tcW w:w="299" w:type="pct"/>
            <w:shd w:val="clear" w:color="auto"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 xml:space="preserve">   1</w:t>
            </w:r>
          </w:p>
        </w:tc>
        <w:tc>
          <w:tcPr>
            <w:tcW w:w="311" w:type="pct"/>
            <w:shd w:val="clear" w:color="auto"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 xml:space="preserv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81" w:type="pct"/>
            <w:vMerge w:val="restart"/>
            <w:shd w:val="clear" w:color="auto" w:fill="FFFFFF"/>
            <w:noWrap/>
            <w:vAlign w:val="center"/>
          </w:tcPr>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w:t>
            </w:r>
          </w:p>
        </w:tc>
        <w:tc>
          <w:tcPr>
            <w:tcW w:w="182" w:type="pct"/>
            <w:vMerge w:val="restar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207" w:type="pc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1518"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实际到位资金与预算资金的比率，用以反映和考核资金落实情况对项目实施的总体保障程度。</w:t>
            </w:r>
          </w:p>
        </w:tc>
        <w:tc>
          <w:tcPr>
            <w:tcW w:w="2301"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资金到位率=（实际到位资金/预算资金）×100%。</w:t>
            </w:r>
          </w:p>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实际到位资金：一定时期（本年度或项目期）内落实到具体项目的资金。</w:t>
            </w:r>
          </w:p>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预算资金：一定时期（本年度或项目期）内预算安排到具体项目的资金。</w:t>
            </w:r>
          </w:p>
        </w:tc>
        <w:tc>
          <w:tcPr>
            <w:tcW w:w="299"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 xml:space="preserve">  1</w:t>
            </w:r>
          </w:p>
        </w:tc>
        <w:tc>
          <w:tcPr>
            <w:tcW w:w="311"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 xml:space="preserv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81" w:type="pct"/>
            <w:vMerge w:val="continue"/>
            <w:shd w:val="clear" w:color="auto" w:fill="FFFFFF"/>
            <w:noWrap/>
            <w:vAlign w:val="center"/>
          </w:tcPr>
          <w:p>
            <w:pPr>
              <w:spacing w:line="0" w:lineRule="atLeast"/>
              <w:jc w:val="center"/>
              <w:rPr>
                <w:rFonts w:ascii="宋体" w:hAnsi="宋体" w:cs="宋体"/>
                <w:color w:val="000000"/>
                <w:kern w:val="0"/>
                <w:sz w:val="22"/>
                <w:szCs w:val="22"/>
              </w:rPr>
            </w:pPr>
          </w:p>
        </w:tc>
        <w:tc>
          <w:tcPr>
            <w:tcW w:w="182" w:type="pct"/>
            <w:vMerge w:val="continue"/>
            <w:shd w:val="clear" w:color="auto" w:fill="FFFFFF"/>
            <w:noWrap/>
            <w:vAlign w:val="center"/>
          </w:tcPr>
          <w:p>
            <w:pPr>
              <w:spacing w:line="0" w:lineRule="atLeast"/>
              <w:jc w:val="center"/>
              <w:rPr>
                <w:rFonts w:ascii="宋体" w:hAnsi="宋体" w:cs="宋体"/>
                <w:color w:val="000000"/>
                <w:kern w:val="0"/>
                <w:sz w:val="22"/>
                <w:szCs w:val="22"/>
              </w:rPr>
            </w:pPr>
          </w:p>
        </w:tc>
        <w:tc>
          <w:tcPr>
            <w:tcW w:w="207" w:type="pc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1518" w:type="pct"/>
            <w:shd w:val="clear" w:color="auto"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项目预算资金是否按照计划执行，用以反映或考核项目预算执行情况。</w:t>
            </w:r>
          </w:p>
        </w:tc>
        <w:tc>
          <w:tcPr>
            <w:tcW w:w="2301" w:type="pct"/>
            <w:shd w:val="clear" w:color="auto"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预算执行率=（实际支出资金/实际到位资金）×100%。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实际支出资金：一定时期（本年度或项目期）内项目实际拨付的资金。</w:t>
            </w:r>
          </w:p>
        </w:tc>
        <w:tc>
          <w:tcPr>
            <w:tcW w:w="299" w:type="pct"/>
            <w:shd w:val="clear" w:color="auto"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 xml:space="preserve">   1</w:t>
            </w:r>
          </w:p>
        </w:tc>
        <w:tc>
          <w:tcPr>
            <w:tcW w:w="311" w:type="pct"/>
            <w:shd w:val="clear" w:color="auto"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 xml:space="preserv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81" w:type="pct"/>
            <w:vMerge w:val="restar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　</w:t>
            </w:r>
          </w:p>
        </w:tc>
        <w:tc>
          <w:tcPr>
            <w:tcW w:w="182" w:type="pc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207" w:type="pc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资金使用</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1518"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项目资金使用是否符合相关的财务管理制度规定，用以反映和考核项目资金的规范运行情况。</w:t>
            </w:r>
          </w:p>
        </w:tc>
        <w:tc>
          <w:tcPr>
            <w:tcW w:w="2301"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①是否符合国家财经法规和财务管理制度以及有关专项资金管理办法的规定；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②资金的拨付是否有完整的审批程序和手续；</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③是否符合项目预算批复或合同规定的用途；</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④是否存在截留、挤占、挪用、虚列支出等情况。</w:t>
            </w:r>
          </w:p>
        </w:tc>
        <w:tc>
          <w:tcPr>
            <w:tcW w:w="299"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 xml:space="preserve">   1</w:t>
            </w:r>
          </w:p>
        </w:tc>
        <w:tc>
          <w:tcPr>
            <w:tcW w:w="311"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 xml:space="preserv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81" w:type="pct"/>
            <w:vMerge w:val="continue"/>
            <w:shd w:val="clear" w:color="auto" w:fill="FFFFFF"/>
            <w:noWrap/>
            <w:vAlign w:val="center"/>
          </w:tcPr>
          <w:p>
            <w:pPr>
              <w:spacing w:line="0" w:lineRule="atLeast"/>
              <w:jc w:val="center"/>
              <w:rPr>
                <w:rFonts w:ascii="宋体" w:hAnsi="宋体" w:cs="宋体"/>
                <w:color w:val="000000"/>
                <w:kern w:val="0"/>
                <w:sz w:val="22"/>
                <w:szCs w:val="22"/>
              </w:rPr>
            </w:pPr>
          </w:p>
        </w:tc>
        <w:tc>
          <w:tcPr>
            <w:tcW w:w="182" w:type="pct"/>
            <w:vMerge w:val="restar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组织实施</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207" w:type="pc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管理制度</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1518"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项目实施单位的财务和业务管理制度是否健全，用以反映和考核财务和业务管理制度对项目顺利实施的保障情况。</w:t>
            </w:r>
          </w:p>
        </w:tc>
        <w:tc>
          <w:tcPr>
            <w:tcW w:w="2301"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①是否已制定或具有相应的财务和业务管理制度；</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②财务和业务管理制度是否合法、合规、完整。</w:t>
            </w:r>
          </w:p>
        </w:tc>
        <w:tc>
          <w:tcPr>
            <w:tcW w:w="299"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 xml:space="preserve">   1</w:t>
            </w:r>
          </w:p>
        </w:tc>
        <w:tc>
          <w:tcPr>
            <w:tcW w:w="311"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 xml:space="preserv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81" w:type="pct"/>
            <w:vMerge w:val="continue"/>
            <w:shd w:val="clear" w:color="auto" w:fill="FFFFFF"/>
            <w:noWrap/>
            <w:vAlign w:val="center"/>
          </w:tcPr>
          <w:p>
            <w:pPr>
              <w:widowControl/>
              <w:spacing w:line="0" w:lineRule="atLeast"/>
              <w:jc w:val="center"/>
              <w:rPr>
                <w:rFonts w:ascii="宋体" w:hAnsi="宋体" w:cs="宋体"/>
                <w:color w:val="000000"/>
                <w:kern w:val="0"/>
                <w:sz w:val="22"/>
                <w:szCs w:val="22"/>
              </w:rPr>
            </w:pPr>
          </w:p>
        </w:tc>
        <w:tc>
          <w:tcPr>
            <w:tcW w:w="182" w:type="pct"/>
            <w:vMerge w:val="continue"/>
            <w:shd w:val="clear" w:color="auto" w:fill="FFFFFF"/>
            <w:noWrap/>
            <w:vAlign w:val="center"/>
          </w:tcPr>
          <w:p>
            <w:pPr>
              <w:widowControl/>
              <w:spacing w:line="0" w:lineRule="atLeast"/>
              <w:jc w:val="center"/>
              <w:rPr>
                <w:rFonts w:ascii="宋体" w:hAnsi="宋体" w:cs="宋体"/>
                <w:color w:val="000000"/>
                <w:kern w:val="0"/>
                <w:sz w:val="22"/>
                <w:szCs w:val="22"/>
              </w:rPr>
            </w:pPr>
          </w:p>
        </w:tc>
        <w:tc>
          <w:tcPr>
            <w:tcW w:w="207" w:type="pc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制度执行</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1518"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项目实施是否符合相关管理规定，用以反映和考核相关管理制度的有效执行情况。</w:t>
            </w:r>
          </w:p>
        </w:tc>
        <w:tc>
          <w:tcPr>
            <w:tcW w:w="2301"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①是否遵守相关法律法规和相关管理规定；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②项目调整及支出调整手续是否完备；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③项目合同书、验收报告、技术鉴定等资料是否齐全并及时归档；</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④项目实施的人员条件、场地设备、信息支撑等是否落实到位。</w:t>
            </w:r>
          </w:p>
        </w:tc>
        <w:tc>
          <w:tcPr>
            <w:tcW w:w="299"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 xml:space="preserve">   1</w:t>
            </w:r>
          </w:p>
        </w:tc>
        <w:tc>
          <w:tcPr>
            <w:tcW w:w="311"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 xml:space="preserv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81" w:type="pc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182" w:type="pc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207" w:type="pc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1518"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项目实施的实际产出数与计划产出数的比率，用以反映和考核项目产出数量目标的实现程度。</w:t>
            </w:r>
          </w:p>
        </w:tc>
        <w:tc>
          <w:tcPr>
            <w:tcW w:w="2301"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实际完成率=（实际产出数/计划产出数）×100%。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实际产出数：一定时期（本年度或项目期）内项目实际产出的产品或提供的服务数量。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计划产出数：项目绩效目标确定的在一定时期（本年度或项目期）内计划产出的产品或提供的服务数量。</w:t>
            </w:r>
          </w:p>
        </w:tc>
        <w:tc>
          <w:tcPr>
            <w:tcW w:w="299"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 xml:space="preserve">  15</w:t>
            </w:r>
          </w:p>
        </w:tc>
        <w:tc>
          <w:tcPr>
            <w:tcW w:w="311"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 xml:space="preserve"> 14.7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181" w:type="pct"/>
            <w:vMerge w:val="restar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182" w:type="pc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207" w:type="pc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1518"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项目完成的质量达标产出数与实际产出数的比率，用以反映和考核项目产出质量目标的实现程度。</w:t>
            </w:r>
          </w:p>
        </w:tc>
        <w:tc>
          <w:tcPr>
            <w:tcW w:w="2301"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质量达标率=（质量达标产出数/实际产出数）×100%。</w:t>
            </w:r>
          </w:p>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299" w:type="pct"/>
            <w:shd w:val="clear" w:color="000000" w:fill="FFFFFF"/>
            <w:noWrap/>
            <w:vAlign w:val="center"/>
          </w:tcPr>
          <w:p>
            <w:pPr>
              <w:widowControl/>
              <w:spacing w:line="0" w:lineRule="atLeast"/>
              <w:ind w:firstLine="110" w:firstLineChars="50"/>
              <w:rPr>
                <w:rFonts w:ascii="宋体" w:hAnsi="宋体" w:cs="宋体"/>
                <w:color w:val="000000"/>
                <w:kern w:val="0"/>
                <w:sz w:val="22"/>
                <w:szCs w:val="22"/>
              </w:rPr>
            </w:pPr>
            <w:r>
              <w:rPr>
                <w:rFonts w:hint="eastAsia" w:ascii="宋体" w:hAnsi="宋体" w:cs="宋体"/>
                <w:color w:val="000000"/>
                <w:kern w:val="0"/>
                <w:sz w:val="22"/>
                <w:szCs w:val="22"/>
              </w:rPr>
              <w:t xml:space="preserve"> 10</w:t>
            </w:r>
          </w:p>
        </w:tc>
        <w:tc>
          <w:tcPr>
            <w:tcW w:w="311"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 xml:space="preserve">  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81" w:type="pct"/>
            <w:vMerge w:val="continue"/>
            <w:shd w:val="clear" w:color="auto" w:fill="FFFFFF"/>
            <w:noWrap/>
            <w:vAlign w:val="center"/>
          </w:tcPr>
          <w:p>
            <w:pPr>
              <w:spacing w:line="0" w:lineRule="atLeast"/>
              <w:jc w:val="center"/>
              <w:rPr>
                <w:rFonts w:ascii="宋体" w:hAnsi="宋体" w:cs="宋体"/>
                <w:color w:val="000000"/>
                <w:kern w:val="0"/>
                <w:sz w:val="22"/>
                <w:szCs w:val="22"/>
              </w:rPr>
            </w:pPr>
          </w:p>
        </w:tc>
        <w:tc>
          <w:tcPr>
            <w:tcW w:w="182" w:type="pct"/>
            <w:shd w:val="clear" w:color="auto" w:fill="FFFFFF"/>
            <w:noWrap/>
            <w:vAlign w:val="center"/>
          </w:tcPr>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207" w:type="pc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1518"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项目实际完成时间与计划完成时间的比较，用以反映和考核项目产出时效目标的实现程度。</w:t>
            </w:r>
          </w:p>
        </w:tc>
        <w:tc>
          <w:tcPr>
            <w:tcW w:w="2301"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实际完成时间：项目实施单位完成该项目实际所耗用的时间。</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计划完成时间：按照项目实施计划或相关规定完成该项目所需的时间。</w:t>
            </w:r>
          </w:p>
        </w:tc>
        <w:tc>
          <w:tcPr>
            <w:tcW w:w="299"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 xml:space="preserve">  15</w:t>
            </w:r>
          </w:p>
        </w:tc>
        <w:tc>
          <w:tcPr>
            <w:tcW w:w="311"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 xml:space="preserve"> 13.5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81" w:type="pct"/>
            <w:vMerge w:val="continue"/>
            <w:shd w:val="clear" w:color="auto" w:fill="FFFFFF"/>
            <w:noWrap/>
            <w:vAlign w:val="center"/>
          </w:tcPr>
          <w:p>
            <w:pPr>
              <w:widowControl/>
              <w:spacing w:line="0" w:lineRule="atLeast"/>
              <w:jc w:val="center"/>
              <w:rPr>
                <w:rFonts w:ascii="宋体" w:hAnsi="宋体" w:cs="宋体"/>
                <w:color w:val="000000"/>
                <w:kern w:val="0"/>
                <w:sz w:val="22"/>
                <w:szCs w:val="22"/>
              </w:rPr>
            </w:pPr>
          </w:p>
        </w:tc>
        <w:tc>
          <w:tcPr>
            <w:tcW w:w="182" w:type="pc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207" w:type="pc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1518"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完成项目计划工作目标的实际节约成本与计划成本的比率，用以反映和考核项目的成本节约程度。</w:t>
            </w:r>
          </w:p>
        </w:tc>
        <w:tc>
          <w:tcPr>
            <w:tcW w:w="2301"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成本节约率=[（计划成本-实际成本）/计划成本]×100%。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实际成本：项目实施单位如期、保质、保量完成既定工作目标实际所耗费的支出。</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计划成本：项目实施单位为完成工作目标计划安排的支出，一般以项目预算为参考。</w:t>
            </w:r>
          </w:p>
        </w:tc>
        <w:tc>
          <w:tcPr>
            <w:tcW w:w="299"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 xml:space="preserve">  10</w:t>
            </w:r>
          </w:p>
        </w:tc>
        <w:tc>
          <w:tcPr>
            <w:tcW w:w="311"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 xml:space="preserve"> 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81" w:type="pct"/>
            <w:vMerge w:val="restar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效益　</w:t>
            </w:r>
          </w:p>
        </w:tc>
        <w:tc>
          <w:tcPr>
            <w:tcW w:w="182" w:type="pct"/>
            <w:vMerge w:val="restar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207" w:type="pc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实施效益</w:t>
            </w:r>
          </w:p>
        </w:tc>
        <w:tc>
          <w:tcPr>
            <w:tcW w:w="1518" w:type="pct"/>
            <w:shd w:val="clear" w:color="auto" w:fill="FFFFFF"/>
            <w:noWrap/>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项目实施所产生的效益。</w:t>
            </w:r>
          </w:p>
        </w:tc>
        <w:tc>
          <w:tcPr>
            <w:tcW w:w="2301" w:type="pct"/>
            <w:shd w:val="clear" w:color="auto"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项目实施所产生的社会效益、经济效益、生态效益、可持续影响等。可根据项目实际情况有选择地设置和细化。</w:t>
            </w:r>
          </w:p>
        </w:tc>
        <w:tc>
          <w:tcPr>
            <w:tcW w:w="299" w:type="pct"/>
            <w:shd w:val="clear" w:color="auto"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 xml:space="preserve">  30</w:t>
            </w:r>
          </w:p>
        </w:tc>
        <w:tc>
          <w:tcPr>
            <w:tcW w:w="311" w:type="pct"/>
            <w:shd w:val="clear" w:color="auto"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 xml:space="preserve">  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81" w:type="pct"/>
            <w:vMerge w:val="continue"/>
            <w:shd w:val="clear" w:color="auto" w:fill="FFFFFF"/>
            <w:noWrap/>
            <w:vAlign w:val="center"/>
          </w:tcPr>
          <w:p>
            <w:pPr>
              <w:widowControl/>
              <w:spacing w:line="0" w:lineRule="atLeast"/>
              <w:jc w:val="center"/>
              <w:rPr>
                <w:rFonts w:ascii="宋体" w:hAnsi="宋体" w:cs="宋体"/>
                <w:color w:val="000000"/>
                <w:kern w:val="0"/>
                <w:sz w:val="22"/>
                <w:szCs w:val="22"/>
              </w:rPr>
            </w:pPr>
          </w:p>
        </w:tc>
        <w:tc>
          <w:tcPr>
            <w:tcW w:w="182" w:type="pct"/>
            <w:vMerge w:val="continue"/>
            <w:shd w:val="clear" w:color="auto" w:fill="FFFFFF"/>
            <w:noWrap/>
            <w:vAlign w:val="center"/>
          </w:tcPr>
          <w:p>
            <w:pPr>
              <w:widowControl/>
              <w:spacing w:line="0" w:lineRule="atLeast"/>
              <w:jc w:val="center"/>
              <w:rPr>
                <w:rFonts w:ascii="宋体" w:hAnsi="宋体" w:cs="宋体"/>
                <w:color w:val="000000"/>
                <w:kern w:val="0"/>
                <w:sz w:val="22"/>
                <w:szCs w:val="22"/>
              </w:rPr>
            </w:pPr>
          </w:p>
        </w:tc>
        <w:tc>
          <w:tcPr>
            <w:tcW w:w="207" w:type="pc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1518"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社会公众或服务对象对项目实施效果的满意程度。</w:t>
            </w:r>
          </w:p>
        </w:tc>
        <w:tc>
          <w:tcPr>
            <w:tcW w:w="2301"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社会公众或服务对象是指因该项目实施而受到影响的部门（单位）、群体或个人。一般采取社会调查的方式。</w:t>
            </w:r>
          </w:p>
        </w:tc>
        <w:tc>
          <w:tcPr>
            <w:tcW w:w="299"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 xml:space="preserve">  10</w:t>
            </w:r>
          </w:p>
        </w:tc>
        <w:tc>
          <w:tcPr>
            <w:tcW w:w="311" w:type="pct"/>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 xml:space="preserve">  10</w:t>
            </w:r>
          </w:p>
        </w:tc>
      </w:tr>
    </w:tbl>
    <w:p>
      <w:pPr>
        <w:sectPr>
          <w:pgSz w:w="16838" w:h="11906" w:orient="landscape"/>
          <w:pgMar w:top="1800" w:right="1440" w:bottom="1558" w:left="1440" w:header="851" w:footer="992" w:gutter="0"/>
          <w:cols w:space="425" w:num="1"/>
          <w:docGrid w:type="lines" w:linePitch="312" w:charSpace="0"/>
        </w:sectPr>
      </w:pPr>
    </w:p>
    <w:tbl>
      <w:tblPr>
        <w:tblStyle w:val="9"/>
        <w:tblW w:w="8680" w:type="dxa"/>
        <w:tblInd w:w="96" w:type="dxa"/>
        <w:shd w:val="clear" w:color="auto" w:fill="auto"/>
        <w:tblLayout w:type="fixed"/>
        <w:tblCellMar>
          <w:top w:w="0" w:type="dxa"/>
          <w:left w:w="108" w:type="dxa"/>
          <w:bottom w:w="0" w:type="dxa"/>
          <w:right w:w="108" w:type="dxa"/>
        </w:tblCellMar>
      </w:tblPr>
      <w:tblGrid>
        <w:gridCol w:w="663"/>
        <w:gridCol w:w="976"/>
        <w:gridCol w:w="947"/>
        <w:gridCol w:w="240"/>
        <w:gridCol w:w="813"/>
        <w:gridCol w:w="1125"/>
        <w:gridCol w:w="1607"/>
        <w:gridCol w:w="2309"/>
      </w:tblGrid>
      <w:tr>
        <w:tblPrEx>
          <w:shd w:val="clear" w:color="auto" w:fill="auto"/>
          <w:tblCellMar>
            <w:top w:w="0" w:type="dxa"/>
            <w:left w:w="108" w:type="dxa"/>
            <w:bottom w:w="0" w:type="dxa"/>
            <w:right w:w="108" w:type="dxa"/>
          </w:tblCellMar>
        </w:tblPrEx>
        <w:trPr>
          <w:trHeight w:val="1178" w:hRule="atLeast"/>
        </w:trPr>
        <w:tc>
          <w:tcPr>
            <w:tcW w:w="8680" w:type="dxa"/>
            <w:gridSpan w:val="8"/>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方正小标宋简体" w:hAnsi="方正小标宋简体" w:eastAsia="方正小标宋简体" w:cs="方正小标宋简体"/>
                <w:b/>
                <w:i w:val="0"/>
                <w:color w:val="000000"/>
                <w:kern w:val="0"/>
                <w:sz w:val="44"/>
                <w:szCs w:val="44"/>
                <w:u w:val="none"/>
                <w:lang w:val="en-US" w:eastAsia="zh-CN" w:bidi="ar"/>
              </w:rPr>
              <w:t>项目支出绩效自评表</w:t>
            </w:r>
          </w:p>
        </w:tc>
      </w:tr>
      <w:tr>
        <w:tblPrEx>
          <w:shd w:val="clear" w:color="auto" w:fill="auto"/>
          <w:tblCellMar>
            <w:top w:w="0" w:type="dxa"/>
            <w:left w:w="108" w:type="dxa"/>
            <w:bottom w:w="0" w:type="dxa"/>
            <w:right w:w="108" w:type="dxa"/>
          </w:tblCellMar>
        </w:tblPrEx>
        <w:trPr>
          <w:trHeight w:val="589" w:hRule="atLeast"/>
        </w:trPr>
        <w:tc>
          <w:tcPr>
            <w:tcW w:w="8680" w:type="dxa"/>
            <w:gridSpan w:val="8"/>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   2020 年度）</w:t>
            </w:r>
          </w:p>
        </w:tc>
      </w:tr>
      <w:tr>
        <w:tblPrEx>
          <w:shd w:val="clear" w:color="auto" w:fill="auto"/>
          <w:tblCellMar>
            <w:top w:w="0" w:type="dxa"/>
            <w:left w:w="108" w:type="dxa"/>
            <w:bottom w:w="0" w:type="dxa"/>
            <w:right w:w="108" w:type="dxa"/>
          </w:tblCellMar>
        </w:tblPrEx>
        <w:trPr>
          <w:trHeight w:val="589" w:hRule="atLeast"/>
        </w:trPr>
        <w:tc>
          <w:tcPr>
            <w:tcW w:w="8680" w:type="dxa"/>
            <w:gridSpan w:val="8"/>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shd w:val="clear" w:color="auto" w:fill="auto"/>
          <w:tblCellMar>
            <w:top w:w="0" w:type="dxa"/>
            <w:left w:w="108" w:type="dxa"/>
            <w:bottom w:w="0" w:type="dxa"/>
            <w:right w:w="108" w:type="dxa"/>
          </w:tblCellMar>
        </w:tblPrEx>
        <w:trPr>
          <w:trHeight w:val="608" w:hRule="atLeast"/>
        </w:trPr>
        <w:tc>
          <w:tcPr>
            <w:tcW w:w="16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项目名称</w:t>
            </w:r>
          </w:p>
        </w:tc>
        <w:tc>
          <w:tcPr>
            <w:tcW w:w="704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大型工程机械监管平台网络环境租赁费</w:t>
            </w:r>
          </w:p>
        </w:tc>
      </w:tr>
      <w:tr>
        <w:tblPrEx>
          <w:shd w:val="clear" w:color="auto" w:fill="auto"/>
          <w:tblCellMar>
            <w:top w:w="0" w:type="dxa"/>
            <w:left w:w="108" w:type="dxa"/>
            <w:bottom w:w="0" w:type="dxa"/>
            <w:right w:w="108" w:type="dxa"/>
          </w:tblCellMar>
        </w:tblPrEx>
        <w:trPr>
          <w:trHeight w:val="1198" w:hRule="atLeast"/>
        </w:trPr>
        <w:tc>
          <w:tcPr>
            <w:tcW w:w="16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主管部门</w:t>
            </w:r>
          </w:p>
        </w:tc>
        <w:tc>
          <w:tcPr>
            <w:tcW w:w="31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实施单位</w:t>
            </w:r>
          </w:p>
        </w:tc>
        <w:tc>
          <w:tcPr>
            <w:tcW w:w="2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塔城地区农业农村机械化发展中心</w:t>
            </w:r>
          </w:p>
        </w:tc>
      </w:tr>
      <w:tr>
        <w:tblPrEx>
          <w:shd w:val="clear" w:color="auto" w:fill="auto"/>
          <w:tblCellMar>
            <w:top w:w="0" w:type="dxa"/>
            <w:left w:w="108" w:type="dxa"/>
            <w:bottom w:w="0" w:type="dxa"/>
            <w:right w:w="108" w:type="dxa"/>
          </w:tblCellMar>
        </w:tblPrEx>
        <w:trPr>
          <w:trHeight w:val="1198" w:hRule="atLeast"/>
        </w:trPr>
        <w:tc>
          <w:tcPr>
            <w:tcW w:w="163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项目资金</w:t>
            </w:r>
          </w:p>
        </w:tc>
        <w:tc>
          <w:tcPr>
            <w:tcW w:w="947" w:type="dxa"/>
            <w:tcBorders>
              <w:top w:val="single" w:color="auto" w:sz="4" w:space="0"/>
              <w:left w:val="single" w:color="auto" w:sz="4" w:space="0"/>
              <w:bottom w:val="single" w:color="auto" w:sz="4" w:space="0"/>
              <w:right w:val="nil"/>
            </w:tcBorders>
            <w:shd w:val="clear" w:color="auto" w:fill="auto"/>
            <w:noWrap/>
            <w:vAlign w:val="bottom"/>
          </w:tcPr>
          <w:p>
            <w:pPr>
              <w:rPr>
                <w:rFonts w:hint="eastAsia" w:ascii="宋体" w:hAnsi="宋体" w:eastAsia="宋体" w:cs="宋体"/>
                <w:i w:val="0"/>
                <w:iCs w:val="0"/>
                <w:color w:val="000000"/>
                <w:sz w:val="21"/>
                <w:szCs w:val="21"/>
                <w:u w:val="none"/>
              </w:rPr>
            </w:pPr>
          </w:p>
        </w:tc>
        <w:tc>
          <w:tcPr>
            <w:tcW w:w="240" w:type="dxa"/>
            <w:tcBorders>
              <w:top w:val="single" w:color="auto" w:sz="4" w:space="0"/>
              <w:left w:val="nil"/>
              <w:bottom w:val="single" w:color="auto" w:sz="4" w:space="0"/>
              <w:right w:val="single" w:color="auto" w:sz="4" w:space="0"/>
            </w:tcBorders>
            <w:shd w:val="clear" w:color="auto" w:fill="auto"/>
            <w:noWrap/>
            <w:vAlign w:val="bottom"/>
          </w:tcPr>
          <w:p>
            <w:pPr>
              <w:rPr>
                <w:rFonts w:hint="eastAsia" w:ascii="宋体" w:hAnsi="宋体" w:eastAsia="宋体" w:cs="宋体"/>
                <w:sz w:val="21"/>
                <w:szCs w:val="21"/>
              </w:rPr>
            </w:pPr>
          </w:p>
        </w:tc>
        <w:tc>
          <w:tcPr>
            <w:tcW w:w="81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年初预算数</w:t>
            </w:r>
          </w:p>
        </w:tc>
        <w:tc>
          <w:tcPr>
            <w:tcW w:w="112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全年预算数</w:t>
            </w:r>
          </w:p>
        </w:tc>
        <w:tc>
          <w:tcPr>
            <w:tcW w:w="1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全年执行数</w:t>
            </w:r>
          </w:p>
        </w:tc>
        <w:tc>
          <w:tcPr>
            <w:tcW w:w="2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执行率</w:t>
            </w:r>
          </w:p>
        </w:tc>
      </w:tr>
      <w:tr>
        <w:tblPrEx>
          <w:shd w:val="clear" w:color="auto" w:fill="auto"/>
          <w:tblCellMar>
            <w:top w:w="0" w:type="dxa"/>
            <w:left w:w="108" w:type="dxa"/>
            <w:bottom w:w="0" w:type="dxa"/>
            <w:right w:w="108" w:type="dxa"/>
          </w:tblCellMar>
        </w:tblPrEx>
        <w:trPr>
          <w:trHeight w:val="1198" w:hRule="atLeast"/>
        </w:trPr>
        <w:tc>
          <w:tcPr>
            <w:tcW w:w="1639"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（万元）</w:t>
            </w:r>
          </w:p>
        </w:tc>
        <w:tc>
          <w:tcPr>
            <w:tcW w:w="947"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年度资金总额</w:t>
            </w:r>
          </w:p>
        </w:tc>
        <w:tc>
          <w:tcPr>
            <w:tcW w:w="1053"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30.6</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30.6</w:t>
            </w:r>
          </w:p>
        </w:tc>
        <w:tc>
          <w:tcPr>
            <w:tcW w:w="1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30.6</w:t>
            </w:r>
          </w:p>
        </w:tc>
        <w:tc>
          <w:tcPr>
            <w:tcW w:w="2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100.00%</w:t>
            </w:r>
          </w:p>
        </w:tc>
      </w:tr>
      <w:tr>
        <w:tblPrEx>
          <w:shd w:val="clear" w:color="auto" w:fill="auto"/>
          <w:tblCellMar>
            <w:top w:w="0" w:type="dxa"/>
            <w:left w:w="108" w:type="dxa"/>
            <w:bottom w:w="0" w:type="dxa"/>
            <w:right w:w="108" w:type="dxa"/>
          </w:tblCellMar>
        </w:tblPrEx>
        <w:trPr>
          <w:trHeight w:val="1787" w:hRule="atLeast"/>
        </w:trPr>
        <w:tc>
          <w:tcPr>
            <w:tcW w:w="16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其中：当年财政拨款</w:t>
            </w:r>
          </w:p>
        </w:tc>
        <w:tc>
          <w:tcPr>
            <w:tcW w:w="1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30.60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30.60</w:t>
            </w:r>
          </w:p>
        </w:tc>
        <w:tc>
          <w:tcPr>
            <w:tcW w:w="1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30.60</w:t>
            </w:r>
          </w:p>
        </w:tc>
        <w:tc>
          <w:tcPr>
            <w:tcW w:w="2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tblPrEx>
          <w:shd w:val="clear" w:color="auto" w:fill="auto"/>
          <w:tblCellMar>
            <w:top w:w="0" w:type="dxa"/>
            <w:left w:w="108" w:type="dxa"/>
            <w:bottom w:w="0" w:type="dxa"/>
            <w:right w:w="108" w:type="dxa"/>
          </w:tblCellMar>
        </w:tblPrEx>
        <w:trPr>
          <w:trHeight w:val="1787" w:hRule="atLeast"/>
        </w:trPr>
        <w:tc>
          <w:tcPr>
            <w:tcW w:w="16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      上年结转资金</w:t>
            </w:r>
          </w:p>
        </w:tc>
        <w:tc>
          <w:tcPr>
            <w:tcW w:w="1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1"/>
                <w:szCs w:val="21"/>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0</w:t>
            </w:r>
          </w:p>
        </w:tc>
        <w:tc>
          <w:tcPr>
            <w:tcW w:w="1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0</w:t>
            </w:r>
          </w:p>
        </w:tc>
        <w:tc>
          <w:tcPr>
            <w:tcW w:w="2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tblPrEx>
          <w:shd w:val="clear" w:color="auto" w:fill="auto"/>
          <w:tblCellMar>
            <w:top w:w="0" w:type="dxa"/>
            <w:left w:w="108" w:type="dxa"/>
            <w:bottom w:w="0" w:type="dxa"/>
            <w:right w:w="108" w:type="dxa"/>
          </w:tblCellMar>
        </w:tblPrEx>
        <w:trPr>
          <w:trHeight w:val="1198" w:hRule="atLeast"/>
        </w:trPr>
        <w:tc>
          <w:tcPr>
            <w:tcW w:w="16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  其他资金</w:t>
            </w:r>
          </w:p>
        </w:tc>
        <w:tc>
          <w:tcPr>
            <w:tcW w:w="1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0</w:t>
            </w:r>
          </w:p>
        </w:tc>
        <w:tc>
          <w:tcPr>
            <w:tcW w:w="1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0</w:t>
            </w:r>
          </w:p>
        </w:tc>
        <w:tc>
          <w:tcPr>
            <w:tcW w:w="2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tblPrEx>
          <w:shd w:val="clear" w:color="auto" w:fill="auto"/>
          <w:tblCellMar>
            <w:top w:w="0" w:type="dxa"/>
            <w:left w:w="108" w:type="dxa"/>
            <w:bottom w:w="0" w:type="dxa"/>
            <w:right w:w="108" w:type="dxa"/>
          </w:tblCellMar>
        </w:tblPrEx>
        <w:trPr>
          <w:trHeight w:val="608" w:hRule="atLeast"/>
        </w:trPr>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年度总体目标</w:t>
            </w:r>
          </w:p>
        </w:tc>
        <w:tc>
          <w:tcPr>
            <w:tcW w:w="41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预期目标</w:t>
            </w:r>
          </w:p>
        </w:tc>
        <w:tc>
          <w:tcPr>
            <w:tcW w:w="3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实际完成情况</w:t>
            </w:r>
          </w:p>
        </w:tc>
      </w:tr>
      <w:tr>
        <w:tblPrEx>
          <w:shd w:val="clear" w:color="auto" w:fill="auto"/>
          <w:tblCellMar>
            <w:top w:w="0" w:type="dxa"/>
            <w:left w:w="108" w:type="dxa"/>
            <w:bottom w:w="0" w:type="dxa"/>
            <w:right w:w="108" w:type="dxa"/>
          </w:tblCellMar>
        </w:tblPrEx>
        <w:trPr>
          <w:trHeight w:val="3554" w:hRule="atLeast"/>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41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进一步推进大型工程机械设备和车辆安全监管，完善社会治安防控体系，切实履行好部门安全监管职责。</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1、注册登记大型工程机械</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2、办理大型机械持操作；</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3、监控大型机械设备安全运行。</w:t>
            </w:r>
          </w:p>
        </w:tc>
        <w:tc>
          <w:tcPr>
            <w:tcW w:w="3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进一步推进大型工程机械设备和车辆安全监管，完善社会治安防控体系，切实履行好部门安全监管职责。</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1、注册登记大型工程机械</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2、办理大型机械持操作；</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3、监控大型机械设备安全运行。</w:t>
            </w:r>
          </w:p>
        </w:tc>
      </w:tr>
      <w:tr>
        <w:tblPrEx>
          <w:shd w:val="clear" w:color="auto" w:fill="auto"/>
          <w:tblCellMar>
            <w:top w:w="0" w:type="dxa"/>
            <w:left w:w="108" w:type="dxa"/>
            <w:bottom w:w="0" w:type="dxa"/>
            <w:right w:w="108" w:type="dxa"/>
          </w:tblCellMar>
        </w:tblPrEx>
        <w:trPr>
          <w:trHeight w:val="662" w:hRule="atLeast"/>
        </w:trPr>
        <w:tc>
          <w:tcPr>
            <w:tcW w:w="663" w:type="dxa"/>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7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一级指标</w:t>
            </w:r>
          </w:p>
        </w:tc>
        <w:tc>
          <w:tcPr>
            <w:tcW w:w="94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二级指标</w:t>
            </w:r>
          </w:p>
        </w:tc>
        <w:tc>
          <w:tcPr>
            <w:tcW w:w="1053" w:type="dxa"/>
            <w:gridSpan w:val="2"/>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三级指标</w:t>
            </w:r>
          </w:p>
        </w:tc>
        <w:tc>
          <w:tcPr>
            <w:tcW w:w="1125"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年度指标值</w:t>
            </w:r>
          </w:p>
        </w:tc>
        <w:tc>
          <w:tcPr>
            <w:tcW w:w="16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实际完成值</w:t>
            </w:r>
          </w:p>
        </w:tc>
        <w:tc>
          <w:tcPr>
            <w:tcW w:w="230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偏差原因分析及改进措施</w:t>
            </w:r>
          </w:p>
        </w:tc>
      </w:tr>
      <w:tr>
        <w:tblPrEx>
          <w:shd w:val="clear" w:color="auto" w:fill="auto"/>
          <w:tblCellMar>
            <w:top w:w="0" w:type="dxa"/>
            <w:left w:w="108" w:type="dxa"/>
            <w:bottom w:w="0" w:type="dxa"/>
            <w:right w:w="108" w:type="dxa"/>
          </w:tblCellMar>
        </w:tblPrEx>
        <w:trPr>
          <w:trHeight w:val="1787" w:hRule="atLeast"/>
        </w:trPr>
        <w:tc>
          <w:tcPr>
            <w:tcW w:w="663"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年度绩效指标完成情况</w:t>
            </w:r>
          </w:p>
        </w:tc>
        <w:tc>
          <w:tcPr>
            <w:tcW w:w="976"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产出指标</w:t>
            </w:r>
          </w:p>
        </w:tc>
        <w:tc>
          <w:tcPr>
            <w:tcW w:w="947"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数量指标</w:t>
            </w:r>
          </w:p>
        </w:tc>
        <w:tc>
          <w:tcPr>
            <w:tcW w:w="1053" w:type="dxa"/>
            <w:gridSpan w:val="2"/>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注册登记大型工程机械</w:t>
            </w:r>
          </w:p>
        </w:tc>
        <w:tc>
          <w:tcPr>
            <w:tcW w:w="1125"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≥3500台</w:t>
            </w:r>
          </w:p>
        </w:tc>
        <w:tc>
          <w:tcPr>
            <w:tcW w:w="16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4100台</w:t>
            </w:r>
          </w:p>
        </w:tc>
        <w:tc>
          <w:tcPr>
            <w:tcW w:w="2309" w:type="dxa"/>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shd w:val="clear" w:color="auto" w:fill="auto"/>
          <w:tblCellMar>
            <w:top w:w="0" w:type="dxa"/>
            <w:left w:w="108" w:type="dxa"/>
            <w:bottom w:w="0" w:type="dxa"/>
            <w:right w:w="108" w:type="dxa"/>
          </w:tblCellMar>
        </w:tblPrEx>
        <w:trPr>
          <w:trHeight w:val="1787" w:hRule="atLeast"/>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办理大型机械持操作证件</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≥1700人</w:t>
            </w:r>
          </w:p>
        </w:tc>
        <w:tc>
          <w:tcPr>
            <w:tcW w:w="1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3500人</w:t>
            </w:r>
          </w:p>
        </w:tc>
        <w:tc>
          <w:tcPr>
            <w:tcW w:w="2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政策扶持，加大大型工程机械操作人员培训力度，实际培训人员超预期。</w:t>
            </w:r>
          </w:p>
        </w:tc>
      </w:tr>
      <w:tr>
        <w:tblPrEx>
          <w:shd w:val="clear" w:color="auto" w:fill="auto"/>
          <w:tblCellMar>
            <w:top w:w="0" w:type="dxa"/>
            <w:left w:w="108" w:type="dxa"/>
            <w:bottom w:w="0" w:type="dxa"/>
            <w:right w:w="108" w:type="dxa"/>
          </w:tblCellMar>
        </w:tblPrEx>
        <w:trPr>
          <w:trHeight w:val="1198" w:hRule="atLeast"/>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质量指标</w:t>
            </w:r>
          </w:p>
        </w:tc>
        <w:tc>
          <w:tcPr>
            <w:tcW w:w="1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注册登记覆盖率</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≥95%</w:t>
            </w:r>
          </w:p>
        </w:tc>
        <w:tc>
          <w:tcPr>
            <w:tcW w:w="1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95%</w:t>
            </w:r>
          </w:p>
        </w:tc>
        <w:tc>
          <w:tcPr>
            <w:tcW w:w="23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shd w:val="clear" w:color="auto" w:fill="auto"/>
          <w:tblCellMar>
            <w:top w:w="0" w:type="dxa"/>
            <w:left w:w="108" w:type="dxa"/>
            <w:bottom w:w="0" w:type="dxa"/>
            <w:right w:w="108" w:type="dxa"/>
          </w:tblCellMar>
        </w:tblPrEx>
        <w:trPr>
          <w:trHeight w:val="1198" w:hRule="atLeast"/>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时效指标</w:t>
            </w:r>
          </w:p>
        </w:tc>
        <w:tc>
          <w:tcPr>
            <w:tcW w:w="1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完成实时监控率</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=100%</w:t>
            </w:r>
          </w:p>
        </w:tc>
        <w:tc>
          <w:tcPr>
            <w:tcW w:w="1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80%</w:t>
            </w:r>
          </w:p>
        </w:tc>
        <w:tc>
          <w:tcPr>
            <w:tcW w:w="23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因平台功能尚未完全运行,暂不能完全实现实时监控。</w:t>
            </w:r>
          </w:p>
        </w:tc>
      </w:tr>
      <w:tr>
        <w:tblPrEx>
          <w:shd w:val="clear" w:color="auto" w:fill="auto"/>
          <w:tblCellMar>
            <w:top w:w="0" w:type="dxa"/>
            <w:left w:w="108" w:type="dxa"/>
            <w:bottom w:w="0" w:type="dxa"/>
            <w:right w:w="108" w:type="dxa"/>
          </w:tblCellMar>
        </w:tblPrEx>
        <w:trPr>
          <w:trHeight w:val="1787" w:hRule="atLeast"/>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登记证、操作证件完成及时率</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=100%</w:t>
            </w:r>
          </w:p>
        </w:tc>
        <w:tc>
          <w:tcPr>
            <w:tcW w:w="1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100%</w:t>
            </w:r>
          </w:p>
        </w:tc>
        <w:tc>
          <w:tcPr>
            <w:tcW w:w="23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shd w:val="clear" w:color="auto" w:fill="auto"/>
          <w:tblCellMar>
            <w:top w:w="0" w:type="dxa"/>
            <w:left w:w="108" w:type="dxa"/>
            <w:bottom w:w="0" w:type="dxa"/>
            <w:right w:w="108" w:type="dxa"/>
          </w:tblCellMar>
        </w:tblPrEx>
        <w:trPr>
          <w:trHeight w:val="1198" w:hRule="atLeast"/>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成本指标</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本年度推进成本</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≤30.6万元</w:t>
            </w:r>
          </w:p>
        </w:tc>
        <w:tc>
          <w:tcPr>
            <w:tcW w:w="1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30.6万元</w:t>
            </w:r>
          </w:p>
        </w:tc>
        <w:tc>
          <w:tcPr>
            <w:tcW w:w="23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shd w:val="clear" w:color="auto" w:fill="auto"/>
          <w:tblCellMar>
            <w:top w:w="0" w:type="dxa"/>
            <w:left w:w="108" w:type="dxa"/>
            <w:bottom w:w="0" w:type="dxa"/>
            <w:right w:w="108" w:type="dxa"/>
          </w:tblCellMar>
        </w:tblPrEx>
        <w:trPr>
          <w:trHeight w:val="1787" w:hRule="atLeast"/>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社会效益指标</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杜绝大型工程机械冲撞事件</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≤0起</w:t>
            </w:r>
          </w:p>
        </w:tc>
        <w:tc>
          <w:tcPr>
            <w:tcW w:w="1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0起</w:t>
            </w:r>
          </w:p>
        </w:tc>
        <w:tc>
          <w:tcPr>
            <w:tcW w:w="23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shd w:val="clear" w:color="auto" w:fill="auto"/>
          <w:tblCellMar>
            <w:top w:w="0" w:type="dxa"/>
            <w:left w:w="108" w:type="dxa"/>
            <w:bottom w:w="0" w:type="dxa"/>
            <w:right w:w="108" w:type="dxa"/>
          </w:tblCellMar>
        </w:tblPrEx>
        <w:trPr>
          <w:trHeight w:val="1787" w:hRule="atLeast"/>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生态效益指标</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监控大型机械设备对生态破坏</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=100%</w:t>
            </w:r>
          </w:p>
        </w:tc>
        <w:tc>
          <w:tcPr>
            <w:tcW w:w="1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100%</w:t>
            </w:r>
          </w:p>
        </w:tc>
        <w:tc>
          <w:tcPr>
            <w:tcW w:w="23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shd w:val="clear" w:color="auto" w:fill="auto"/>
          <w:tblCellMar>
            <w:top w:w="0" w:type="dxa"/>
            <w:left w:w="108" w:type="dxa"/>
            <w:bottom w:w="0" w:type="dxa"/>
            <w:right w:w="108" w:type="dxa"/>
          </w:tblCellMar>
        </w:tblPrEx>
        <w:trPr>
          <w:trHeight w:val="1787" w:hRule="atLeast"/>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76"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187"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可持续影响指标</w:t>
            </w:r>
          </w:p>
        </w:tc>
        <w:tc>
          <w:tcPr>
            <w:tcW w:w="81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大型工程机械设备监控率</w:t>
            </w:r>
          </w:p>
        </w:tc>
        <w:tc>
          <w:tcPr>
            <w:tcW w:w="112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逐年增加</w:t>
            </w:r>
          </w:p>
        </w:tc>
        <w:tc>
          <w:tcPr>
            <w:tcW w:w="1607"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有所增加</w:t>
            </w:r>
          </w:p>
        </w:tc>
        <w:tc>
          <w:tcPr>
            <w:tcW w:w="2309"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shd w:val="clear" w:color="auto" w:fill="auto"/>
          <w:tblCellMar>
            <w:top w:w="0" w:type="dxa"/>
            <w:left w:w="108" w:type="dxa"/>
            <w:bottom w:w="0" w:type="dxa"/>
            <w:right w:w="108" w:type="dxa"/>
          </w:tblCellMar>
        </w:tblPrEx>
        <w:trPr>
          <w:trHeight w:val="2965" w:hRule="atLeast"/>
        </w:trPr>
        <w:tc>
          <w:tcPr>
            <w:tcW w:w="663" w:type="dxa"/>
            <w:vMerge w:val="continue"/>
            <w:tcBorders>
              <w:top w:val="single" w:color="000000" w:sz="4" w:space="0"/>
              <w:left w:val="single" w:color="000000"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76"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满意度指标</w:t>
            </w:r>
          </w:p>
        </w:tc>
        <w:tc>
          <w:tcPr>
            <w:tcW w:w="1187" w:type="dxa"/>
            <w:gridSpan w:val="2"/>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服务对象满意度指标</w:t>
            </w:r>
          </w:p>
        </w:tc>
        <w:tc>
          <w:tcPr>
            <w:tcW w:w="813"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服务对象投诉起数</w:t>
            </w:r>
          </w:p>
        </w:tc>
        <w:tc>
          <w:tcPr>
            <w:tcW w:w="1125"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=0起</w:t>
            </w:r>
          </w:p>
        </w:tc>
        <w:tc>
          <w:tcPr>
            <w:tcW w:w="1607"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color w:val="000000"/>
                <w:kern w:val="0"/>
                <w:sz w:val="21"/>
                <w:szCs w:val="21"/>
                <w:u w:val="none"/>
                <w:lang w:val="en-US" w:eastAsia="zh-CN" w:bidi="ar"/>
              </w:rPr>
              <w:t>0起</w:t>
            </w:r>
          </w:p>
        </w:tc>
        <w:tc>
          <w:tcPr>
            <w:tcW w:w="2309" w:type="dxa"/>
            <w:tcBorders>
              <w:top w:val="single" w:color="auto" w:sz="4" w:space="0"/>
              <w:left w:val="single" w:color="000000"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shd w:val="clear" w:color="auto" w:fill="auto"/>
          <w:tblCellMar>
            <w:top w:w="0" w:type="dxa"/>
            <w:left w:w="108" w:type="dxa"/>
            <w:bottom w:w="0" w:type="dxa"/>
            <w:right w:w="108" w:type="dxa"/>
          </w:tblCellMar>
        </w:tblPrEx>
        <w:trPr>
          <w:trHeight w:val="1163" w:hRule="atLeast"/>
        </w:trPr>
        <w:tc>
          <w:tcPr>
            <w:tcW w:w="8680" w:type="dxa"/>
            <w:gridSpan w:val="8"/>
            <w:tcBorders>
              <w:top w:val="single" w:color="auto" w:sz="4"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bl>
    <w:p>
      <w:pPr>
        <w:spacing w:line="600" w:lineRule="exact"/>
        <w:rPr>
          <w:rFonts w:ascii="方正黑体_GBK" w:hAnsi="黑体" w:eastAsia="方正黑体_GBK"/>
          <w:color w:val="000000" w:themeColor="text1"/>
          <w:sz w:val="32"/>
          <w:szCs w:val="32"/>
          <w14:textFill>
            <w14:solidFill>
              <w14:schemeClr w14:val="tx1"/>
            </w14:solidFill>
          </w14:textFill>
        </w:rPr>
      </w:pPr>
    </w:p>
    <w:sectPr>
      <w:footerReference r:id="rId4" w:type="default"/>
      <w:footerReference r:id="rId5" w:type="even"/>
      <w:pgSz w:w="11906" w:h="16838"/>
      <w:pgMar w:top="2098" w:right="1531" w:bottom="1985" w:left="1531" w:header="851" w:footer="992" w:gutter="0"/>
      <w:pgNumType w:fmt="numberInDash"/>
      <w:cols w:space="720" w:num="1"/>
      <w:docGrid w:type="lines" w:linePitch="579"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方正仿宋_GBK">
    <w:altName w:val="微软雅黑"/>
    <w:panose1 w:val="00000000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黑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5"/>
          <w:jc w:val="center"/>
        </w:pPr>
        <w:r>
          <w:fldChar w:fldCharType="begin"/>
        </w:r>
        <w:r>
          <w:instrText xml:space="preserve">PAGE   \* MERGEFORMAT</w:instrText>
        </w:r>
        <w:r>
          <w:fldChar w:fldCharType="separate"/>
        </w:r>
        <w:r>
          <w:rPr>
            <w:lang w:val="zh-CN"/>
          </w:rPr>
          <w:t>19</w:t>
        </w:r>
        <w:r>
          <w:rPr>
            <w:lang w:val="zh-CN"/>
          </w:rPr>
          <w:fldChar w:fldCharType="end"/>
        </w:r>
      </w:p>
    </w:sdtContent>
  </w:sdt>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right"/>
      <w:rPr>
        <w:rFonts w:ascii="方正仿宋_GBK" w:eastAsia="方正仿宋_GBK"/>
        <w:sz w:val="28"/>
        <w:szCs w:val="28"/>
      </w:rPr>
    </w:pPr>
    <w:r>
      <w:rPr>
        <w:rFonts w:hint="eastAsia" w:ascii="方正仿宋_GBK" w:eastAsia="方正仿宋_GBK"/>
        <w:sz w:val="28"/>
        <w:szCs w:val="28"/>
      </w:rPr>
      <w:t>—1—</w:t>
    </w:r>
  </w:p>
  <w:p>
    <w:pPr>
      <w:pStyle w:val="5"/>
      <w:jc w:val="right"/>
      <w:rPr>
        <w:rFonts w:ascii="宋体" w:hAnsi="宋体" w:eastAsia="宋体"/>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方正仿宋_GBK" w:eastAsia="方正仿宋_GBK"/>
        <w:sz w:val="28"/>
        <w:szCs w:val="28"/>
      </w:rPr>
    </w:pPr>
    <w:r>
      <w:rPr>
        <w:rFonts w:hint="eastAsia" w:ascii="方正仿宋_GBK" w:eastAsia="方正仿宋_GBK"/>
        <w:sz w:val="28"/>
        <w:szCs w:val="28"/>
      </w:rPr>
      <w:t>—2—</w:t>
    </w:r>
  </w:p>
  <w:p>
    <w:pPr>
      <w:pStyle w:val="5"/>
      <w:ind w:right="360"/>
      <w:rPr>
        <w:rFonts w:ascii="宋体" w:hAnsi="宋体" w:eastAsia="宋体"/>
        <w:sz w:val="28"/>
        <w:szCs w:val="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AFBDEB0"/>
    <w:multiLevelType w:val="singleLevel"/>
    <w:tmpl w:val="DAFBDEB0"/>
    <w:lvl w:ilvl="0" w:tentative="0">
      <w:start w:val="4"/>
      <w:numFmt w:val="decimal"/>
      <w:suff w:val="nothing"/>
      <w:lvlText w:val="（%1）"/>
      <w:lvlJc w:val="left"/>
    </w:lvl>
  </w:abstractNum>
  <w:abstractNum w:abstractNumId="2">
    <w:nsid w:val="DEF60FE1"/>
    <w:multiLevelType w:val="singleLevel"/>
    <w:tmpl w:val="DEF60FE1"/>
    <w:lvl w:ilvl="0" w:tentative="0">
      <w:start w:val="1"/>
      <w:numFmt w:val="decimal"/>
      <w:suff w:val="nothing"/>
      <w:lvlText w:val="（%1）"/>
      <w:lvlJc w:val="left"/>
    </w:lvl>
  </w:abstractNum>
  <w:abstractNum w:abstractNumId="3">
    <w:nsid w:val="EE5C6BF8"/>
    <w:multiLevelType w:val="singleLevel"/>
    <w:tmpl w:val="EE5C6BF8"/>
    <w:lvl w:ilvl="0" w:tentative="0">
      <w:start w:val="2"/>
      <w:numFmt w:val="decimal"/>
      <w:suff w:val="nothing"/>
      <w:lvlText w:val="%1、"/>
      <w:lvlJc w:val="left"/>
    </w:lvl>
  </w:abstractNum>
  <w:abstractNum w:abstractNumId="4">
    <w:nsid w:val="FF4BB6DE"/>
    <w:multiLevelType w:val="singleLevel"/>
    <w:tmpl w:val="FF4BB6DE"/>
    <w:lvl w:ilvl="0" w:tentative="0">
      <w:start w:val="1"/>
      <w:numFmt w:val="decimal"/>
      <w:suff w:val="nothing"/>
      <w:lvlText w:val="%1、"/>
      <w:lvlJc w:val="left"/>
    </w:lvl>
  </w:abstractNum>
  <w:abstractNum w:abstractNumId="5">
    <w:nsid w:val="FF9379A8"/>
    <w:multiLevelType w:val="singleLevel"/>
    <w:tmpl w:val="FF9379A8"/>
    <w:lvl w:ilvl="0" w:tentative="0">
      <w:start w:val="2"/>
      <w:numFmt w:val="chineseCounting"/>
      <w:suff w:val="nothing"/>
      <w:lvlText w:val="（%1）"/>
      <w:lvlJc w:val="left"/>
      <w:rPr>
        <w:rFonts w:hint="eastAsia"/>
      </w:rPr>
    </w:lvl>
  </w:abstractNum>
  <w:abstractNum w:abstractNumId="6">
    <w:nsid w:val="116B29BF"/>
    <w:multiLevelType w:val="singleLevel"/>
    <w:tmpl w:val="116B29BF"/>
    <w:lvl w:ilvl="0" w:tentative="0">
      <w:start w:val="3"/>
      <w:numFmt w:val="chineseCounting"/>
      <w:suff w:val="nothing"/>
      <w:lvlText w:val="%1、"/>
      <w:lvlJc w:val="left"/>
      <w:rPr>
        <w:rFonts w:hint="eastAsia"/>
      </w:rPr>
    </w:lvl>
  </w:abstractNum>
  <w:abstractNum w:abstractNumId="7">
    <w:nsid w:val="3730CCE4"/>
    <w:multiLevelType w:val="singleLevel"/>
    <w:tmpl w:val="3730CCE4"/>
    <w:lvl w:ilvl="0" w:tentative="0">
      <w:start w:val="2"/>
      <w:numFmt w:val="decimal"/>
      <w:suff w:val="nothing"/>
      <w:lvlText w:val="（%1）"/>
      <w:lvlJc w:val="left"/>
    </w:lvl>
  </w:abstractNum>
  <w:abstractNum w:abstractNumId="8">
    <w:nsid w:val="6FAA0AB1"/>
    <w:multiLevelType w:val="singleLevel"/>
    <w:tmpl w:val="6FAA0AB1"/>
    <w:lvl w:ilvl="0" w:tentative="0">
      <w:start w:val="2"/>
      <w:numFmt w:val="chineseCounting"/>
      <w:suff w:val="nothing"/>
      <w:lvlText w:val="（%1）"/>
      <w:lvlJc w:val="left"/>
      <w:rPr>
        <w:rFonts w:hint="eastAsia"/>
      </w:rPr>
    </w:lvl>
  </w:abstractNum>
  <w:num w:numId="1">
    <w:abstractNumId w:val="7"/>
  </w:num>
  <w:num w:numId="2">
    <w:abstractNumId w:val="3"/>
  </w:num>
  <w:num w:numId="3">
    <w:abstractNumId w:val="2"/>
  </w:num>
  <w:num w:numId="4">
    <w:abstractNumId w:val="6"/>
  </w:num>
  <w:num w:numId="5">
    <w:abstractNumId w:val="8"/>
  </w:num>
  <w:num w:numId="6">
    <w:abstractNumId w:val="1"/>
  </w:num>
  <w:num w:numId="7">
    <w:abstractNumId w:val="5"/>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058"/>
    <w:rsid w:val="0001741C"/>
    <w:rsid w:val="0002562E"/>
    <w:rsid w:val="00076708"/>
    <w:rsid w:val="00093741"/>
    <w:rsid w:val="000C2C5E"/>
    <w:rsid w:val="000D569B"/>
    <w:rsid w:val="000F1681"/>
    <w:rsid w:val="000F4112"/>
    <w:rsid w:val="000F5617"/>
    <w:rsid w:val="00112986"/>
    <w:rsid w:val="00117D6E"/>
    <w:rsid w:val="00121D92"/>
    <w:rsid w:val="00123786"/>
    <w:rsid w:val="00131DA1"/>
    <w:rsid w:val="00147BD5"/>
    <w:rsid w:val="001734CD"/>
    <w:rsid w:val="00187676"/>
    <w:rsid w:val="001954F7"/>
    <w:rsid w:val="001A6BB2"/>
    <w:rsid w:val="001A6BF1"/>
    <w:rsid w:val="001C1237"/>
    <w:rsid w:val="002133FE"/>
    <w:rsid w:val="00214328"/>
    <w:rsid w:val="00214C03"/>
    <w:rsid w:val="00240A02"/>
    <w:rsid w:val="002425E3"/>
    <w:rsid w:val="00294AD4"/>
    <w:rsid w:val="002A77DA"/>
    <w:rsid w:val="002D2A8B"/>
    <w:rsid w:val="002E7021"/>
    <w:rsid w:val="00303053"/>
    <w:rsid w:val="003038CA"/>
    <w:rsid w:val="00353DCD"/>
    <w:rsid w:val="0035591F"/>
    <w:rsid w:val="00370ECB"/>
    <w:rsid w:val="003C32A7"/>
    <w:rsid w:val="003D528B"/>
    <w:rsid w:val="003E3F62"/>
    <w:rsid w:val="003F29C1"/>
    <w:rsid w:val="003F43FA"/>
    <w:rsid w:val="00407681"/>
    <w:rsid w:val="004118F7"/>
    <w:rsid w:val="0046066B"/>
    <w:rsid w:val="00483A9A"/>
    <w:rsid w:val="0048690F"/>
    <w:rsid w:val="004B34CF"/>
    <w:rsid w:val="004B6D4A"/>
    <w:rsid w:val="004E09B3"/>
    <w:rsid w:val="004E12A0"/>
    <w:rsid w:val="004E3B9B"/>
    <w:rsid w:val="005B5E03"/>
    <w:rsid w:val="005C1655"/>
    <w:rsid w:val="005D2F2D"/>
    <w:rsid w:val="006019AA"/>
    <w:rsid w:val="00621C4A"/>
    <w:rsid w:val="00645C0C"/>
    <w:rsid w:val="00651E21"/>
    <w:rsid w:val="00665D08"/>
    <w:rsid w:val="0067351E"/>
    <w:rsid w:val="006767F1"/>
    <w:rsid w:val="006A7EE1"/>
    <w:rsid w:val="006B0527"/>
    <w:rsid w:val="006C323A"/>
    <w:rsid w:val="006D0058"/>
    <w:rsid w:val="006D391A"/>
    <w:rsid w:val="006F5B1F"/>
    <w:rsid w:val="006F6FFC"/>
    <w:rsid w:val="00714386"/>
    <w:rsid w:val="00720E65"/>
    <w:rsid w:val="00725034"/>
    <w:rsid w:val="007B5E1B"/>
    <w:rsid w:val="007E5AE1"/>
    <w:rsid w:val="007E6B9F"/>
    <w:rsid w:val="0080213D"/>
    <w:rsid w:val="0081611C"/>
    <w:rsid w:val="00834079"/>
    <w:rsid w:val="00852A2A"/>
    <w:rsid w:val="008B2B87"/>
    <w:rsid w:val="008B67E6"/>
    <w:rsid w:val="008C1578"/>
    <w:rsid w:val="008F6E3C"/>
    <w:rsid w:val="00913A39"/>
    <w:rsid w:val="00913CA3"/>
    <w:rsid w:val="00927E62"/>
    <w:rsid w:val="00A0063C"/>
    <w:rsid w:val="00A27BB2"/>
    <w:rsid w:val="00A54E00"/>
    <w:rsid w:val="00A75509"/>
    <w:rsid w:val="00A819B7"/>
    <w:rsid w:val="00AC1E62"/>
    <w:rsid w:val="00AD5D6F"/>
    <w:rsid w:val="00B27295"/>
    <w:rsid w:val="00B33804"/>
    <w:rsid w:val="00B703DD"/>
    <w:rsid w:val="00B74C30"/>
    <w:rsid w:val="00B7700D"/>
    <w:rsid w:val="00BE64B5"/>
    <w:rsid w:val="00C065F0"/>
    <w:rsid w:val="00C24D36"/>
    <w:rsid w:val="00C83E80"/>
    <w:rsid w:val="00CA03C9"/>
    <w:rsid w:val="00CE344E"/>
    <w:rsid w:val="00CF76B6"/>
    <w:rsid w:val="00D23E01"/>
    <w:rsid w:val="00D2715E"/>
    <w:rsid w:val="00D42203"/>
    <w:rsid w:val="00D633B4"/>
    <w:rsid w:val="00D738B5"/>
    <w:rsid w:val="00DA3D46"/>
    <w:rsid w:val="00DC05F0"/>
    <w:rsid w:val="00DF610C"/>
    <w:rsid w:val="00E41C12"/>
    <w:rsid w:val="00E57EF8"/>
    <w:rsid w:val="00E74427"/>
    <w:rsid w:val="00E877A5"/>
    <w:rsid w:val="00E9050D"/>
    <w:rsid w:val="00E9328C"/>
    <w:rsid w:val="00EB5FE4"/>
    <w:rsid w:val="00ED0135"/>
    <w:rsid w:val="00F0223E"/>
    <w:rsid w:val="00F03CC2"/>
    <w:rsid w:val="00F05EA6"/>
    <w:rsid w:val="00F210D8"/>
    <w:rsid w:val="00F41F54"/>
    <w:rsid w:val="00F43332"/>
    <w:rsid w:val="00F810AC"/>
    <w:rsid w:val="00FA1C2F"/>
    <w:rsid w:val="00FC6347"/>
    <w:rsid w:val="00FE0A73"/>
    <w:rsid w:val="017C3B97"/>
    <w:rsid w:val="01E03153"/>
    <w:rsid w:val="09B844DC"/>
    <w:rsid w:val="0A02234A"/>
    <w:rsid w:val="0EE7019A"/>
    <w:rsid w:val="0FD037CA"/>
    <w:rsid w:val="156A48EC"/>
    <w:rsid w:val="16673643"/>
    <w:rsid w:val="1D7D4B22"/>
    <w:rsid w:val="26BB11CB"/>
    <w:rsid w:val="274345FD"/>
    <w:rsid w:val="27C57FD9"/>
    <w:rsid w:val="28675CD6"/>
    <w:rsid w:val="289B6F59"/>
    <w:rsid w:val="2AC072C3"/>
    <w:rsid w:val="2AD5606F"/>
    <w:rsid w:val="30596C93"/>
    <w:rsid w:val="34ED7736"/>
    <w:rsid w:val="3CE1532E"/>
    <w:rsid w:val="415965CD"/>
    <w:rsid w:val="41BA6F48"/>
    <w:rsid w:val="43573D49"/>
    <w:rsid w:val="468C0117"/>
    <w:rsid w:val="4748519A"/>
    <w:rsid w:val="4DE7555F"/>
    <w:rsid w:val="4E9D4829"/>
    <w:rsid w:val="4ED63BF4"/>
    <w:rsid w:val="4EE20D50"/>
    <w:rsid w:val="4F1E2F77"/>
    <w:rsid w:val="501F5D64"/>
    <w:rsid w:val="502F5860"/>
    <w:rsid w:val="51AA338C"/>
    <w:rsid w:val="545728EA"/>
    <w:rsid w:val="58A21033"/>
    <w:rsid w:val="5944142C"/>
    <w:rsid w:val="59AD19EA"/>
    <w:rsid w:val="5A7838DD"/>
    <w:rsid w:val="5ECE17C7"/>
    <w:rsid w:val="62DB494F"/>
    <w:rsid w:val="643B72CF"/>
    <w:rsid w:val="6524387B"/>
    <w:rsid w:val="67CE1F33"/>
    <w:rsid w:val="6C4A445A"/>
    <w:rsid w:val="71F2070A"/>
    <w:rsid w:val="724B42E6"/>
    <w:rsid w:val="72682DAD"/>
    <w:rsid w:val="72F961DD"/>
    <w:rsid w:val="768912D6"/>
    <w:rsid w:val="7A731BA9"/>
    <w:rsid w:val="7C287B91"/>
    <w:rsid w:val="7EF53FD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2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3">
    <w:name w:val="Body Text"/>
    <w:basedOn w:val="1"/>
    <w:link w:val="24"/>
    <w:semiHidden/>
    <w:unhideWhenUsed/>
    <w:qFormat/>
    <w:uiPriority w:val="99"/>
    <w:pPr>
      <w:spacing w:after="120"/>
    </w:pPr>
  </w:style>
  <w:style w:type="paragraph" w:styleId="4">
    <w:name w:val="Balloon Text"/>
    <w:basedOn w:val="1"/>
    <w:link w:val="27"/>
    <w:semiHidden/>
    <w:unhideWhenUsed/>
    <w:qFormat/>
    <w:uiPriority w:val="99"/>
    <w:rPr>
      <w:sz w:val="18"/>
      <w:szCs w:val="18"/>
    </w:rPr>
  </w:style>
  <w:style w:type="paragraph" w:styleId="5">
    <w:name w:val="footer"/>
    <w:basedOn w:val="1"/>
    <w:link w:val="13"/>
    <w:qFormat/>
    <w:uiPriority w:val="99"/>
    <w:pPr>
      <w:tabs>
        <w:tab w:val="center" w:pos="4153"/>
        <w:tab w:val="right" w:pos="8306"/>
      </w:tabs>
      <w:snapToGrid w:val="0"/>
      <w:jc w:val="left"/>
    </w:pPr>
    <w:rPr>
      <w:rFonts w:eastAsia="黑体" w:asciiTheme="minorHAnsi" w:hAnsiTheme="minorHAnsi" w:cstheme="minorBidi"/>
      <w:sz w:val="18"/>
      <w:szCs w:val="18"/>
    </w:rPr>
  </w:style>
  <w:style w:type="paragraph" w:styleId="6">
    <w:name w:val="header"/>
    <w:basedOn w:val="1"/>
    <w:link w:val="1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8">
    <w:name w:val="Body Text First Indent"/>
    <w:basedOn w:val="3"/>
    <w:link w:val="25"/>
    <w:qFormat/>
    <w:uiPriority w:val="0"/>
    <w:pPr>
      <w:spacing w:after="0"/>
      <w:ind w:firstLine="200" w:firstLineChars="200"/>
    </w:pPr>
    <w:rPr>
      <w:rFonts w:ascii="Times New Roman" w:hAnsi="Times New Roman"/>
    </w:rPr>
  </w:style>
  <w:style w:type="character" w:styleId="11">
    <w:name w:val="Strong"/>
    <w:basedOn w:val="10"/>
    <w:qFormat/>
    <w:uiPriority w:val="0"/>
    <w:rPr>
      <w:b/>
      <w:bCs/>
    </w:rPr>
  </w:style>
  <w:style w:type="character" w:customStyle="1" w:styleId="12">
    <w:name w:val="页脚 Char"/>
    <w:link w:val="5"/>
    <w:qFormat/>
    <w:uiPriority w:val="99"/>
    <w:rPr>
      <w:rFonts w:eastAsia="黑体"/>
      <w:sz w:val="18"/>
      <w:szCs w:val="18"/>
    </w:rPr>
  </w:style>
  <w:style w:type="character" w:customStyle="1" w:styleId="13">
    <w:name w:val="页脚 Char1"/>
    <w:basedOn w:val="10"/>
    <w:link w:val="5"/>
    <w:semiHidden/>
    <w:qFormat/>
    <w:uiPriority w:val="99"/>
    <w:rPr>
      <w:rFonts w:ascii="Calibri" w:hAnsi="Calibri" w:eastAsia="宋体" w:cs="Times New Roman"/>
      <w:sz w:val="18"/>
      <w:szCs w:val="18"/>
    </w:rPr>
  </w:style>
  <w:style w:type="paragraph" w:customStyle="1" w:styleId="14">
    <w:name w:val="闻政-正文段落文字"/>
    <w:basedOn w:val="1"/>
    <w:qFormat/>
    <w:uiPriority w:val="0"/>
    <w:pPr>
      <w:spacing w:line="500" w:lineRule="exact"/>
      <w:ind w:firstLine="200"/>
    </w:pPr>
    <w:rPr>
      <w:rFonts w:ascii="Times New Roman" w:hAnsi="Times New Roman"/>
      <w:kern w:val="0"/>
      <w:szCs w:val="28"/>
    </w:rPr>
  </w:style>
  <w:style w:type="paragraph" w:customStyle="1" w:styleId="15">
    <w:name w:val="Heading #3|1"/>
    <w:basedOn w:val="1"/>
    <w:qFormat/>
    <w:uiPriority w:val="0"/>
    <w:pPr>
      <w:spacing w:before="940" w:after="520"/>
      <w:jc w:val="center"/>
      <w:outlineLvl w:val="2"/>
    </w:pPr>
    <w:rPr>
      <w:rFonts w:ascii="宋体" w:hAnsi="宋体" w:cs="宋体"/>
      <w:sz w:val="32"/>
      <w:szCs w:val="32"/>
      <w:lang w:val="zh-TW" w:eastAsia="zh-TW" w:bidi="zh-TW"/>
    </w:rPr>
  </w:style>
  <w:style w:type="paragraph" w:customStyle="1" w:styleId="16">
    <w:name w:val="Other|1"/>
    <w:basedOn w:val="1"/>
    <w:qFormat/>
    <w:uiPriority w:val="0"/>
    <w:pPr>
      <w:spacing w:line="437" w:lineRule="auto"/>
      <w:ind w:firstLine="400"/>
    </w:pPr>
    <w:rPr>
      <w:rFonts w:ascii="宋体" w:hAnsi="宋体" w:cs="宋体"/>
      <w:sz w:val="19"/>
      <w:szCs w:val="19"/>
      <w:lang w:val="zh-TW" w:eastAsia="zh-TW" w:bidi="zh-TW"/>
    </w:rPr>
  </w:style>
  <w:style w:type="paragraph" w:customStyle="1" w:styleId="17">
    <w:name w:val="Other|2"/>
    <w:basedOn w:val="1"/>
    <w:qFormat/>
    <w:uiPriority w:val="0"/>
    <w:pPr>
      <w:jc w:val="center"/>
    </w:pPr>
    <w:rPr>
      <w:rFonts w:ascii="宋体" w:hAnsi="宋体" w:cs="宋体"/>
      <w:sz w:val="20"/>
      <w:szCs w:val="20"/>
      <w:lang w:val="zh-TW" w:eastAsia="zh-TW" w:bidi="zh-TW"/>
    </w:rPr>
  </w:style>
  <w:style w:type="paragraph" w:customStyle="1" w:styleId="18">
    <w:name w:val="Header or footer|2"/>
    <w:basedOn w:val="1"/>
    <w:qFormat/>
    <w:uiPriority w:val="0"/>
    <w:rPr>
      <w:sz w:val="20"/>
      <w:szCs w:val="20"/>
      <w:lang w:val="zh-TW" w:eastAsia="zh-TW" w:bidi="zh-TW"/>
    </w:rPr>
  </w:style>
  <w:style w:type="character" w:customStyle="1" w:styleId="19">
    <w:name w:val="页眉 Char"/>
    <w:basedOn w:val="10"/>
    <w:link w:val="6"/>
    <w:semiHidden/>
    <w:qFormat/>
    <w:uiPriority w:val="99"/>
    <w:rPr>
      <w:rFonts w:ascii="Calibri" w:hAnsi="Calibri"/>
      <w:kern w:val="2"/>
      <w:sz w:val="18"/>
      <w:szCs w:val="18"/>
    </w:rPr>
  </w:style>
  <w:style w:type="character" w:customStyle="1" w:styleId="20">
    <w:name w:val="font21"/>
    <w:basedOn w:val="10"/>
    <w:qFormat/>
    <w:uiPriority w:val="0"/>
    <w:rPr>
      <w:rFonts w:hint="eastAsia" w:ascii="宋体" w:hAnsi="宋体" w:eastAsia="宋体" w:cs="宋体"/>
      <w:color w:val="000000"/>
      <w:sz w:val="19"/>
      <w:szCs w:val="19"/>
      <w:u w:val="none"/>
    </w:rPr>
  </w:style>
  <w:style w:type="character" w:customStyle="1" w:styleId="21">
    <w:name w:val="font31"/>
    <w:basedOn w:val="10"/>
    <w:qFormat/>
    <w:uiPriority w:val="0"/>
    <w:rPr>
      <w:rFonts w:hint="eastAsia" w:ascii="宋体" w:hAnsi="宋体" w:eastAsia="宋体" w:cs="宋体"/>
      <w:b/>
      <w:color w:val="000000"/>
      <w:sz w:val="20"/>
      <w:szCs w:val="20"/>
      <w:u w:val="none"/>
    </w:rPr>
  </w:style>
  <w:style w:type="paragraph" w:styleId="22">
    <w:name w:val="List Paragraph"/>
    <w:basedOn w:val="1"/>
    <w:unhideWhenUsed/>
    <w:qFormat/>
    <w:uiPriority w:val="99"/>
    <w:pPr>
      <w:ind w:firstLine="420" w:firstLineChars="200"/>
    </w:pPr>
  </w:style>
  <w:style w:type="character" w:customStyle="1" w:styleId="23">
    <w:name w:val="标题 Char"/>
    <w:basedOn w:val="10"/>
    <w:link w:val="2"/>
    <w:qFormat/>
    <w:uiPriority w:val="10"/>
    <w:rPr>
      <w:rFonts w:asciiTheme="majorHAnsi" w:hAnsiTheme="majorHAnsi" w:eastAsiaTheme="majorEastAsia"/>
      <w:b/>
      <w:bCs/>
      <w:kern w:val="28"/>
      <w:sz w:val="32"/>
      <w:szCs w:val="32"/>
    </w:rPr>
  </w:style>
  <w:style w:type="character" w:customStyle="1" w:styleId="24">
    <w:name w:val="正文文本 Char"/>
    <w:basedOn w:val="10"/>
    <w:link w:val="3"/>
    <w:semiHidden/>
    <w:qFormat/>
    <w:uiPriority w:val="99"/>
    <w:rPr>
      <w:rFonts w:ascii="Calibri" w:hAnsi="Calibri"/>
      <w:kern w:val="2"/>
      <w:sz w:val="21"/>
      <w:szCs w:val="24"/>
    </w:rPr>
  </w:style>
  <w:style w:type="character" w:customStyle="1" w:styleId="25">
    <w:name w:val="正文首行缩进 Char"/>
    <w:basedOn w:val="24"/>
    <w:link w:val="8"/>
    <w:qFormat/>
    <w:uiPriority w:val="0"/>
  </w:style>
  <w:style w:type="character" w:customStyle="1" w:styleId="26">
    <w:name w:val="fontstyle01"/>
    <w:qFormat/>
    <w:uiPriority w:val="0"/>
    <w:rPr>
      <w:rFonts w:ascii="仿宋_GB2312" w:hAnsi="仿宋_GB2312" w:eastAsia="仿宋_GB2312" w:cs="仿宋_GB2312"/>
      <w:color w:val="000000"/>
      <w:sz w:val="32"/>
      <w:szCs w:val="32"/>
    </w:rPr>
  </w:style>
  <w:style w:type="character" w:customStyle="1" w:styleId="27">
    <w:name w:val="批注框文本 Char"/>
    <w:basedOn w:val="10"/>
    <w:link w:val="4"/>
    <w:semiHidden/>
    <w:qFormat/>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20</Pages>
  <Words>1333</Words>
  <Characters>7602</Characters>
  <Lines>63</Lines>
  <Paragraphs>17</Paragraphs>
  <TotalTime>2</TotalTime>
  <ScaleCrop>false</ScaleCrop>
  <LinksUpToDate>false</LinksUpToDate>
  <CharactersWithSpaces>8918</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2020-03-25T11:26:00Z</dcterms:created>
  <dc:creator>颜娜</dc:creator>
  <cp:lastModifiedBy>Administrator</cp:lastModifiedBy>
  <cp:lastPrinted>2020-04-07T04:55:00Z</cp:lastPrinted>
  <dcterms:modified xsi:type="dcterms:W3CDTF">2025-09-10T03:05:27Z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367741E9E4CE466DA438791AF8F2EF5F</vt:lpwstr>
  </property>
</Properties>
</file>