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72E615">
      <w:pPr>
        <w:spacing w:line="540" w:lineRule="exact"/>
        <w:jc w:val="center"/>
        <w:rPr>
          <w:rFonts w:ascii="华文中宋" w:hAnsi="华文中宋" w:eastAsia="华文中宋" w:cs="宋体"/>
          <w:b/>
          <w:color w:val="auto"/>
          <w:kern w:val="0"/>
          <w:sz w:val="52"/>
          <w:szCs w:val="52"/>
          <w:highlight w:val="none"/>
        </w:rPr>
      </w:pPr>
    </w:p>
    <w:p w14:paraId="6EC3DE9A">
      <w:pPr>
        <w:spacing w:line="540" w:lineRule="exact"/>
        <w:jc w:val="center"/>
        <w:rPr>
          <w:rFonts w:ascii="华文中宋" w:hAnsi="华文中宋" w:eastAsia="华文中宋" w:cs="宋体"/>
          <w:b/>
          <w:color w:val="auto"/>
          <w:kern w:val="0"/>
          <w:sz w:val="52"/>
          <w:szCs w:val="52"/>
          <w:highlight w:val="none"/>
        </w:rPr>
      </w:pPr>
    </w:p>
    <w:p w14:paraId="04A3D198">
      <w:pPr>
        <w:spacing w:line="540" w:lineRule="exact"/>
        <w:jc w:val="center"/>
        <w:rPr>
          <w:rFonts w:ascii="华文中宋" w:hAnsi="华文中宋" w:eastAsia="华文中宋" w:cs="宋体"/>
          <w:b/>
          <w:color w:val="auto"/>
          <w:kern w:val="0"/>
          <w:sz w:val="52"/>
          <w:szCs w:val="52"/>
          <w:highlight w:val="none"/>
        </w:rPr>
      </w:pPr>
    </w:p>
    <w:p w14:paraId="5AB9519C">
      <w:pPr>
        <w:spacing w:line="540" w:lineRule="exact"/>
        <w:jc w:val="center"/>
        <w:rPr>
          <w:rFonts w:ascii="华文中宋" w:hAnsi="华文中宋" w:eastAsia="华文中宋" w:cs="宋体"/>
          <w:b/>
          <w:color w:val="auto"/>
          <w:kern w:val="0"/>
          <w:sz w:val="52"/>
          <w:szCs w:val="52"/>
          <w:highlight w:val="none"/>
        </w:rPr>
      </w:pPr>
    </w:p>
    <w:p w14:paraId="4082AFB5">
      <w:pPr>
        <w:spacing w:line="540" w:lineRule="exact"/>
        <w:jc w:val="center"/>
        <w:rPr>
          <w:rFonts w:ascii="华文中宋" w:hAnsi="华文中宋" w:eastAsia="华文中宋" w:cs="宋体"/>
          <w:b/>
          <w:color w:val="auto"/>
          <w:kern w:val="0"/>
          <w:sz w:val="36"/>
          <w:szCs w:val="36"/>
          <w:highlight w:val="none"/>
        </w:rPr>
      </w:pPr>
    </w:p>
    <w:p w14:paraId="39A64109">
      <w:pPr>
        <w:spacing w:line="540" w:lineRule="exact"/>
        <w:jc w:val="center"/>
        <w:rPr>
          <w:rFonts w:ascii="华文中宋" w:hAnsi="华文中宋" w:eastAsia="华文中宋" w:cs="宋体"/>
          <w:b/>
          <w:color w:val="auto"/>
          <w:kern w:val="0"/>
          <w:sz w:val="52"/>
          <w:szCs w:val="52"/>
          <w:highlight w:val="none"/>
        </w:rPr>
      </w:pPr>
    </w:p>
    <w:p w14:paraId="25312AA2">
      <w:pPr>
        <w:spacing w:line="540" w:lineRule="exact"/>
        <w:jc w:val="center"/>
        <w:rPr>
          <w:rFonts w:hint="eastAsia" w:ascii="方正小标宋简体" w:hAnsi="方正小标宋简体" w:eastAsia="方正小标宋简体" w:cs="方正小标宋简体"/>
          <w:color w:val="auto"/>
          <w:kern w:val="0"/>
          <w:sz w:val="44"/>
          <w:szCs w:val="44"/>
          <w:highlight w:val="none"/>
        </w:rPr>
      </w:pPr>
      <w:r>
        <w:rPr>
          <w:rFonts w:hint="eastAsia" w:ascii="方正小标宋简体" w:hAnsi="方正小标宋简体" w:eastAsia="方正小标宋简体" w:cs="方正小标宋简体"/>
          <w:color w:val="auto"/>
          <w:kern w:val="0"/>
          <w:sz w:val="44"/>
          <w:szCs w:val="44"/>
          <w:highlight w:val="none"/>
          <w:lang w:val="en-US" w:eastAsia="zh-CN"/>
        </w:rPr>
        <w:t>传染病院区建设</w:t>
      </w:r>
      <w:r>
        <w:rPr>
          <w:rFonts w:hint="eastAsia" w:ascii="方正小标宋简体" w:hAnsi="方正小标宋简体" w:eastAsia="方正小标宋简体" w:cs="方正小标宋简体"/>
          <w:color w:val="auto"/>
          <w:kern w:val="0"/>
          <w:sz w:val="44"/>
          <w:szCs w:val="44"/>
          <w:highlight w:val="none"/>
        </w:rPr>
        <w:t>资金项目支出绩效评价</w:t>
      </w:r>
    </w:p>
    <w:p w14:paraId="3772E598">
      <w:pPr>
        <w:spacing w:line="540" w:lineRule="exact"/>
        <w:jc w:val="center"/>
        <w:rPr>
          <w:rFonts w:hint="eastAsia" w:ascii="方正小标宋简体" w:hAnsi="方正小标宋简体" w:eastAsia="方正小标宋简体" w:cs="方正小标宋简体"/>
          <w:color w:val="auto"/>
          <w:kern w:val="0"/>
          <w:sz w:val="44"/>
          <w:szCs w:val="44"/>
          <w:highlight w:val="none"/>
        </w:rPr>
      </w:pPr>
      <w:r>
        <w:rPr>
          <w:rFonts w:hint="eastAsia" w:ascii="方正小标宋简体" w:hAnsi="方正小标宋简体" w:eastAsia="方正小标宋简体" w:cs="方正小标宋简体"/>
          <w:color w:val="auto"/>
          <w:kern w:val="0"/>
          <w:sz w:val="44"/>
          <w:szCs w:val="44"/>
          <w:highlight w:val="none"/>
        </w:rPr>
        <w:t>报告</w:t>
      </w:r>
    </w:p>
    <w:p w14:paraId="60396C1E">
      <w:pPr>
        <w:spacing w:line="540" w:lineRule="exact"/>
        <w:jc w:val="center"/>
        <w:rPr>
          <w:rFonts w:ascii="华文中宋" w:hAnsi="华文中宋" w:eastAsia="华文中宋" w:cs="宋体"/>
          <w:b/>
          <w:color w:val="auto"/>
          <w:kern w:val="0"/>
          <w:sz w:val="52"/>
          <w:szCs w:val="52"/>
          <w:highlight w:val="none"/>
        </w:rPr>
      </w:pPr>
    </w:p>
    <w:p w14:paraId="44CB3AD9">
      <w:pPr>
        <w:spacing w:line="540" w:lineRule="exact"/>
        <w:jc w:val="center"/>
        <w:rPr>
          <w:rFonts w:hint="eastAsia" w:ascii="仿宋_GB2312" w:hAnsi="仿宋_GB2312" w:eastAsia="仿宋_GB2312" w:cs="仿宋_GB2312"/>
          <w:color w:val="auto"/>
          <w:kern w:val="0"/>
          <w:sz w:val="44"/>
          <w:szCs w:val="44"/>
          <w:highlight w:val="none"/>
        </w:rPr>
      </w:pPr>
      <w:r>
        <w:rPr>
          <w:rFonts w:hint="eastAsia" w:ascii="仿宋_GB2312" w:hAnsi="仿宋_GB2312" w:eastAsia="仿宋_GB2312" w:cs="仿宋_GB2312"/>
          <w:color w:val="auto"/>
          <w:kern w:val="0"/>
          <w:sz w:val="44"/>
          <w:szCs w:val="44"/>
          <w:highlight w:val="none"/>
        </w:rPr>
        <w:t>（ 20</w:t>
      </w:r>
      <w:r>
        <w:rPr>
          <w:rFonts w:hint="eastAsia" w:ascii="仿宋_GB2312" w:hAnsi="仿宋_GB2312" w:eastAsia="仿宋_GB2312" w:cs="仿宋_GB2312"/>
          <w:color w:val="auto"/>
          <w:kern w:val="0"/>
          <w:sz w:val="44"/>
          <w:szCs w:val="44"/>
          <w:highlight w:val="none"/>
          <w:lang w:val="en-US" w:eastAsia="zh-CN"/>
        </w:rPr>
        <w:t>20</w:t>
      </w:r>
      <w:r>
        <w:rPr>
          <w:rFonts w:hint="eastAsia" w:ascii="仿宋_GB2312" w:hAnsi="仿宋_GB2312" w:eastAsia="仿宋_GB2312" w:cs="仿宋_GB2312"/>
          <w:color w:val="auto"/>
          <w:kern w:val="0"/>
          <w:sz w:val="44"/>
          <w:szCs w:val="44"/>
          <w:highlight w:val="none"/>
        </w:rPr>
        <w:t>年度）</w:t>
      </w:r>
    </w:p>
    <w:p w14:paraId="4A3E6FAA">
      <w:pPr>
        <w:spacing w:line="540" w:lineRule="exact"/>
        <w:jc w:val="center"/>
        <w:rPr>
          <w:rFonts w:hAnsi="宋体" w:eastAsia="仿宋_GB2312" w:cs="宋体"/>
          <w:color w:val="auto"/>
          <w:kern w:val="0"/>
          <w:sz w:val="30"/>
          <w:szCs w:val="30"/>
          <w:highlight w:val="none"/>
        </w:rPr>
      </w:pPr>
    </w:p>
    <w:p w14:paraId="27DA6EF0">
      <w:pPr>
        <w:spacing w:line="540" w:lineRule="exact"/>
        <w:jc w:val="center"/>
        <w:rPr>
          <w:rFonts w:hAnsi="宋体" w:eastAsia="仿宋_GB2312" w:cs="宋体"/>
          <w:color w:val="auto"/>
          <w:kern w:val="0"/>
          <w:sz w:val="30"/>
          <w:szCs w:val="30"/>
          <w:highlight w:val="none"/>
        </w:rPr>
      </w:pPr>
    </w:p>
    <w:p w14:paraId="3C9D7B9C">
      <w:pPr>
        <w:spacing w:line="540" w:lineRule="exact"/>
        <w:jc w:val="center"/>
        <w:rPr>
          <w:rFonts w:hAnsi="宋体" w:eastAsia="仿宋_GB2312" w:cs="宋体"/>
          <w:color w:val="auto"/>
          <w:kern w:val="0"/>
          <w:sz w:val="30"/>
          <w:szCs w:val="30"/>
          <w:highlight w:val="none"/>
        </w:rPr>
      </w:pPr>
    </w:p>
    <w:p w14:paraId="5C6CF5BC">
      <w:pPr>
        <w:spacing w:line="540" w:lineRule="exact"/>
        <w:jc w:val="center"/>
        <w:rPr>
          <w:rFonts w:hAnsi="宋体" w:eastAsia="仿宋_GB2312" w:cs="宋体"/>
          <w:color w:val="auto"/>
          <w:kern w:val="0"/>
          <w:sz w:val="30"/>
          <w:szCs w:val="30"/>
          <w:highlight w:val="none"/>
        </w:rPr>
      </w:pPr>
    </w:p>
    <w:p w14:paraId="40417474">
      <w:pPr>
        <w:spacing w:line="540" w:lineRule="exact"/>
        <w:rPr>
          <w:rFonts w:hAnsi="宋体" w:eastAsia="仿宋_GB2312" w:cs="宋体"/>
          <w:color w:val="auto"/>
          <w:kern w:val="0"/>
          <w:sz w:val="30"/>
          <w:szCs w:val="30"/>
          <w:highlight w:val="none"/>
        </w:rPr>
      </w:pPr>
    </w:p>
    <w:p w14:paraId="0A4A5931">
      <w:pPr>
        <w:spacing w:line="700" w:lineRule="exact"/>
        <w:ind w:left="718" w:leftChars="342" w:firstLine="0" w:firstLineChars="0"/>
        <w:jc w:val="left"/>
        <w:rPr>
          <w:rFonts w:hint="eastAsia" w:ascii="仿宋_GB2312" w:hAnsi="仿宋_GB2312" w:eastAsia="仿宋_GB2312" w:cs="仿宋_GB2312"/>
          <w:color w:val="auto"/>
          <w:kern w:val="0"/>
          <w:sz w:val="36"/>
          <w:szCs w:val="36"/>
          <w:highlight w:val="none"/>
          <w:lang w:val="en-US" w:eastAsia="zh-CN"/>
        </w:rPr>
      </w:pPr>
      <w:r>
        <w:rPr>
          <w:rFonts w:hint="eastAsia" w:ascii="仿宋_GB2312" w:hAnsi="仿宋_GB2312" w:eastAsia="仿宋_GB2312" w:cs="仿宋_GB2312"/>
          <w:color w:val="auto"/>
          <w:kern w:val="0"/>
          <w:sz w:val="36"/>
          <w:szCs w:val="36"/>
          <w:highlight w:val="none"/>
        </w:rPr>
        <w:t>项目名称：</w:t>
      </w:r>
      <w:r>
        <w:rPr>
          <w:rFonts w:hint="eastAsia" w:ascii="仿宋_GB2312" w:hAnsi="仿宋_GB2312" w:eastAsia="仿宋_GB2312" w:cs="仿宋_GB2312"/>
          <w:color w:val="auto"/>
          <w:kern w:val="0"/>
          <w:sz w:val="36"/>
          <w:szCs w:val="36"/>
          <w:highlight w:val="none"/>
          <w:lang w:val="en-US" w:eastAsia="zh-CN"/>
        </w:rPr>
        <w:t>塔城地区人民医院（南院）传染病院区及其附属设施建设</w:t>
      </w:r>
    </w:p>
    <w:p w14:paraId="017FB860">
      <w:pPr>
        <w:spacing w:line="700" w:lineRule="exact"/>
        <w:ind w:firstLine="720" w:firstLineChars="200"/>
        <w:jc w:val="left"/>
        <w:rPr>
          <w:rFonts w:hint="eastAsia" w:ascii="仿宋_GB2312" w:hAnsi="仿宋_GB2312" w:eastAsia="仿宋_GB2312" w:cs="仿宋_GB2312"/>
          <w:color w:val="auto"/>
          <w:kern w:val="0"/>
          <w:sz w:val="36"/>
          <w:szCs w:val="36"/>
          <w:highlight w:val="none"/>
          <w:lang w:eastAsia="zh-CN"/>
        </w:rPr>
      </w:pPr>
      <w:r>
        <w:rPr>
          <w:rFonts w:hint="eastAsia" w:ascii="仿宋_GB2312" w:hAnsi="仿宋_GB2312" w:eastAsia="仿宋_GB2312" w:cs="仿宋_GB2312"/>
          <w:color w:val="auto"/>
          <w:kern w:val="0"/>
          <w:sz w:val="36"/>
          <w:szCs w:val="36"/>
          <w:highlight w:val="none"/>
        </w:rPr>
        <w:t>实施单位（公章）：</w:t>
      </w:r>
      <w:r>
        <w:rPr>
          <w:rFonts w:hint="eastAsia" w:ascii="仿宋_GB2312" w:hAnsi="仿宋_GB2312" w:eastAsia="仿宋_GB2312" w:cs="仿宋_GB2312"/>
          <w:color w:val="auto"/>
          <w:kern w:val="0"/>
          <w:sz w:val="36"/>
          <w:szCs w:val="36"/>
          <w:highlight w:val="none"/>
          <w:lang w:eastAsia="zh-CN"/>
        </w:rPr>
        <w:t>塔城地区人民医院</w:t>
      </w:r>
    </w:p>
    <w:p w14:paraId="332CFEF7">
      <w:pPr>
        <w:spacing w:line="700" w:lineRule="exact"/>
        <w:ind w:firstLine="720" w:firstLineChars="200"/>
        <w:jc w:val="left"/>
        <w:rPr>
          <w:rFonts w:hint="eastAsia" w:ascii="仿宋_GB2312" w:hAnsi="仿宋_GB2312" w:eastAsia="仿宋_GB2312" w:cs="仿宋_GB2312"/>
          <w:color w:val="auto"/>
          <w:kern w:val="0"/>
          <w:sz w:val="36"/>
          <w:szCs w:val="36"/>
          <w:highlight w:val="none"/>
          <w:lang w:val="en-US" w:eastAsia="zh-CN"/>
        </w:rPr>
      </w:pPr>
      <w:r>
        <w:rPr>
          <w:rFonts w:hint="eastAsia" w:ascii="仿宋_GB2312" w:hAnsi="仿宋_GB2312" w:eastAsia="仿宋_GB2312" w:cs="仿宋_GB2312"/>
          <w:color w:val="auto"/>
          <w:kern w:val="0"/>
          <w:sz w:val="36"/>
          <w:szCs w:val="36"/>
          <w:highlight w:val="none"/>
        </w:rPr>
        <w:t>主管部门（公章）：</w:t>
      </w:r>
      <w:r>
        <w:rPr>
          <w:rFonts w:hint="eastAsia" w:ascii="仿宋_GB2312" w:hAnsi="仿宋_GB2312" w:eastAsia="仿宋_GB2312" w:cs="仿宋_GB2312"/>
          <w:color w:val="auto"/>
          <w:kern w:val="0"/>
          <w:sz w:val="36"/>
          <w:szCs w:val="36"/>
          <w:highlight w:val="none"/>
          <w:lang w:val="en-US" w:eastAsia="zh-CN"/>
        </w:rPr>
        <w:t>塔城地区卫生健康委员会</w:t>
      </w:r>
    </w:p>
    <w:p w14:paraId="39F1849F">
      <w:pPr>
        <w:spacing w:line="700" w:lineRule="exact"/>
        <w:ind w:firstLine="720" w:firstLineChars="200"/>
        <w:jc w:val="left"/>
        <w:rPr>
          <w:rFonts w:hint="eastAsia" w:ascii="仿宋_GB2312" w:hAnsi="仿宋_GB2312" w:eastAsia="仿宋_GB2312" w:cs="仿宋_GB2312"/>
          <w:color w:val="auto"/>
          <w:kern w:val="0"/>
          <w:sz w:val="36"/>
          <w:szCs w:val="36"/>
          <w:highlight w:val="none"/>
          <w:lang w:val="en-US" w:eastAsia="zh-CN"/>
        </w:rPr>
      </w:pPr>
      <w:r>
        <w:rPr>
          <w:rFonts w:hint="eastAsia" w:ascii="仿宋_GB2312" w:hAnsi="仿宋_GB2312" w:eastAsia="仿宋_GB2312" w:cs="仿宋_GB2312"/>
          <w:color w:val="auto"/>
          <w:kern w:val="0"/>
          <w:sz w:val="36"/>
          <w:szCs w:val="36"/>
          <w:highlight w:val="none"/>
        </w:rPr>
        <w:t>项目负责人（签章）：</w:t>
      </w:r>
      <w:r>
        <w:rPr>
          <w:rFonts w:hint="eastAsia" w:ascii="仿宋_GB2312" w:hAnsi="仿宋_GB2312" w:eastAsia="仿宋_GB2312" w:cs="仿宋_GB2312"/>
          <w:color w:val="auto"/>
          <w:kern w:val="0"/>
          <w:sz w:val="36"/>
          <w:szCs w:val="36"/>
          <w:highlight w:val="none"/>
          <w:lang w:val="en-US" w:eastAsia="zh-CN"/>
        </w:rPr>
        <w:t>夏建江</w:t>
      </w:r>
    </w:p>
    <w:p w14:paraId="00ECF691">
      <w:pPr>
        <w:spacing w:line="700" w:lineRule="exact"/>
        <w:ind w:firstLine="720" w:firstLineChars="200"/>
        <w:jc w:val="left"/>
        <w:rPr>
          <w:rFonts w:hint="eastAsia" w:ascii="仿宋_GB2312" w:hAnsi="仿宋_GB2312" w:eastAsia="仿宋_GB2312" w:cs="仿宋_GB2312"/>
          <w:color w:val="auto"/>
          <w:kern w:val="0"/>
          <w:sz w:val="36"/>
          <w:szCs w:val="36"/>
          <w:highlight w:val="none"/>
        </w:rPr>
      </w:pPr>
      <w:r>
        <w:rPr>
          <w:rFonts w:hint="eastAsia" w:ascii="仿宋_GB2312" w:hAnsi="仿宋_GB2312" w:eastAsia="仿宋_GB2312" w:cs="仿宋_GB2312"/>
          <w:color w:val="auto"/>
          <w:kern w:val="0"/>
          <w:sz w:val="36"/>
          <w:szCs w:val="36"/>
          <w:highlight w:val="none"/>
        </w:rPr>
        <w:t>填报时间：</w:t>
      </w:r>
      <w:r>
        <w:rPr>
          <w:rFonts w:hint="eastAsia" w:ascii="仿宋_GB2312" w:hAnsi="仿宋_GB2312" w:eastAsia="仿宋_GB2312" w:cs="仿宋_GB2312"/>
          <w:color w:val="auto"/>
          <w:kern w:val="0"/>
          <w:sz w:val="36"/>
          <w:szCs w:val="36"/>
          <w:highlight w:val="none"/>
          <w:lang w:val="en-US" w:eastAsia="zh-CN"/>
        </w:rPr>
        <w:t>2020</w:t>
      </w:r>
      <w:r>
        <w:rPr>
          <w:rFonts w:hint="eastAsia" w:ascii="仿宋_GB2312" w:hAnsi="仿宋_GB2312" w:eastAsia="仿宋_GB2312" w:cs="仿宋_GB2312"/>
          <w:color w:val="auto"/>
          <w:kern w:val="0"/>
          <w:sz w:val="36"/>
          <w:szCs w:val="36"/>
          <w:highlight w:val="none"/>
        </w:rPr>
        <w:t>年</w:t>
      </w:r>
      <w:r>
        <w:rPr>
          <w:rFonts w:hint="eastAsia" w:ascii="仿宋_GB2312" w:hAnsi="仿宋_GB2312" w:eastAsia="仿宋_GB2312" w:cs="仿宋_GB2312"/>
          <w:color w:val="auto"/>
          <w:kern w:val="0"/>
          <w:sz w:val="36"/>
          <w:szCs w:val="36"/>
          <w:highlight w:val="none"/>
          <w:lang w:val="en-US" w:eastAsia="zh-CN"/>
        </w:rPr>
        <w:t>4</w:t>
      </w:r>
      <w:r>
        <w:rPr>
          <w:rFonts w:hint="eastAsia" w:ascii="仿宋_GB2312" w:hAnsi="仿宋_GB2312" w:eastAsia="仿宋_GB2312" w:cs="仿宋_GB2312"/>
          <w:color w:val="auto"/>
          <w:kern w:val="0"/>
          <w:sz w:val="36"/>
          <w:szCs w:val="36"/>
          <w:highlight w:val="none"/>
        </w:rPr>
        <w:t>月</w:t>
      </w:r>
      <w:r>
        <w:rPr>
          <w:rFonts w:hint="eastAsia" w:ascii="仿宋_GB2312" w:hAnsi="仿宋_GB2312" w:eastAsia="仿宋_GB2312" w:cs="仿宋_GB2312"/>
          <w:color w:val="auto"/>
          <w:kern w:val="0"/>
          <w:sz w:val="36"/>
          <w:szCs w:val="36"/>
          <w:highlight w:val="none"/>
          <w:lang w:val="en-US" w:eastAsia="zh-CN"/>
        </w:rPr>
        <w:t>9</w:t>
      </w:r>
      <w:r>
        <w:rPr>
          <w:rFonts w:hint="eastAsia" w:ascii="仿宋_GB2312" w:hAnsi="仿宋_GB2312" w:eastAsia="仿宋_GB2312" w:cs="仿宋_GB2312"/>
          <w:color w:val="auto"/>
          <w:kern w:val="0"/>
          <w:sz w:val="36"/>
          <w:szCs w:val="36"/>
          <w:highlight w:val="none"/>
        </w:rPr>
        <w:t>日</w:t>
      </w:r>
    </w:p>
    <w:p w14:paraId="682365A2">
      <w:pPr>
        <w:spacing w:line="540" w:lineRule="exact"/>
        <w:jc w:val="center"/>
        <w:rPr>
          <w:rFonts w:hAnsi="宋体" w:eastAsia="仿宋_GB2312" w:cs="宋体"/>
          <w:color w:val="auto"/>
          <w:kern w:val="0"/>
          <w:sz w:val="30"/>
          <w:szCs w:val="30"/>
          <w:highlight w:val="none"/>
        </w:rPr>
      </w:pPr>
    </w:p>
    <w:p w14:paraId="0511E709">
      <w:pPr>
        <w:spacing w:line="540" w:lineRule="exact"/>
        <w:rPr>
          <w:rStyle w:val="21"/>
          <w:rFonts w:ascii="黑体" w:hAnsi="黑体" w:eastAsia="黑体"/>
          <w:b w:val="0"/>
          <w:color w:val="auto"/>
          <w:spacing w:val="-4"/>
          <w:sz w:val="32"/>
          <w:szCs w:val="32"/>
          <w:highlight w:val="none"/>
        </w:rPr>
      </w:pPr>
    </w:p>
    <w:p w14:paraId="165D0747">
      <w:pPr>
        <w:spacing w:line="540" w:lineRule="exact"/>
        <w:ind w:firstLine="640"/>
        <w:rPr>
          <w:rStyle w:val="21"/>
          <w:rFonts w:ascii="黑体" w:hAnsi="黑体" w:eastAsia="黑体"/>
          <w:b w:val="0"/>
          <w:color w:val="auto"/>
          <w:spacing w:val="-4"/>
          <w:sz w:val="32"/>
          <w:szCs w:val="32"/>
          <w:highlight w:val="none"/>
        </w:rPr>
      </w:pPr>
    </w:p>
    <w:p w14:paraId="7C600846">
      <w:pPr>
        <w:pageBreakBefore w:val="0"/>
        <w:kinsoku/>
        <w:wordWrap/>
        <w:overflowPunct/>
        <w:topLinePunct w:val="0"/>
        <w:autoSpaceDE/>
        <w:autoSpaceDN/>
        <w:bidi w:val="0"/>
        <w:adjustRightInd/>
        <w:spacing w:line="560" w:lineRule="atLeast"/>
        <w:textAlignment w:val="auto"/>
        <w:rPr>
          <w:rFonts w:ascii="黑体" w:hAnsi="黑体" w:eastAsia="黑体" w:cs="黑体"/>
          <w:bCs/>
          <w:color w:val="auto"/>
          <w:sz w:val="32"/>
          <w:szCs w:val="32"/>
          <w:highlight w:val="none"/>
        </w:rPr>
      </w:pPr>
      <w:r>
        <w:rPr>
          <w:rFonts w:hint="eastAsia" w:ascii="黑体" w:hAnsi="黑体" w:eastAsia="黑体" w:cs="黑体"/>
          <w:bCs/>
          <w:color w:val="auto"/>
          <w:sz w:val="32"/>
          <w:szCs w:val="32"/>
          <w:highlight w:val="none"/>
        </w:rPr>
        <w:t>一、基本情况</w:t>
      </w:r>
    </w:p>
    <w:p w14:paraId="1BAE048E">
      <w:pPr>
        <w:pageBreakBefore w:val="0"/>
        <w:kinsoku/>
        <w:wordWrap/>
        <w:overflowPunct/>
        <w:topLinePunct w:val="0"/>
        <w:autoSpaceDE/>
        <w:autoSpaceDN/>
        <w:bidi w:val="0"/>
        <w:adjustRightInd/>
        <w:spacing w:line="560" w:lineRule="atLeast"/>
        <w:ind w:firstLine="641"/>
        <w:textAlignment w:val="auto"/>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（一）项目概况</w:t>
      </w:r>
    </w:p>
    <w:p w14:paraId="13091D5B">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1、项目背景</w:t>
      </w:r>
    </w:p>
    <w:p w14:paraId="3F4375B3">
      <w:pPr>
        <w:pageBreakBefore w:val="0"/>
        <w:kinsoku/>
        <w:wordWrap/>
        <w:overflowPunct/>
        <w:topLinePunct w:val="0"/>
        <w:autoSpaceDE/>
        <w:autoSpaceDN/>
        <w:bidi w:val="0"/>
        <w:adjustRightInd/>
        <w:spacing w:line="560" w:lineRule="atLeast"/>
        <w:ind w:firstLine="643" w:firstLineChars="200"/>
        <w:textAlignment w:val="auto"/>
        <w:rPr>
          <w:rFonts w:hint="eastAsia" w:ascii="仿宋_GB2312" w:hAnsi="仿宋_GB2312" w:eastAsia="仿宋_GB2312" w:cs="仿宋_GB2312"/>
          <w:b/>
          <w:bCs/>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（1）项目实施的政策背景</w:t>
      </w:r>
    </w:p>
    <w:p w14:paraId="197CA903">
      <w:pPr>
        <w:pStyle w:val="2"/>
        <w:pageBreakBefore w:val="0"/>
        <w:kinsoku/>
        <w:wordWrap/>
        <w:overflowPunct/>
        <w:topLinePunct w:val="0"/>
        <w:autoSpaceDE/>
        <w:autoSpaceDN/>
        <w:bidi w:val="0"/>
        <w:adjustRightInd/>
        <w:spacing w:before="0" w:after="0" w:line="560" w:lineRule="atLeast"/>
        <w:ind w:firstLine="640" w:firstLineChars="200"/>
        <w:jc w:val="left"/>
        <w:textAlignment w:val="auto"/>
        <w:rPr>
          <w:rFonts w:hint="eastAsia" w:ascii="仿宋_GB2312" w:hAnsi="仿宋_GB2312" w:eastAsia="仿宋_GB2312" w:cs="仿宋_GB2312"/>
          <w:b w:val="0"/>
          <w:bCs w:val="0"/>
          <w:color w:val="auto"/>
          <w:kern w:val="0"/>
          <w:sz w:val="32"/>
          <w:szCs w:val="32"/>
          <w:highlight w:val="none"/>
          <w:lang w:val="en-US" w:eastAsia="zh-CN" w:bidi="ar-SA"/>
        </w:rPr>
      </w:pPr>
      <w:r>
        <w:rPr>
          <w:rFonts w:hint="eastAsia" w:ascii="仿宋_GB2312" w:hAnsi="仿宋_GB2312" w:eastAsia="仿宋_GB2312" w:cs="仿宋_GB2312"/>
          <w:b w:val="0"/>
          <w:bCs w:val="0"/>
          <w:color w:val="auto"/>
          <w:kern w:val="0"/>
          <w:sz w:val="32"/>
          <w:szCs w:val="32"/>
          <w:highlight w:val="none"/>
          <w:lang w:val="en-US" w:eastAsia="zh-CN" w:bidi="ar-SA"/>
        </w:rPr>
        <w:t>塔城地区人民医院位于新疆维吾尔自治区塔城市文化路22号，始建于1936年，占地面积66744平方米，是一所集医疗、教学、科研、预防、保健于一体的三级甲等综合性医院，是塔城地区医保和新农合定点医院，是辽宁省人民医院、盛京医院、新疆医科大学一附院、新疆维吾尔自治区人民医院对口协作医院，先后荣获全国巾帼文明岗、新疆维吾尔自治区文明单位、新疆维吾尔自治区行风政风示范窗口、新疆维吾尔自治区级医疗济困暨城乡医疗救助工作先进单位、新疆卫生系统思想政治工作先进单位、新疆维吾尔自治区职工模范之家、新疆维吾尔自治区级扶残助残先进集体等荣誉称号。</w:t>
      </w:r>
    </w:p>
    <w:p w14:paraId="3F2F3ED7">
      <w:pPr>
        <w:pStyle w:val="2"/>
        <w:pageBreakBefore w:val="0"/>
        <w:kinsoku/>
        <w:wordWrap/>
        <w:overflowPunct/>
        <w:topLinePunct w:val="0"/>
        <w:autoSpaceDE/>
        <w:autoSpaceDN/>
        <w:bidi w:val="0"/>
        <w:adjustRightInd/>
        <w:spacing w:before="0" w:after="0" w:line="560" w:lineRule="atLeast"/>
        <w:ind w:firstLine="640" w:firstLineChars="200"/>
        <w:jc w:val="left"/>
        <w:textAlignment w:val="auto"/>
        <w:rPr>
          <w:rFonts w:hint="eastAsia" w:ascii="仿宋_GB2312" w:hAnsi="仿宋_GB2312" w:eastAsia="仿宋_GB2312" w:cs="仿宋_GB2312"/>
          <w:b w:val="0"/>
          <w:bCs w:val="0"/>
          <w:color w:val="auto"/>
          <w:kern w:val="0"/>
          <w:sz w:val="32"/>
          <w:szCs w:val="32"/>
          <w:highlight w:val="none"/>
          <w:lang w:val="en-US" w:eastAsia="zh-CN" w:bidi="ar-SA"/>
        </w:rPr>
      </w:pPr>
      <w:r>
        <w:rPr>
          <w:rFonts w:hint="eastAsia" w:ascii="仿宋_GB2312" w:hAnsi="仿宋_GB2312" w:eastAsia="仿宋_GB2312" w:cs="仿宋_GB2312"/>
          <w:b w:val="0"/>
          <w:bCs w:val="0"/>
          <w:color w:val="auto"/>
          <w:kern w:val="0"/>
          <w:sz w:val="32"/>
          <w:szCs w:val="32"/>
          <w:highlight w:val="none"/>
          <w:lang w:val="en-US" w:eastAsia="zh-CN" w:bidi="ar-SA"/>
        </w:rPr>
        <w:t>目前院内设感染科，现有卫生技术人员7人、护理人员8人，规模较小。由于感染科位于医院内，医患流线、洁污流线不明确，不能同其他科室完全隔离，容易造成院内交叉感染，对医患造</w:t>
      </w:r>
      <w:bookmarkStart w:id="2" w:name="_GoBack"/>
      <w:bookmarkEnd w:id="2"/>
      <w:r>
        <w:rPr>
          <w:rFonts w:hint="eastAsia" w:ascii="仿宋_GB2312" w:hAnsi="仿宋_GB2312" w:eastAsia="仿宋_GB2312" w:cs="仿宋_GB2312"/>
          <w:b w:val="0"/>
          <w:bCs w:val="0"/>
          <w:color w:val="auto"/>
          <w:kern w:val="0"/>
          <w:sz w:val="32"/>
          <w:szCs w:val="32"/>
          <w:highlight w:val="none"/>
          <w:lang w:val="en-US" w:eastAsia="zh-CN" w:bidi="ar-SA"/>
        </w:rPr>
        <w:t>成一定的安全隐患，不符合《传染病医院建筑设计规范》GB50849-2014的选址及设计要求。另外由于感染科规模小，收治患者有限，不能应对《突发公共卫生事件应急条例》的要求。而且塔城地区感染病人数逐年递增。塔城地区的医院已无法满足就诊要求，部分患者只好到周边城市克拉玛依、乌鲁木齐去就医，无形中增加了老百姓的经济负担。塔城地区人民医院作为塔城地区最大的医院，有责任也有能力去改善地区的医疗环境。因此无论从安全性、经济性、责任性、社会效益等多方面来说，重新选址建立塔城地区人民医院(南院)传染病综合楼及附属设施项目尤其必要。</w:t>
      </w:r>
    </w:p>
    <w:p w14:paraId="37C039F6">
      <w:pPr>
        <w:pStyle w:val="2"/>
        <w:pageBreakBefore w:val="0"/>
        <w:numPr>
          <w:ilvl w:val="0"/>
          <w:numId w:val="1"/>
        </w:numPr>
        <w:kinsoku/>
        <w:wordWrap/>
        <w:overflowPunct/>
        <w:topLinePunct w:val="0"/>
        <w:autoSpaceDE/>
        <w:autoSpaceDN/>
        <w:bidi w:val="0"/>
        <w:adjustRightInd/>
        <w:spacing w:before="0" w:after="0" w:line="560" w:lineRule="atLeast"/>
        <w:ind w:firstLine="640" w:firstLineChars="200"/>
        <w:jc w:val="both"/>
        <w:textAlignment w:val="auto"/>
        <w:rPr>
          <w:rFonts w:ascii="仿宋_GB2312" w:hAnsi="仿宋_GB2312" w:eastAsia="仿宋_GB2312" w:cs="仿宋_GB2312"/>
          <w:b w:val="0"/>
          <w:bCs w:val="0"/>
          <w:color w:val="auto"/>
          <w:kern w:val="0"/>
          <w:highlight w:val="none"/>
        </w:rPr>
      </w:pPr>
      <w:r>
        <w:rPr>
          <w:rFonts w:hint="eastAsia" w:ascii="仿宋_GB2312" w:hAnsi="仿宋_GB2312" w:eastAsia="仿宋_GB2312" w:cs="仿宋_GB2312"/>
          <w:b w:val="0"/>
          <w:bCs w:val="0"/>
          <w:color w:val="auto"/>
          <w:kern w:val="0"/>
          <w:highlight w:val="none"/>
        </w:rPr>
        <w:t>项目实施的历史概况</w:t>
      </w:r>
    </w:p>
    <w:p w14:paraId="061F5801">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default"/>
          <w:color w:val="auto"/>
          <w:highlight w:val="none"/>
          <w:lang w:val="en-US" w:eastAsia="zh-CN"/>
        </w:rPr>
      </w:pPr>
      <w:r>
        <w:rPr>
          <w:rFonts w:hint="eastAsia" w:ascii="仿宋_GB2312" w:hAnsi="仿宋_GB2312" w:eastAsia="仿宋_GB2312" w:cs="仿宋_GB2312"/>
          <w:color w:val="auto"/>
          <w:sz w:val="32"/>
          <w:szCs w:val="32"/>
          <w:highlight w:val="none"/>
        </w:rPr>
        <w:t>塔城地区人民医院(南院)传染病综合楼及附属设施项目的建设是根据《传染病防治法》、《突发公共卫生事件应急条例》的要求，重新选址，按照《传染病医院建筑设计规范》(GB50849-2014)、《传染病医院建设标准建》(建标173-2016)等国家、地方规范及标准，建设新的感染病区。新病区的建设将有助于将传染源、发病人群与健康人群有效隔离，提高塔城地区应对突发公共卫生事件的能力，进一步优化塔城地区卫生资源的配置</w:t>
      </w:r>
      <w:r>
        <w:rPr>
          <w:rFonts w:hint="eastAsia" w:ascii="仿宋_GB2312" w:hAnsi="仿宋_GB2312" w:eastAsia="仿宋_GB2312" w:cs="仿宋_GB2312"/>
          <w:color w:val="auto"/>
          <w:sz w:val="32"/>
          <w:szCs w:val="32"/>
          <w:highlight w:val="none"/>
          <w:lang w:eastAsia="zh-CN"/>
        </w:rPr>
        <w:t>。</w:t>
      </w:r>
    </w:p>
    <w:p w14:paraId="633C1878">
      <w:pPr>
        <w:pageBreakBefore w:val="0"/>
        <w:numPr>
          <w:ilvl w:val="0"/>
          <w:numId w:val="2"/>
        </w:numPr>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项目主要内容及实施情况</w:t>
      </w:r>
    </w:p>
    <w:p w14:paraId="1DD31497">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项目主要内容：传染病门诊住院楼建设面积为:13000㎡，为五层框架结构，一层为:呼吸道门诊、消化道门诊、结核病门诊、艾滋病门诊、药房 门诊输液室、B超检查室、收费室、二层为消化道病房、CT 检查室、检验科、三、四、五层均为负压病房，每层还设有ICU监护室。附属设施有:医用电梯、螺旋CT、彩色多普勒B超、检验、消防工程设施、安防呼叫系统、信息化弱电工程、营养室、供电、供水、供暖系统、污水处理、医疗废物处理、通讯设施、洗衣房、等附属设施建设。</w:t>
      </w:r>
    </w:p>
    <w:p w14:paraId="41A33274">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6A2B1F0E">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本项目总投资</w:t>
      </w:r>
      <w:r>
        <w:rPr>
          <w:rFonts w:hint="eastAsia" w:ascii="仿宋_GB2312" w:hAnsi="仿宋_GB2312" w:eastAsia="仿宋_GB2312" w:cs="仿宋_GB2312"/>
          <w:color w:val="auto"/>
          <w:sz w:val="32"/>
          <w:szCs w:val="32"/>
          <w:highlight w:val="none"/>
          <w:lang w:val="en-US" w:eastAsia="zh-CN"/>
        </w:rPr>
        <w:t>8070</w:t>
      </w:r>
      <w:r>
        <w:rPr>
          <w:rFonts w:hint="eastAsia" w:ascii="仿宋_GB2312" w:hAnsi="仿宋_GB2312" w:eastAsia="仿宋_GB2312" w:cs="仿宋_GB2312"/>
          <w:color w:val="auto"/>
          <w:sz w:val="32"/>
          <w:szCs w:val="32"/>
          <w:highlight w:val="none"/>
        </w:rPr>
        <w:t>万元，其中：财政本级资金</w:t>
      </w:r>
      <w:r>
        <w:rPr>
          <w:rFonts w:hint="eastAsia" w:ascii="仿宋_GB2312" w:hAnsi="仿宋_GB2312" w:eastAsia="仿宋_GB2312" w:cs="仿宋_GB2312"/>
          <w:color w:val="auto"/>
          <w:sz w:val="32"/>
          <w:szCs w:val="32"/>
          <w:highlight w:val="none"/>
          <w:lang w:val="en-US" w:eastAsia="zh-CN"/>
        </w:rPr>
        <w:t>8070</w:t>
      </w:r>
      <w:r>
        <w:rPr>
          <w:rFonts w:hint="eastAsia" w:ascii="仿宋_GB2312" w:hAnsi="仿宋_GB2312" w:eastAsia="仿宋_GB2312" w:cs="仿宋_GB2312"/>
          <w:color w:val="auto"/>
          <w:sz w:val="32"/>
          <w:szCs w:val="32"/>
          <w:highlight w:val="none"/>
        </w:rPr>
        <w:t>万元。项目实际支出</w:t>
      </w:r>
      <w:r>
        <w:rPr>
          <w:rFonts w:hint="eastAsia" w:ascii="仿宋_GB2312" w:hAnsi="仿宋_GB2312" w:eastAsia="仿宋_GB2312" w:cs="仿宋_GB2312"/>
          <w:color w:val="auto"/>
          <w:sz w:val="32"/>
          <w:szCs w:val="32"/>
          <w:highlight w:val="none"/>
          <w:lang w:val="en-US" w:eastAsia="zh-CN"/>
        </w:rPr>
        <w:t>8070</w:t>
      </w:r>
      <w:r>
        <w:rPr>
          <w:rFonts w:hint="eastAsia" w:ascii="仿宋_GB2312" w:hAnsi="仿宋_GB2312" w:eastAsia="仿宋_GB2312" w:cs="仿宋_GB2312"/>
          <w:color w:val="auto"/>
          <w:sz w:val="32"/>
          <w:szCs w:val="32"/>
          <w:highlight w:val="none"/>
        </w:rPr>
        <w:t>万元，支出率为100%。</w:t>
      </w:r>
    </w:p>
    <w:p w14:paraId="62E8C526">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3、资金投入和使用情况</w:t>
      </w:r>
    </w:p>
    <w:p w14:paraId="2E233B5E">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32"/>
          <w:szCs w:val="32"/>
          <w:highlight w:val="none"/>
        </w:rPr>
        <w:t>（1）资金安排</w:t>
      </w:r>
    </w:p>
    <w:p w14:paraId="561DB302">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总投资8070万元，按照《项目资金管理办法》及单位财务制度等相关规定，资金支出符合传染病门诊住院楼建设专项资金费用范围，做到了专款专用。在项目资金拨付和使用过程中，为确保项目资金的安全性，提高项目资金使用效率，严格遵循传染病门诊住院楼建设资金的拨付程序，认真审核项目实施各阶段的相关材料和手续，根据项目实施进展情况拨付资金。</w:t>
      </w:r>
    </w:p>
    <w:p w14:paraId="57FBC16C">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（2）预算资金来源及使用情况</w:t>
      </w:r>
      <w:bookmarkStart w:id="0" w:name="page10"/>
      <w:bookmarkEnd w:id="0"/>
    </w:p>
    <w:p w14:paraId="46CE0EA1">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项目预算资金来源于塔地财建［2020］128号文件中批复的资金，项目资金到位8070万元，用于支付项目实施进程中的各项费用。</w:t>
      </w:r>
    </w:p>
    <w:p w14:paraId="217EB8F9">
      <w:pPr>
        <w:pageBreakBefore w:val="0"/>
        <w:kinsoku/>
        <w:wordWrap/>
        <w:overflowPunct/>
        <w:topLinePunct w:val="0"/>
        <w:autoSpaceDE/>
        <w:autoSpaceDN/>
        <w:bidi w:val="0"/>
        <w:adjustRightInd/>
        <w:spacing w:line="560" w:lineRule="atLeast"/>
        <w:textAlignment w:val="auto"/>
        <w:rPr>
          <w:rFonts w:hint="default" w:eastAsia="仿宋_GB2312"/>
          <w:lang w:val="en-US" w:eastAsia="zh-CN"/>
        </w:rPr>
      </w:pPr>
      <w:r>
        <w:rPr>
          <w:rFonts w:hint="eastAsia" w:ascii="仿宋_GB2312" w:hAnsi="仿宋_GB2312" w:eastAsia="仿宋_GB2312" w:cs="仿宋_GB2312"/>
          <w:b w:val="0"/>
          <w:bCs w:val="0"/>
          <w:color w:val="auto"/>
          <w:kern w:val="2"/>
          <w:highlight w:val="none"/>
          <w:lang w:val="en-US" w:eastAsia="zh-CN"/>
        </w:rPr>
        <w:t xml:space="preserve">    </w:t>
      </w:r>
    </w:p>
    <w:p w14:paraId="49573724">
      <w:pPr>
        <w:pageBreakBefore w:val="0"/>
        <w:kinsoku/>
        <w:wordWrap/>
        <w:overflowPunct/>
        <w:topLinePunct w:val="0"/>
        <w:autoSpaceDE/>
        <w:autoSpaceDN/>
        <w:bidi w:val="0"/>
        <w:adjustRightInd/>
        <w:spacing w:line="560" w:lineRule="atLeast"/>
        <w:ind w:firstLine="641"/>
        <w:textAlignment w:val="auto"/>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（二）项目绩效目标</w:t>
      </w:r>
    </w:p>
    <w:p w14:paraId="60754B1D">
      <w:pPr>
        <w:pageBreakBefore w:val="0"/>
        <w:kinsoku/>
        <w:wordWrap/>
        <w:overflowPunct/>
        <w:topLinePunct w:val="0"/>
        <w:autoSpaceDE/>
        <w:autoSpaceDN/>
        <w:bidi w:val="0"/>
        <w:adjustRightInd/>
        <w:spacing w:line="560" w:lineRule="atLeast"/>
        <w:ind w:firstLine="641"/>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1、总体目标</w:t>
      </w:r>
    </w:p>
    <w:p w14:paraId="7493116E">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传染病门诊住院楼建设面积为:13000㎡，为五层框架结构，一层为:呼吸道门诊、消化道门诊、结核病门诊、艾滋病门诊、药房 门诊输液室、B超检查室、收费室、二层为消化道病房、CT 检查室、检验科、三、四、五层均为负压病房，每层还设有ICU监护室。附属设施有:医用电梯、螺旋CT、彩色多普勒B超、检验、消防工程设施、安防呼叫系统、信息化弱电工程、营养室、供电、供水、供暖系统、污水处理、医疗废物处理、通讯设施、洗衣房、等附属设施建设。</w:t>
      </w:r>
    </w:p>
    <w:p w14:paraId="3FBA5C37">
      <w:pPr>
        <w:pageBreakBefore w:val="0"/>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2、阶段性目标</w:t>
      </w:r>
    </w:p>
    <w:p w14:paraId="1CCFC383">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（1）前期准备：根据《可行性研究报告方案》，通过制定项目实施方案，经项目负责人审核通过后，有序开展后续工程。</w:t>
      </w:r>
    </w:p>
    <w:p w14:paraId="5999994A">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（2）组织实施：资金一到位，立即根据项目要求实施项目。项目责任人按照《可行性研究报告方案》要求逐一进行项目部署安排，提高项目质量及效率性。</w:t>
      </w:r>
    </w:p>
    <w:p w14:paraId="40041D87">
      <w:pPr>
        <w:pageBreakBefore w:val="0"/>
        <w:kinsoku/>
        <w:wordWrap/>
        <w:overflowPunct/>
        <w:topLinePunct w:val="0"/>
        <w:autoSpaceDE/>
        <w:autoSpaceDN/>
        <w:bidi w:val="0"/>
        <w:adjustRightInd/>
        <w:spacing w:line="560" w:lineRule="atLeast"/>
        <w:ind w:firstLine="641"/>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二、绩效评价工作开展情况</w:t>
      </w:r>
    </w:p>
    <w:p w14:paraId="6C1D7BC3">
      <w:pPr>
        <w:pageBreakBefore w:val="0"/>
        <w:kinsoku/>
        <w:wordWrap/>
        <w:overflowPunct/>
        <w:topLinePunct w:val="0"/>
        <w:autoSpaceDE/>
        <w:autoSpaceDN/>
        <w:bidi w:val="0"/>
        <w:adjustRightInd/>
        <w:spacing w:line="560" w:lineRule="atLeast"/>
        <w:ind w:firstLine="641"/>
        <w:textAlignment w:val="auto"/>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（一）绩效评价目的、对象和范围</w:t>
      </w:r>
    </w:p>
    <w:p w14:paraId="2468BD7C">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1、绩效评价的目的</w:t>
      </w:r>
    </w:p>
    <w:p w14:paraId="29BADABC">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386136E6">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项目在实施前向项目负责人提供财政支出绩效方面的资金管理信息，促进项目支出严格按照资金管理规定进行。</w:t>
      </w:r>
    </w:p>
    <w:p w14:paraId="7BE1FB99">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（2）项目绩效管理财政支出运行提供及时、有效的信息。</w:t>
      </w:r>
    </w:p>
    <w:p w14:paraId="5C67D89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综合来看，通过开展有效的财政支出绩效评价管理，达到改进预算管理、控制节约成本，提高预算资金使用效益的目的。</w:t>
      </w:r>
    </w:p>
    <w:p w14:paraId="6DFEE1D2">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2、绩效评价的对象</w:t>
      </w:r>
    </w:p>
    <w:p w14:paraId="493926AB">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评价对象为塔城地区人民医院（南院）传染病综合楼及附属设施项目，评价核心为专项资金的支出完成情况和效果。</w:t>
      </w:r>
    </w:p>
    <w:p w14:paraId="393B69A6">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3、绩效评价的范围</w:t>
      </w:r>
    </w:p>
    <w:p w14:paraId="627C3CD7">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从塔城地区人民医院（南院）传染病综合楼及附属设施项目的决策、过程、产出、效益等方面进行评价。</w:t>
      </w:r>
    </w:p>
    <w:p w14:paraId="6C99E634">
      <w:pPr>
        <w:pageBreakBefore w:val="0"/>
        <w:kinsoku/>
        <w:wordWrap/>
        <w:overflowPunct/>
        <w:topLinePunct w:val="0"/>
        <w:autoSpaceDE/>
        <w:autoSpaceDN/>
        <w:bidi w:val="0"/>
        <w:adjustRightInd/>
        <w:spacing w:line="560" w:lineRule="atLeast"/>
        <w:ind w:firstLine="641"/>
        <w:textAlignment w:val="auto"/>
        <w:rPr>
          <w:rFonts w:ascii="仿宋_GB2312"/>
          <w:color w:val="auto"/>
          <w:highlight w:val="none"/>
        </w:rPr>
      </w:pPr>
      <w:r>
        <w:rPr>
          <w:rFonts w:hint="eastAsia" w:ascii="楷体_GB2312" w:hAnsi="楷体_GB2312" w:eastAsia="楷体_GB2312" w:cs="楷体_GB2312"/>
          <w:b/>
          <w:bCs/>
          <w:color w:val="auto"/>
          <w:sz w:val="32"/>
          <w:szCs w:val="32"/>
          <w:highlight w:val="none"/>
        </w:rPr>
        <w:t>（二）绩效评价原则、评价指标体系（详情见表1）、评价方法、评价标准。</w:t>
      </w:r>
    </w:p>
    <w:p w14:paraId="3A063384">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1、绩效评价原则</w:t>
      </w:r>
    </w:p>
    <w:p w14:paraId="2A9B37A0">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本次项目绩效评价遵循以下基本原则：</w:t>
      </w:r>
    </w:p>
    <w:p w14:paraId="79F1093B">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（1）科学公正。绩效评价应当运用科学合理的方法，按照规范的程序，对项目绩效进行客观、公正的反映。</w:t>
      </w:r>
    </w:p>
    <w:p w14:paraId="381C4164">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（2）统筹兼顾。单位自评、部门评价和财政评价应职责明确，各有侧重，相互衔接。单位自评应由项目单位自主实施，即“谁支出、谁自评”。部门评价和财政评价应在单位自评的基础上开展。</w:t>
      </w:r>
    </w:p>
    <w:p w14:paraId="468A1545">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（3）激励约束。绩效评价结果应与预算安排、政策调整、改进管理实质性挂钩，体现奖优罚劣和激励相容导向，有效要安排、低效要压减、无效要问责。</w:t>
      </w:r>
    </w:p>
    <w:p w14:paraId="20A64E27">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（4）公开透明。绩效评价结果应依法依规公开，并自觉接受社会监督。</w:t>
      </w:r>
    </w:p>
    <w:p w14:paraId="10DD6395">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2、评价指标体系</w:t>
      </w:r>
    </w:p>
    <w:p w14:paraId="37962827">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绩效评价框架是开展绩效评价的核心。绩效评价框架包括评价准则、关键评价问题、评价指标、数据来源、数据收集方法等。指标体系建立过程如下：</w:t>
      </w:r>
    </w:p>
    <w:p w14:paraId="28F2BE0D">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（1）确定评价指标</w:t>
      </w:r>
    </w:p>
    <w:p w14:paraId="60FF5DD8">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采用层次分析法，建立评价指标体系。绩效评价将指标分为项目决策、项目产出、项目效益、项目过程指标四个维度，最终形成一个由多个相互联系的指标组成的多层次指标体系。</w:t>
      </w:r>
    </w:p>
    <w:p w14:paraId="28A63025">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（2）确定权重</w:t>
      </w:r>
    </w:p>
    <w:p w14:paraId="57510D23">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确定各个指标相对于项目总体绩效的权重分值。在绩效评价指标体系中，项目决策权重为5%，项目过程权重值占5%，项目产出权重值占50%，项目效益权重占40%。</w:t>
      </w:r>
    </w:p>
    <w:p w14:paraId="3C1D7363">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（3）确定指标标准值</w:t>
      </w:r>
    </w:p>
    <w:p w14:paraId="659AA243">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指标标准值是绩效评价指标的尺度，既要反映同类项目的先进水平，又要符合项目的实际绩效水平。具体采用计划标准等确定此次绩效评价指标标准值。</w:t>
      </w:r>
    </w:p>
    <w:p w14:paraId="6F18D0C9">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659C5739">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具体评价指标体系详情见附件1</w:t>
      </w:r>
    </w:p>
    <w:p w14:paraId="12134B9F">
      <w:pPr>
        <w:keepNext w:val="0"/>
        <w:keepLines w:val="0"/>
        <w:pageBreakBefore w:val="0"/>
        <w:widowControl w:val="0"/>
        <w:kinsoku/>
        <w:wordWrap/>
        <w:overflowPunct/>
        <w:topLinePunct w:val="0"/>
        <w:autoSpaceDE/>
        <w:autoSpaceDN/>
        <w:bidi w:val="0"/>
        <w:adjustRightInd/>
        <w:snapToGrid/>
        <w:spacing w:line="560" w:lineRule="atLeast"/>
        <w:ind w:firstLine="643" w:firstLineChars="200"/>
        <w:textAlignment w:val="auto"/>
        <w:outlineLvl w:val="9"/>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3、绩效评价方法</w:t>
      </w:r>
    </w:p>
    <w:p w14:paraId="43ECA8A0">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绩效评价从项目决策、项目过程、项目产出、项目效益四个维度进行评价。评价对象为项目目标实施情况，  评价核心为资金的支出完成情况和项目的产出效益。</w:t>
      </w:r>
    </w:p>
    <w:p w14:paraId="399A40AF">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本次评价指标中，既有定性指标又有定量指标，各类指标因考核内容不同和客观标准不同存在较大差异，因此核定具体指标时采用了不同方法，具体评价方法如下：</w:t>
      </w:r>
    </w:p>
    <w:p w14:paraId="7ABCBEC6">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（1）比较法</w:t>
      </w:r>
    </w:p>
    <w:p w14:paraId="2A9256B0">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通过对绩效目标与实施效果、历史与当期情况，综合分析绩效目标实现程度。对项目最终验收情况与年度绩效目标对比、预算资金执行情况等相关因素进行比较。</w:t>
      </w:r>
    </w:p>
    <w:p w14:paraId="5C633799">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（2）因素分析法</w:t>
      </w:r>
    </w:p>
    <w:p w14:paraId="09577808">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203E1D8D">
      <w:pPr>
        <w:pStyle w:val="2"/>
        <w:pageBreakBefore w:val="0"/>
        <w:widowControl w:val="0"/>
        <w:kinsoku/>
        <w:wordWrap/>
        <w:overflowPunct/>
        <w:topLinePunct w:val="0"/>
        <w:autoSpaceDE/>
        <w:autoSpaceDN/>
        <w:bidi w:val="0"/>
        <w:adjustRightInd/>
        <w:spacing w:before="0" w:after="0" w:line="560" w:lineRule="atLeast"/>
        <w:ind w:firstLine="641"/>
        <w:jc w:val="both"/>
        <w:textAlignment w:val="auto"/>
        <w:outlineLvl w:val="9"/>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lang w:val="en-US" w:eastAsia="zh-CN"/>
        </w:rPr>
        <w:t>4</w:t>
      </w:r>
      <w:r>
        <w:rPr>
          <w:rFonts w:hint="eastAsia" w:ascii="仿宋_GB2312" w:hAnsi="仿宋_GB2312" w:eastAsia="仿宋_GB2312" w:cs="仿宋_GB2312"/>
          <w:b/>
          <w:bCs/>
          <w:color w:val="auto"/>
          <w:highlight w:val="none"/>
        </w:rPr>
        <w:t>、绩效评价标准</w:t>
      </w:r>
    </w:p>
    <w:p w14:paraId="0BED2FBB">
      <w:pPr>
        <w:keepNext w:val="0"/>
        <w:keepLines w:val="0"/>
        <w:pageBreakBefore w:val="0"/>
        <w:widowControl w:val="0"/>
        <w:kinsoku/>
        <w:wordWrap/>
        <w:overflowPunct/>
        <w:topLinePunct w:val="0"/>
        <w:autoSpaceDE/>
        <w:autoSpaceDN/>
        <w:bidi w:val="0"/>
        <w:adjustRightInd/>
        <w:snapToGrid/>
        <w:spacing w:line="560" w:lineRule="atLeast"/>
        <w:ind w:firstLine="640" w:firstLineChars="200"/>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绩效评价标准通常包括计划标准、行业标准、历史标准等，用于对绩效指标完成情况进行比较。本次评价主要采用了计划标准和行业标准。</w:t>
      </w:r>
    </w:p>
    <w:p w14:paraId="7989AA13">
      <w:pPr>
        <w:pStyle w:val="2"/>
        <w:pageBreakBefore w:val="0"/>
        <w:numPr>
          <w:ilvl w:val="0"/>
          <w:numId w:val="3"/>
        </w:numPr>
        <w:kinsoku/>
        <w:wordWrap/>
        <w:overflowPunct/>
        <w:topLinePunct w:val="0"/>
        <w:autoSpaceDE/>
        <w:autoSpaceDN/>
        <w:bidi w:val="0"/>
        <w:adjustRightInd/>
        <w:spacing w:before="0" w:after="0" w:line="560" w:lineRule="atLeast"/>
        <w:jc w:val="both"/>
        <w:textAlignment w:val="auto"/>
        <w:rPr>
          <w:rFonts w:hint="eastAsia" w:ascii="仿宋_GB2312" w:hAnsi="仿宋_GB2312" w:eastAsia="仿宋_GB2312" w:cs="仿宋_GB2312"/>
          <w:b/>
          <w:bCs/>
          <w:color w:val="auto"/>
          <w:spacing w:val="17"/>
          <w:kern w:val="2"/>
          <w:sz w:val="32"/>
          <w:szCs w:val="32"/>
          <w:highlight w:val="none"/>
          <w:lang w:val="en-US" w:eastAsia="zh-CN" w:bidi="ar-SA"/>
        </w:rPr>
      </w:pPr>
      <w:r>
        <w:rPr>
          <w:rFonts w:hint="eastAsia" w:ascii="仿宋_GB2312" w:hAnsi="仿宋_GB2312" w:eastAsia="仿宋_GB2312" w:cs="仿宋_GB2312"/>
          <w:b/>
          <w:bCs/>
          <w:color w:val="auto"/>
          <w:spacing w:val="17"/>
          <w:kern w:val="2"/>
          <w:sz w:val="32"/>
          <w:szCs w:val="32"/>
          <w:highlight w:val="none"/>
          <w:lang w:val="en-US" w:eastAsia="zh-CN" w:bidi="ar-SA"/>
        </w:rPr>
        <w:t>绩效评价工作过程</w:t>
      </w:r>
    </w:p>
    <w:p w14:paraId="430C2D84">
      <w:pPr>
        <w:pageBreakBefore w:val="0"/>
        <w:numPr>
          <w:ilvl w:val="0"/>
          <w:numId w:val="4"/>
        </w:numPr>
        <w:kinsoku/>
        <w:wordWrap/>
        <w:overflowPunct/>
        <w:topLinePunct w:val="0"/>
        <w:autoSpaceDE/>
        <w:autoSpaceDN/>
        <w:bidi w:val="0"/>
        <w:adjustRightInd/>
        <w:spacing w:line="560" w:lineRule="atLeast"/>
        <w:ind w:firstLine="708" w:firstLineChars="200"/>
        <w:textAlignment w:val="auto"/>
        <w:rPr>
          <w:rFonts w:hint="eastAsia" w:ascii="仿宋_GB2312" w:hAnsi="仿宋_GB2312" w:eastAsia="仿宋_GB2312" w:cs="仿宋_GB2312"/>
          <w:b w:val="0"/>
          <w:bCs w:val="0"/>
          <w:color w:val="auto"/>
          <w:spacing w:val="17"/>
          <w:kern w:val="2"/>
          <w:sz w:val="32"/>
          <w:szCs w:val="32"/>
          <w:highlight w:val="none"/>
          <w:lang w:val="en-US" w:eastAsia="zh-CN" w:bidi="ar-SA"/>
        </w:rPr>
      </w:pPr>
      <w:r>
        <w:rPr>
          <w:rFonts w:hint="eastAsia" w:ascii="仿宋_GB2312" w:hAnsi="仿宋_GB2312" w:eastAsia="仿宋_GB2312" w:cs="仿宋_GB2312"/>
          <w:b w:val="0"/>
          <w:bCs w:val="0"/>
          <w:color w:val="auto"/>
          <w:spacing w:val="17"/>
          <w:kern w:val="2"/>
          <w:sz w:val="32"/>
          <w:szCs w:val="32"/>
          <w:highlight w:val="none"/>
          <w:lang w:val="en-US" w:eastAsia="zh-CN" w:bidi="ar-SA"/>
        </w:rPr>
        <w:t>前期准备。首先成立评价工作组，开展前期调研；其次明确项目绩效目标，设计绩效评价指标体系并确定绩效评价方法；接着确定现场和非现场评价范围，设计资料清单；最后制定评价实施方案并进行论证。</w:t>
      </w:r>
    </w:p>
    <w:p w14:paraId="6E3B5A43">
      <w:pPr>
        <w:pageBreakBefore w:val="0"/>
        <w:numPr>
          <w:ilvl w:val="0"/>
          <w:numId w:val="4"/>
        </w:numPr>
        <w:kinsoku/>
        <w:wordWrap/>
        <w:overflowPunct/>
        <w:topLinePunct w:val="0"/>
        <w:autoSpaceDE/>
        <w:autoSpaceDN/>
        <w:bidi w:val="0"/>
        <w:adjustRightInd/>
        <w:spacing w:line="560" w:lineRule="atLeast"/>
        <w:ind w:firstLine="708" w:firstLineChars="200"/>
        <w:textAlignment w:val="auto"/>
        <w:rPr>
          <w:rFonts w:hint="eastAsia" w:ascii="仿宋_GB2312" w:hAnsi="仿宋_GB2312" w:eastAsia="仿宋_GB2312" w:cs="仿宋_GB2312"/>
          <w:b w:val="0"/>
          <w:bCs w:val="0"/>
          <w:color w:val="auto"/>
          <w:spacing w:val="17"/>
          <w:kern w:val="2"/>
          <w:sz w:val="32"/>
          <w:szCs w:val="32"/>
          <w:highlight w:val="none"/>
          <w:lang w:val="en-US" w:eastAsia="zh-CN" w:bidi="ar-SA"/>
        </w:rPr>
      </w:pPr>
      <w:r>
        <w:rPr>
          <w:rFonts w:hint="eastAsia" w:ascii="仿宋_GB2312" w:hAnsi="仿宋_GB2312" w:eastAsia="仿宋_GB2312" w:cs="仿宋_GB2312"/>
          <w:b w:val="0"/>
          <w:bCs w:val="0"/>
          <w:color w:val="auto"/>
          <w:spacing w:val="17"/>
          <w:kern w:val="2"/>
          <w:sz w:val="32"/>
          <w:szCs w:val="32"/>
          <w:highlight w:val="none"/>
          <w:lang w:val="en-US" w:eastAsia="zh-CN" w:bidi="ar-SA"/>
        </w:rPr>
        <w:t>组织实施。制定绩效评价工作方案，具体包括项目概况、评价思路、方法手段、组织实施、进度安排等。收集项目立项依据、相关会议纪要、实施方案、财政资金分配方案、支付管理情况等相关评价资料并进行梳理。</w:t>
      </w:r>
    </w:p>
    <w:p w14:paraId="65C8D2C4">
      <w:pPr>
        <w:pageBreakBefore w:val="0"/>
        <w:numPr>
          <w:ilvl w:val="0"/>
          <w:numId w:val="4"/>
        </w:numPr>
        <w:kinsoku/>
        <w:wordWrap/>
        <w:overflowPunct/>
        <w:topLinePunct w:val="0"/>
        <w:autoSpaceDE/>
        <w:autoSpaceDN/>
        <w:bidi w:val="0"/>
        <w:adjustRightInd/>
        <w:spacing w:line="560" w:lineRule="atLeast"/>
        <w:ind w:firstLine="708" w:firstLineChars="200"/>
        <w:textAlignment w:val="auto"/>
      </w:pPr>
      <w:r>
        <w:rPr>
          <w:rFonts w:hint="eastAsia" w:ascii="仿宋_GB2312" w:hAnsi="仿宋_GB2312" w:eastAsia="仿宋_GB2312" w:cs="仿宋_GB2312"/>
          <w:b w:val="0"/>
          <w:bCs w:val="0"/>
          <w:color w:val="auto"/>
          <w:spacing w:val="17"/>
          <w:kern w:val="2"/>
          <w:sz w:val="32"/>
          <w:szCs w:val="32"/>
          <w:highlight w:val="none"/>
          <w:lang w:val="en-US" w:eastAsia="zh-CN" w:bidi="ar-SA"/>
        </w:rPr>
        <w:t>分析评价。根据收集梳理的资料围绕项目立项、资金落实、业务管理、财务管理、项目产出、项目效益等内容，对照已确定的绩效评价指标进行详细全面的分析评价，逐项打分并形成绩效评价最终结果。</w:t>
      </w:r>
    </w:p>
    <w:p w14:paraId="1E5A4E07">
      <w:pPr>
        <w:pageBreakBefore w:val="0"/>
        <w:numPr>
          <w:ilvl w:val="0"/>
          <w:numId w:val="5"/>
        </w:numPr>
        <w:kinsoku/>
        <w:wordWrap/>
        <w:overflowPunct/>
        <w:topLinePunct w:val="0"/>
        <w:autoSpaceDE/>
        <w:autoSpaceDN/>
        <w:bidi w:val="0"/>
        <w:adjustRightInd/>
        <w:spacing w:line="560" w:lineRule="atLeast"/>
        <w:ind w:firstLine="641"/>
        <w:textAlignment w:val="auto"/>
        <w:rPr>
          <w:rFonts w:ascii="黑体" w:hAnsi="黑体" w:eastAsia="黑体" w:cs="黑体"/>
          <w:color w:val="auto"/>
          <w:sz w:val="32"/>
          <w:szCs w:val="32"/>
          <w:highlight w:val="none"/>
        </w:rPr>
      </w:pPr>
      <w:r>
        <w:rPr>
          <w:rFonts w:hint="eastAsia" w:ascii="黑体" w:hAnsi="黑体" w:eastAsia="黑体" w:cs="黑体"/>
          <w:color w:val="auto"/>
          <w:sz w:val="32"/>
          <w:szCs w:val="32"/>
          <w:highlight w:val="none"/>
        </w:rPr>
        <w:t>综合评价情况及评价结论（附相关评分表）</w:t>
      </w:r>
    </w:p>
    <w:p w14:paraId="1225382A">
      <w:pPr>
        <w:pStyle w:val="2"/>
        <w:pageBreakBefore w:val="0"/>
        <w:widowControl w:val="0"/>
        <w:kinsoku/>
        <w:wordWrap/>
        <w:overflowPunct/>
        <w:topLinePunct w:val="0"/>
        <w:autoSpaceDE/>
        <w:autoSpaceDN/>
        <w:bidi w:val="0"/>
        <w:adjustRightInd/>
        <w:spacing w:before="0" w:after="0" w:line="560" w:lineRule="atLeast"/>
        <w:ind w:firstLine="641"/>
        <w:jc w:val="both"/>
        <w:textAlignment w:val="auto"/>
        <w:outlineLvl w:val="9"/>
        <w:rPr>
          <w:rFonts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对</w:t>
      </w:r>
      <w:r>
        <w:rPr>
          <w:rFonts w:hint="eastAsia" w:ascii="仿宋_GB2312" w:hAnsi="仿宋_GB2312" w:eastAsia="仿宋_GB2312" w:cs="仿宋_GB2312"/>
          <w:b w:val="0"/>
          <w:bCs w:val="0"/>
          <w:color w:val="auto"/>
          <w:highlight w:val="none"/>
          <w:lang w:val="en-US" w:eastAsia="zh-CN"/>
        </w:rPr>
        <w:t>塔城地区人民医院（南院）传染病综合楼及附属设施项目</w:t>
      </w:r>
      <w:r>
        <w:rPr>
          <w:rFonts w:hint="eastAsia" w:ascii="仿宋_GB2312" w:hAnsi="仿宋_GB2312" w:eastAsia="仿宋_GB2312" w:cs="仿宋_GB2312"/>
          <w:b w:val="0"/>
          <w:bCs w:val="0"/>
          <w:color w:val="auto"/>
          <w:highlight w:val="none"/>
        </w:rPr>
        <w:t>进行客观评价，最终评分结果：总得分为</w:t>
      </w:r>
      <w:r>
        <w:rPr>
          <w:rFonts w:hint="eastAsia" w:ascii="仿宋_GB2312" w:hAnsi="仿宋_GB2312" w:eastAsia="仿宋_GB2312" w:cs="仿宋_GB2312"/>
          <w:b w:val="0"/>
          <w:bCs w:val="0"/>
          <w:color w:val="auto"/>
          <w:highlight w:val="none"/>
          <w:lang w:val="en-US" w:eastAsia="zh-CN"/>
        </w:rPr>
        <w:t>87.5</w:t>
      </w:r>
      <w:r>
        <w:rPr>
          <w:rFonts w:hint="eastAsia" w:ascii="仿宋_GB2312" w:hAnsi="仿宋_GB2312" w:eastAsia="仿宋_GB2312" w:cs="仿宋_GB2312"/>
          <w:b w:val="0"/>
          <w:bCs w:val="0"/>
          <w:color w:val="auto"/>
          <w:highlight w:val="none"/>
        </w:rPr>
        <w:t>分，属于“</w:t>
      </w:r>
      <w:r>
        <w:rPr>
          <w:rFonts w:hint="eastAsia" w:ascii="仿宋_GB2312" w:hAnsi="仿宋_GB2312" w:eastAsia="仿宋_GB2312" w:cs="仿宋_GB2312"/>
          <w:b w:val="0"/>
          <w:bCs w:val="0"/>
          <w:color w:val="auto"/>
          <w:highlight w:val="none"/>
          <w:lang w:val="en-US" w:eastAsia="zh-CN"/>
        </w:rPr>
        <w:t>良</w:t>
      </w:r>
      <w:r>
        <w:rPr>
          <w:rFonts w:hint="eastAsia" w:ascii="仿宋_GB2312" w:hAnsi="仿宋_GB2312" w:eastAsia="仿宋_GB2312" w:cs="仿宋_GB2312"/>
          <w:b w:val="0"/>
          <w:bCs w:val="0"/>
          <w:color w:val="auto"/>
          <w:highlight w:val="none"/>
        </w:rPr>
        <w:t>”。其中，项目决策类指标权重为5分，得分为 5分，得分率为 100%。项目过程类指标权重为5分，得分为5 分，得分率为 100%。项目产出类指标权重为50分，得分为</w:t>
      </w:r>
      <w:r>
        <w:rPr>
          <w:rFonts w:hint="eastAsia" w:ascii="仿宋_GB2312" w:hAnsi="仿宋_GB2312" w:eastAsia="仿宋_GB2312" w:cs="仿宋_GB2312"/>
          <w:b w:val="0"/>
          <w:bCs w:val="0"/>
          <w:color w:val="auto"/>
          <w:highlight w:val="none"/>
          <w:lang w:val="en-US" w:eastAsia="zh-CN"/>
        </w:rPr>
        <w:t>42.5</w:t>
      </w:r>
      <w:r>
        <w:rPr>
          <w:rFonts w:hint="eastAsia" w:ascii="仿宋_GB2312" w:hAnsi="仿宋_GB2312" w:eastAsia="仿宋_GB2312" w:cs="仿宋_GB2312"/>
          <w:b w:val="0"/>
          <w:bCs w:val="0"/>
          <w:color w:val="auto"/>
          <w:highlight w:val="none"/>
        </w:rPr>
        <w:t xml:space="preserve">分，得分率为 </w:t>
      </w:r>
      <w:r>
        <w:rPr>
          <w:rFonts w:hint="eastAsia" w:ascii="仿宋_GB2312" w:hAnsi="仿宋_GB2312" w:eastAsia="仿宋_GB2312" w:cs="仿宋_GB2312"/>
          <w:b w:val="0"/>
          <w:bCs w:val="0"/>
          <w:color w:val="auto"/>
          <w:highlight w:val="none"/>
          <w:lang w:val="en-US" w:eastAsia="zh-CN"/>
        </w:rPr>
        <w:t>85</w:t>
      </w:r>
      <w:r>
        <w:rPr>
          <w:rFonts w:hint="eastAsia" w:ascii="仿宋_GB2312" w:hAnsi="仿宋_GB2312" w:eastAsia="仿宋_GB2312" w:cs="仿宋_GB2312"/>
          <w:b w:val="0"/>
          <w:bCs w:val="0"/>
          <w:color w:val="auto"/>
          <w:highlight w:val="none"/>
        </w:rPr>
        <w:t>%。项目效益类指标权重为40分，得分为3</w:t>
      </w:r>
      <w:r>
        <w:rPr>
          <w:rFonts w:hint="eastAsia" w:ascii="仿宋_GB2312" w:hAnsi="仿宋_GB2312" w:eastAsia="仿宋_GB2312" w:cs="仿宋_GB2312"/>
          <w:b w:val="0"/>
          <w:bCs w:val="0"/>
          <w:color w:val="auto"/>
          <w:highlight w:val="none"/>
          <w:lang w:val="en-US" w:eastAsia="zh-CN"/>
        </w:rPr>
        <w:t>5</w:t>
      </w:r>
      <w:r>
        <w:rPr>
          <w:rFonts w:hint="eastAsia" w:ascii="仿宋_GB2312" w:hAnsi="仿宋_GB2312" w:eastAsia="仿宋_GB2312" w:cs="仿宋_GB2312"/>
          <w:b w:val="0"/>
          <w:bCs w:val="0"/>
          <w:color w:val="auto"/>
          <w:highlight w:val="none"/>
        </w:rPr>
        <w:t>分，得分率为</w:t>
      </w:r>
      <w:r>
        <w:rPr>
          <w:rFonts w:hint="eastAsia" w:ascii="仿宋_GB2312" w:hAnsi="仿宋_GB2312" w:eastAsia="仿宋_GB2312" w:cs="仿宋_GB2312"/>
          <w:b w:val="0"/>
          <w:bCs w:val="0"/>
          <w:color w:val="auto"/>
          <w:highlight w:val="none"/>
          <w:lang w:val="en-US" w:eastAsia="zh-CN"/>
        </w:rPr>
        <w:t>87.5</w:t>
      </w:r>
      <w:r>
        <w:rPr>
          <w:rFonts w:hint="eastAsia" w:ascii="仿宋_GB2312" w:hAnsi="仿宋_GB2312" w:eastAsia="仿宋_GB2312" w:cs="仿宋_GB2312"/>
          <w:b w:val="0"/>
          <w:bCs w:val="0"/>
          <w:color w:val="auto"/>
          <w:highlight w:val="none"/>
        </w:rPr>
        <w:t>%。</w:t>
      </w:r>
    </w:p>
    <w:p w14:paraId="73DE6A8F">
      <w:pPr>
        <w:pStyle w:val="2"/>
        <w:pageBreakBefore w:val="0"/>
        <w:kinsoku/>
        <w:wordWrap/>
        <w:overflowPunct/>
        <w:topLinePunct w:val="0"/>
        <w:autoSpaceDE/>
        <w:autoSpaceDN/>
        <w:bidi w:val="0"/>
        <w:adjustRightInd/>
        <w:spacing w:before="0" w:after="0" w:line="560" w:lineRule="atLeast"/>
        <w:textAlignment w:val="auto"/>
        <w:rPr>
          <w:rFonts w:ascii="仿宋_GB2312" w:hAnsi="仿宋_GB2312" w:eastAsia="仿宋_GB2312" w:cs="仿宋_GB2312"/>
          <w:color w:val="auto"/>
          <w:sz w:val="30"/>
          <w:szCs w:val="30"/>
          <w:highlight w:val="none"/>
        </w:rPr>
      </w:pPr>
      <w:r>
        <w:rPr>
          <w:rFonts w:hint="eastAsia" w:ascii="仿宋_GB2312" w:hAnsi="仿宋_GB2312" w:eastAsia="仿宋_GB2312" w:cs="仿宋_GB2312"/>
          <w:color w:val="auto"/>
          <w:sz w:val="30"/>
          <w:szCs w:val="30"/>
          <w:highlight w:val="none"/>
        </w:rPr>
        <w:t>表</w:t>
      </w:r>
      <w:r>
        <w:rPr>
          <w:rFonts w:hint="eastAsia" w:ascii="仿宋_GB2312" w:hAnsi="仿宋_GB2312" w:eastAsia="仿宋_GB2312" w:cs="仿宋_GB2312"/>
          <w:color w:val="auto"/>
          <w:sz w:val="30"/>
          <w:szCs w:val="30"/>
          <w:highlight w:val="none"/>
          <w:lang w:val="en-US" w:eastAsia="zh-CN"/>
        </w:rPr>
        <w:t>1</w:t>
      </w:r>
      <w:r>
        <w:rPr>
          <w:rFonts w:hint="eastAsia" w:ascii="仿宋_GB2312" w:hAnsi="仿宋_GB2312" w:eastAsia="仿宋_GB2312" w:cs="仿宋_GB2312"/>
          <w:color w:val="auto"/>
          <w:sz w:val="30"/>
          <w:szCs w:val="30"/>
          <w:highlight w:val="none"/>
        </w:rPr>
        <w:t>综合评分表</w:t>
      </w:r>
    </w:p>
    <w:p w14:paraId="6CF66707">
      <w:pPr>
        <w:pageBreakBefore w:val="0"/>
        <w:kinsoku/>
        <w:wordWrap/>
        <w:overflowPunct/>
        <w:topLinePunct w:val="0"/>
        <w:autoSpaceDE/>
        <w:autoSpaceDN/>
        <w:bidi w:val="0"/>
        <w:adjustRightInd/>
        <w:spacing w:line="560" w:lineRule="atLeast"/>
        <w:textAlignment w:val="auto"/>
        <w:rPr>
          <w:color w:val="auto"/>
          <w:highlight w:val="none"/>
        </w:rPr>
      </w:pPr>
    </w:p>
    <w:p w14:paraId="11E05368">
      <w:pPr>
        <w:pageBreakBefore w:val="0"/>
        <w:kinsoku/>
        <w:wordWrap/>
        <w:overflowPunct/>
        <w:topLinePunct w:val="0"/>
        <w:autoSpaceDE/>
        <w:autoSpaceDN/>
        <w:bidi w:val="0"/>
        <w:adjustRightInd/>
        <w:spacing w:line="560" w:lineRule="atLeast"/>
        <w:textAlignment w:val="auto"/>
        <w:rPr>
          <w:color w:val="auto"/>
          <w:highlight w:val="none"/>
        </w:rPr>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14:paraId="4F3AD4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14:paraId="10EDEC0F">
            <w:pPr>
              <w:pageBreakBefore w:val="0"/>
              <w:widowControl/>
              <w:kinsoku/>
              <w:wordWrap/>
              <w:overflowPunct/>
              <w:topLinePunct w:val="0"/>
              <w:autoSpaceDE/>
              <w:autoSpaceDN/>
              <w:bidi w:val="0"/>
              <w:adjustRightInd/>
              <w:spacing w:line="560" w:lineRule="atLeast"/>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一级指标</w:t>
            </w:r>
          </w:p>
        </w:tc>
        <w:tc>
          <w:tcPr>
            <w:tcW w:w="990" w:type="dxa"/>
            <w:shd w:val="clear" w:color="auto" w:fill="BFBFBF"/>
            <w:vAlign w:val="center"/>
          </w:tcPr>
          <w:p w14:paraId="5EE1112E">
            <w:pPr>
              <w:pageBreakBefore w:val="0"/>
              <w:widowControl/>
              <w:kinsoku/>
              <w:wordWrap/>
              <w:overflowPunct/>
              <w:topLinePunct w:val="0"/>
              <w:autoSpaceDE/>
              <w:autoSpaceDN/>
              <w:bidi w:val="0"/>
              <w:adjustRightInd/>
              <w:spacing w:line="560" w:lineRule="atLeas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分值</w:t>
            </w:r>
          </w:p>
        </w:tc>
        <w:tc>
          <w:tcPr>
            <w:tcW w:w="1283" w:type="dxa"/>
            <w:shd w:val="clear" w:color="auto" w:fill="BFBFBF"/>
            <w:vAlign w:val="center"/>
          </w:tcPr>
          <w:p w14:paraId="74A98495">
            <w:pPr>
              <w:pageBreakBefore w:val="0"/>
              <w:widowControl/>
              <w:kinsoku/>
              <w:wordWrap/>
              <w:overflowPunct/>
              <w:topLinePunct w:val="0"/>
              <w:autoSpaceDE/>
              <w:autoSpaceDN/>
              <w:bidi w:val="0"/>
              <w:adjustRightInd/>
              <w:spacing w:line="560" w:lineRule="atLeas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二级指标</w:t>
            </w:r>
          </w:p>
        </w:tc>
        <w:tc>
          <w:tcPr>
            <w:tcW w:w="1707" w:type="dxa"/>
            <w:shd w:val="clear" w:color="auto" w:fill="BFBFBF"/>
            <w:vAlign w:val="center"/>
          </w:tcPr>
          <w:p w14:paraId="082D2515">
            <w:pPr>
              <w:pageBreakBefore w:val="0"/>
              <w:widowControl/>
              <w:kinsoku/>
              <w:wordWrap/>
              <w:overflowPunct/>
              <w:topLinePunct w:val="0"/>
              <w:autoSpaceDE/>
              <w:autoSpaceDN/>
              <w:bidi w:val="0"/>
              <w:adjustRightInd/>
              <w:spacing w:line="560" w:lineRule="atLeas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三级指标</w:t>
            </w:r>
          </w:p>
        </w:tc>
        <w:tc>
          <w:tcPr>
            <w:tcW w:w="727" w:type="dxa"/>
            <w:shd w:val="clear" w:color="auto" w:fill="BFBFBF"/>
            <w:vAlign w:val="center"/>
          </w:tcPr>
          <w:p w14:paraId="791F5313">
            <w:pPr>
              <w:pageBreakBefore w:val="0"/>
              <w:widowControl/>
              <w:kinsoku/>
              <w:wordWrap/>
              <w:overflowPunct/>
              <w:topLinePunct w:val="0"/>
              <w:autoSpaceDE/>
              <w:autoSpaceDN/>
              <w:bidi w:val="0"/>
              <w:adjustRightInd/>
              <w:spacing w:line="560" w:lineRule="atLeas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权重</w:t>
            </w:r>
          </w:p>
        </w:tc>
        <w:tc>
          <w:tcPr>
            <w:tcW w:w="1044" w:type="dxa"/>
            <w:shd w:val="clear" w:color="auto" w:fill="BFBFBF"/>
            <w:vAlign w:val="center"/>
          </w:tcPr>
          <w:p w14:paraId="4872F5F2">
            <w:pPr>
              <w:pageBreakBefore w:val="0"/>
              <w:widowControl/>
              <w:tabs>
                <w:tab w:val="left" w:pos="1333"/>
                <w:tab w:val="center" w:pos="3623"/>
              </w:tabs>
              <w:kinsoku/>
              <w:wordWrap/>
              <w:overflowPunct/>
              <w:topLinePunct w:val="0"/>
              <w:autoSpaceDE/>
              <w:autoSpaceDN/>
              <w:bidi w:val="0"/>
              <w:adjustRightInd/>
              <w:spacing w:line="560" w:lineRule="atLeas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目标值</w:t>
            </w:r>
          </w:p>
        </w:tc>
        <w:tc>
          <w:tcPr>
            <w:tcW w:w="924" w:type="dxa"/>
            <w:shd w:val="clear" w:color="auto" w:fill="BFBFBF"/>
            <w:vAlign w:val="center"/>
          </w:tcPr>
          <w:p w14:paraId="62239F44">
            <w:pPr>
              <w:pageBreakBefore w:val="0"/>
              <w:widowControl/>
              <w:tabs>
                <w:tab w:val="left" w:pos="1333"/>
                <w:tab w:val="center" w:pos="3623"/>
              </w:tabs>
              <w:kinsoku/>
              <w:wordWrap/>
              <w:overflowPunct/>
              <w:topLinePunct w:val="0"/>
              <w:autoSpaceDE/>
              <w:autoSpaceDN/>
              <w:bidi w:val="0"/>
              <w:adjustRightInd/>
              <w:spacing w:line="560" w:lineRule="atLeas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业绩值</w:t>
            </w:r>
          </w:p>
        </w:tc>
        <w:tc>
          <w:tcPr>
            <w:tcW w:w="1215" w:type="dxa"/>
            <w:shd w:val="clear" w:color="auto" w:fill="BFBFBF"/>
            <w:vAlign w:val="center"/>
          </w:tcPr>
          <w:p w14:paraId="2EB68A43">
            <w:pPr>
              <w:pageBreakBefore w:val="0"/>
              <w:widowControl/>
              <w:tabs>
                <w:tab w:val="left" w:pos="1333"/>
                <w:tab w:val="center" w:pos="3623"/>
              </w:tabs>
              <w:kinsoku/>
              <w:wordWrap/>
              <w:overflowPunct/>
              <w:topLinePunct w:val="0"/>
              <w:autoSpaceDE/>
              <w:autoSpaceDN/>
              <w:bidi w:val="0"/>
              <w:adjustRightInd/>
              <w:spacing w:line="560" w:lineRule="atLeas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得分率</w:t>
            </w:r>
          </w:p>
        </w:tc>
        <w:tc>
          <w:tcPr>
            <w:tcW w:w="960" w:type="dxa"/>
            <w:shd w:val="clear" w:color="auto" w:fill="BFBFBF"/>
            <w:vAlign w:val="center"/>
          </w:tcPr>
          <w:p w14:paraId="22980ECC">
            <w:pPr>
              <w:pageBreakBefore w:val="0"/>
              <w:widowControl/>
              <w:tabs>
                <w:tab w:val="left" w:pos="1333"/>
                <w:tab w:val="center" w:pos="3623"/>
              </w:tabs>
              <w:kinsoku/>
              <w:wordWrap/>
              <w:overflowPunct/>
              <w:topLinePunct w:val="0"/>
              <w:autoSpaceDE/>
              <w:autoSpaceDN/>
              <w:bidi w:val="0"/>
              <w:adjustRightInd/>
              <w:spacing w:line="560" w:lineRule="atLeast"/>
              <w:jc w:val="center"/>
              <w:textAlignment w:val="auto"/>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得分</w:t>
            </w:r>
          </w:p>
        </w:tc>
      </w:tr>
      <w:tr w14:paraId="673509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3476EB7D">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决策　</w:t>
            </w:r>
          </w:p>
          <w:p w14:paraId="46FAB1E7">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p w14:paraId="4527ADDF">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p w14:paraId="20DC18F1">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990" w:type="dxa"/>
            <w:vMerge w:val="restart"/>
            <w:shd w:val="clear" w:color="auto" w:fill="FFFFFF"/>
            <w:vAlign w:val="center"/>
          </w:tcPr>
          <w:p w14:paraId="0E9F2ECC">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5分</w:t>
            </w:r>
          </w:p>
        </w:tc>
        <w:tc>
          <w:tcPr>
            <w:tcW w:w="1283" w:type="dxa"/>
            <w:vMerge w:val="restart"/>
            <w:shd w:val="clear" w:color="auto" w:fill="FFFFFF"/>
            <w:vAlign w:val="center"/>
          </w:tcPr>
          <w:p w14:paraId="4DC9A07C">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项目立项　</w:t>
            </w:r>
          </w:p>
        </w:tc>
        <w:tc>
          <w:tcPr>
            <w:tcW w:w="1707" w:type="dxa"/>
            <w:shd w:val="clear" w:color="auto" w:fill="FFFFFF"/>
            <w:vAlign w:val="center"/>
          </w:tcPr>
          <w:p w14:paraId="4FD78B67">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立项依据</w:t>
            </w:r>
          </w:p>
          <w:p w14:paraId="475E7317">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充分性</w:t>
            </w:r>
          </w:p>
        </w:tc>
        <w:tc>
          <w:tcPr>
            <w:tcW w:w="727" w:type="dxa"/>
            <w:shd w:val="clear" w:color="auto" w:fill="FFFFFF"/>
            <w:vAlign w:val="center"/>
          </w:tcPr>
          <w:p w14:paraId="6D718F52">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1044" w:type="dxa"/>
            <w:shd w:val="clear" w:color="auto" w:fill="FFFFFF"/>
            <w:vAlign w:val="center"/>
          </w:tcPr>
          <w:p w14:paraId="0B803328">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924" w:type="dxa"/>
            <w:shd w:val="clear" w:color="auto" w:fill="FFFFFF"/>
            <w:vAlign w:val="center"/>
          </w:tcPr>
          <w:p w14:paraId="793770BD">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1215" w:type="dxa"/>
            <w:shd w:val="clear" w:color="auto" w:fill="FFFFFF"/>
            <w:vAlign w:val="center"/>
          </w:tcPr>
          <w:p w14:paraId="40AA2F92">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auto" w:fill="FFFFFF"/>
            <w:vAlign w:val="center"/>
          </w:tcPr>
          <w:p w14:paraId="76A4FAFA">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r>
      <w:tr w14:paraId="53F15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27FF907">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14:paraId="6BC5033D">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14:paraId="39B283C5">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707" w:type="dxa"/>
            <w:shd w:val="clear" w:color="auto" w:fill="FFFFFF"/>
            <w:vAlign w:val="center"/>
          </w:tcPr>
          <w:p w14:paraId="12F09601">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立项程序</w:t>
            </w:r>
          </w:p>
          <w:p w14:paraId="6DD9FD4B">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规范性</w:t>
            </w:r>
          </w:p>
        </w:tc>
        <w:tc>
          <w:tcPr>
            <w:tcW w:w="727" w:type="dxa"/>
            <w:shd w:val="clear" w:color="auto" w:fill="FFFFFF"/>
            <w:vAlign w:val="center"/>
          </w:tcPr>
          <w:p w14:paraId="652AFD3C">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1044" w:type="dxa"/>
            <w:shd w:val="clear" w:color="auto" w:fill="FFFFFF"/>
            <w:vAlign w:val="center"/>
          </w:tcPr>
          <w:p w14:paraId="1E43E891">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924" w:type="dxa"/>
            <w:shd w:val="clear" w:color="auto" w:fill="FFFFFF"/>
            <w:vAlign w:val="center"/>
          </w:tcPr>
          <w:p w14:paraId="17D8148A">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c>
          <w:tcPr>
            <w:tcW w:w="1215" w:type="dxa"/>
            <w:shd w:val="clear" w:color="auto" w:fill="FFFFFF"/>
            <w:vAlign w:val="center"/>
          </w:tcPr>
          <w:p w14:paraId="388AF96A">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auto" w:fill="FFFFFF"/>
            <w:vAlign w:val="center"/>
          </w:tcPr>
          <w:p w14:paraId="6828C4AA">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0.5</w:t>
            </w:r>
          </w:p>
        </w:tc>
      </w:tr>
      <w:tr w14:paraId="7BF566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767A1A2">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14:paraId="24EFF801">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283" w:type="dxa"/>
            <w:vMerge w:val="restart"/>
            <w:shd w:val="clear" w:color="auto" w:fill="FFFFFF"/>
            <w:vAlign w:val="center"/>
          </w:tcPr>
          <w:p w14:paraId="4DB5AACC">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绩效目标　</w:t>
            </w:r>
          </w:p>
        </w:tc>
        <w:tc>
          <w:tcPr>
            <w:tcW w:w="1707" w:type="dxa"/>
            <w:shd w:val="clear" w:color="auto" w:fill="FFFFFF"/>
            <w:vAlign w:val="center"/>
          </w:tcPr>
          <w:p w14:paraId="7E80243B">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绩效目标</w:t>
            </w:r>
          </w:p>
          <w:p w14:paraId="152243E7">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合理性</w:t>
            </w:r>
          </w:p>
        </w:tc>
        <w:tc>
          <w:tcPr>
            <w:tcW w:w="727" w:type="dxa"/>
            <w:shd w:val="clear" w:color="000000" w:fill="FFFFFF"/>
            <w:vAlign w:val="center"/>
          </w:tcPr>
          <w:p w14:paraId="0B728008">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14:paraId="18ABB0FB">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000000" w:fill="FFFFFF"/>
            <w:vAlign w:val="center"/>
          </w:tcPr>
          <w:p w14:paraId="35B889FC">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000000" w:fill="FFFFFF"/>
            <w:vAlign w:val="center"/>
          </w:tcPr>
          <w:p w14:paraId="2F2FE87D">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000000" w:fill="FFFFFF"/>
            <w:vAlign w:val="center"/>
          </w:tcPr>
          <w:p w14:paraId="0DEACDA0">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14:paraId="65F085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22B73FC">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14:paraId="2A0B5FEF">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14:paraId="4669E156">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707" w:type="dxa"/>
            <w:shd w:val="clear" w:color="auto" w:fill="FFFFFF"/>
            <w:vAlign w:val="center"/>
          </w:tcPr>
          <w:p w14:paraId="05379539">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绩效指标</w:t>
            </w:r>
          </w:p>
          <w:p w14:paraId="68E0B1B3">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明确性</w:t>
            </w:r>
          </w:p>
        </w:tc>
        <w:tc>
          <w:tcPr>
            <w:tcW w:w="727" w:type="dxa"/>
            <w:shd w:val="clear" w:color="000000" w:fill="FFFFFF"/>
            <w:vAlign w:val="center"/>
          </w:tcPr>
          <w:p w14:paraId="2C7DA075">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14:paraId="77F4A36D">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000000" w:fill="FFFFFF"/>
            <w:vAlign w:val="center"/>
          </w:tcPr>
          <w:p w14:paraId="4725546A">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000000" w:fill="FFFFFF"/>
            <w:vAlign w:val="center"/>
          </w:tcPr>
          <w:p w14:paraId="0CE56527">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000000" w:fill="FFFFFF"/>
            <w:vAlign w:val="center"/>
          </w:tcPr>
          <w:p w14:paraId="747BC5D9">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14:paraId="74232B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07D292ED">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14:paraId="737DE06C">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283" w:type="dxa"/>
            <w:vMerge w:val="restart"/>
            <w:shd w:val="clear" w:color="auto" w:fill="FFFFFF"/>
            <w:vAlign w:val="center"/>
          </w:tcPr>
          <w:p w14:paraId="273418E3">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资金投入</w:t>
            </w:r>
          </w:p>
        </w:tc>
        <w:tc>
          <w:tcPr>
            <w:tcW w:w="1707" w:type="dxa"/>
            <w:shd w:val="clear" w:color="auto" w:fill="FFFFFF"/>
            <w:vAlign w:val="center"/>
          </w:tcPr>
          <w:p w14:paraId="383F26C4">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预算编制</w:t>
            </w:r>
          </w:p>
          <w:p w14:paraId="5F3335CE">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科学性</w:t>
            </w:r>
          </w:p>
        </w:tc>
        <w:tc>
          <w:tcPr>
            <w:tcW w:w="727" w:type="dxa"/>
            <w:shd w:val="clear" w:color="auto" w:fill="FFFFFF"/>
            <w:vAlign w:val="center"/>
          </w:tcPr>
          <w:p w14:paraId="4955FF9A">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auto" w:fill="FFFFFF"/>
            <w:vAlign w:val="center"/>
          </w:tcPr>
          <w:p w14:paraId="48FEFBCA">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auto" w:fill="FFFFFF"/>
            <w:vAlign w:val="center"/>
          </w:tcPr>
          <w:p w14:paraId="50E46A03">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auto" w:fill="FFFFFF"/>
            <w:vAlign w:val="center"/>
          </w:tcPr>
          <w:p w14:paraId="03C38C32">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auto" w:fill="FFFFFF"/>
            <w:vAlign w:val="center"/>
          </w:tcPr>
          <w:p w14:paraId="1E5FE3FA">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14:paraId="6ADE8C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28E83E22">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14:paraId="21C89AD8">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14:paraId="0FC67CBD">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707" w:type="dxa"/>
            <w:shd w:val="clear" w:color="auto" w:fill="FFFFFF"/>
            <w:vAlign w:val="center"/>
          </w:tcPr>
          <w:p w14:paraId="3E5082F7">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资金分配</w:t>
            </w:r>
          </w:p>
          <w:p w14:paraId="7E112603">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合理性</w:t>
            </w:r>
          </w:p>
        </w:tc>
        <w:tc>
          <w:tcPr>
            <w:tcW w:w="727" w:type="dxa"/>
            <w:shd w:val="clear" w:color="auto" w:fill="FFFFFF"/>
            <w:vAlign w:val="center"/>
          </w:tcPr>
          <w:p w14:paraId="72BA769B">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auto" w:fill="FFFFFF"/>
            <w:vAlign w:val="center"/>
          </w:tcPr>
          <w:p w14:paraId="57323346">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auto" w:fill="FFFFFF"/>
            <w:vAlign w:val="center"/>
          </w:tcPr>
          <w:p w14:paraId="7E266268">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auto" w:fill="FFFFFF"/>
            <w:vAlign w:val="center"/>
          </w:tcPr>
          <w:p w14:paraId="2F51A43D">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auto" w:fill="FFFFFF"/>
            <w:vAlign w:val="center"/>
          </w:tcPr>
          <w:p w14:paraId="75BCC24F">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14:paraId="27384E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3DA2003">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过程</w:t>
            </w:r>
          </w:p>
          <w:p w14:paraId="43B82972">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　</w:t>
            </w:r>
          </w:p>
        </w:tc>
        <w:tc>
          <w:tcPr>
            <w:tcW w:w="990" w:type="dxa"/>
            <w:vMerge w:val="restart"/>
            <w:shd w:val="clear" w:color="auto" w:fill="FFFFFF"/>
            <w:vAlign w:val="center"/>
          </w:tcPr>
          <w:p w14:paraId="48BC5033">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5分</w:t>
            </w:r>
          </w:p>
        </w:tc>
        <w:tc>
          <w:tcPr>
            <w:tcW w:w="1283" w:type="dxa"/>
            <w:vMerge w:val="restart"/>
            <w:shd w:val="clear" w:color="auto" w:fill="FFFFFF"/>
            <w:vAlign w:val="center"/>
          </w:tcPr>
          <w:p w14:paraId="72029EA6">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资金管理</w:t>
            </w:r>
          </w:p>
        </w:tc>
        <w:tc>
          <w:tcPr>
            <w:tcW w:w="1707" w:type="dxa"/>
            <w:shd w:val="clear" w:color="auto" w:fill="FFFFFF"/>
            <w:vAlign w:val="center"/>
          </w:tcPr>
          <w:p w14:paraId="68E842EC">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资金到位率</w:t>
            </w:r>
          </w:p>
        </w:tc>
        <w:tc>
          <w:tcPr>
            <w:tcW w:w="727" w:type="dxa"/>
            <w:shd w:val="clear" w:color="000000" w:fill="FFFFFF"/>
            <w:vAlign w:val="center"/>
          </w:tcPr>
          <w:p w14:paraId="415A129F">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14:paraId="3AF14330">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000000" w:fill="FFFFFF"/>
            <w:vAlign w:val="center"/>
          </w:tcPr>
          <w:p w14:paraId="5D4E8414">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000000" w:fill="FFFFFF"/>
            <w:vAlign w:val="center"/>
          </w:tcPr>
          <w:p w14:paraId="0939D845">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000000" w:fill="FFFFFF"/>
            <w:vAlign w:val="center"/>
          </w:tcPr>
          <w:p w14:paraId="067DE8B4">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14:paraId="0B749D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36F4EDE8">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14:paraId="00C6D11A">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14:paraId="145A3335">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707" w:type="dxa"/>
            <w:shd w:val="clear" w:color="auto" w:fill="FFFFFF"/>
            <w:vAlign w:val="center"/>
          </w:tcPr>
          <w:p w14:paraId="476A4120">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预算执行率</w:t>
            </w:r>
          </w:p>
        </w:tc>
        <w:tc>
          <w:tcPr>
            <w:tcW w:w="727" w:type="dxa"/>
            <w:shd w:val="clear" w:color="auto" w:fill="FFFFFF"/>
            <w:vAlign w:val="center"/>
          </w:tcPr>
          <w:p w14:paraId="2FE81BB6">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auto" w:fill="FFFFFF"/>
            <w:vAlign w:val="center"/>
          </w:tcPr>
          <w:p w14:paraId="4C6D64B3">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auto" w:fill="FFFFFF"/>
            <w:vAlign w:val="center"/>
          </w:tcPr>
          <w:p w14:paraId="06DDC14E">
            <w:pPr>
              <w:pageBreakBefore w:val="0"/>
              <w:widowControl/>
              <w:kinsoku/>
              <w:wordWrap/>
              <w:overflowPunct/>
              <w:topLinePunct w:val="0"/>
              <w:autoSpaceDE/>
              <w:autoSpaceDN/>
              <w:bidi w:val="0"/>
              <w:adjustRightInd/>
              <w:spacing w:line="560" w:lineRule="atLeas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lang w:val="en-US" w:eastAsia="zh-CN"/>
              </w:rPr>
              <w:t>1</w:t>
            </w:r>
          </w:p>
        </w:tc>
        <w:tc>
          <w:tcPr>
            <w:tcW w:w="1215" w:type="dxa"/>
            <w:shd w:val="clear" w:color="auto" w:fill="FFFFFF"/>
            <w:vAlign w:val="center"/>
          </w:tcPr>
          <w:p w14:paraId="398BFF54">
            <w:pPr>
              <w:pageBreakBefore w:val="0"/>
              <w:widowControl/>
              <w:kinsoku/>
              <w:wordWrap/>
              <w:overflowPunct/>
              <w:topLinePunct w:val="0"/>
              <w:autoSpaceDE/>
              <w:autoSpaceDN/>
              <w:bidi w:val="0"/>
              <w:adjustRightInd/>
              <w:spacing w:line="560" w:lineRule="atLeas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960" w:type="dxa"/>
            <w:shd w:val="clear" w:color="auto" w:fill="FFFFFF"/>
            <w:vAlign w:val="center"/>
          </w:tcPr>
          <w:p w14:paraId="35207475">
            <w:pPr>
              <w:pageBreakBefore w:val="0"/>
              <w:widowControl/>
              <w:kinsoku/>
              <w:wordWrap/>
              <w:overflowPunct/>
              <w:topLinePunct w:val="0"/>
              <w:autoSpaceDE/>
              <w:autoSpaceDN/>
              <w:bidi w:val="0"/>
              <w:adjustRightInd/>
              <w:spacing w:line="560" w:lineRule="atLeas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lang w:val="en-US" w:eastAsia="zh-CN"/>
              </w:rPr>
              <w:t>1</w:t>
            </w:r>
          </w:p>
        </w:tc>
      </w:tr>
      <w:tr w14:paraId="16F933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D14E0DD">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14:paraId="39E8D1B3">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283" w:type="dxa"/>
            <w:shd w:val="clear" w:color="auto" w:fill="FFFFFF"/>
            <w:vAlign w:val="center"/>
          </w:tcPr>
          <w:p w14:paraId="3AC705BF">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资金管理</w:t>
            </w:r>
          </w:p>
        </w:tc>
        <w:tc>
          <w:tcPr>
            <w:tcW w:w="1707" w:type="dxa"/>
            <w:shd w:val="clear" w:color="auto" w:fill="FFFFFF"/>
            <w:vAlign w:val="center"/>
          </w:tcPr>
          <w:p w14:paraId="1FD5F664">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资金使用</w:t>
            </w:r>
          </w:p>
          <w:p w14:paraId="36D5124E">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合规性</w:t>
            </w:r>
          </w:p>
        </w:tc>
        <w:tc>
          <w:tcPr>
            <w:tcW w:w="727" w:type="dxa"/>
            <w:shd w:val="clear" w:color="000000" w:fill="FFFFFF"/>
            <w:vAlign w:val="center"/>
          </w:tcPr>
          <w:p w14:paraId="4FF6FF06">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14:paraId="06B147E9">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000000" w:fill="FFFFFF"/>
            <w:vAlign w:val="center"/>
          </w:tcPr>
          <w:p w14:paraId="5E3B0E87">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000000" w:fill="FFFFFF"/>
            <w:vAlign w:val="center"/>
          </w:tcPr>
          <w:p w14:paraId="137730C0">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000000" w:fill="FFFFFF"/>
            <w:vAlign w:val="center"/>
          </w:tcPr>
          <w:p w14:paraId="57EF5608">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14:paraId="432939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41140562">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14:paraId="16F57AF6">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283" w:type="dxa"/>
            <w:vMerge w:val="restart"/>
            <w:shd w:val="clear" w:color="auto" w:fill="FFFFFF"/>
            <w:vAlign w:val="center"/>
          </w:tcPr>
          <w:p w14:paraId="05B16678">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组织实施</w:t>
            </w:r>
          </w:p>
        </w:tc>
        <w:tc>
          <w:tcPr>
            <w:tcW w:w="1707" w:type="dxa"/>
            <w:shd w:val="clear" w:color="auto" w:fill="FFFFFF"/>
            <w:vAlign w:val="center"/>
          </w:tcPr>
          <w:p w14:paraId="19962D79">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管理制度</w:t>
            </w:r>
          </w:p>
          <w:p w14:paraId="7139F0FA">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健全性</w:t>
            </w:r>
          </w:p>
        </w:tc>
        <w:tc>
          <w:tcPr>
            <w:tcW w:w="727" w:type="dxa"/>
            <w:shd w:val="clear" w:color="000000" w:fill="FFFFFF"/>
            <w:vAlign w:val="center"/>
          </w:tcPr>
          <w:p w14:paraId="7844E1C7">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14:paraId="245951BB">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000000" w:fill="FFFFFF"/>
            <w:vAlign w:val="center"/>
          </w:tcPr>
          <w:p w14:paraId="24443DB0">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000000" w:fill="FFFFFF"/>
            <w:vAlign w:val="center"/>
          </w:tcPr>
          <w:p w14:paraId="25A555A4">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000000" w:fill="FFFFFF"/>
            <w:vAlign w:val="center"/>
          </w:tcPr>
          <w:p w14:paraId="78CA92E0">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14:paraId="331507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72E00BEE">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14:paraId="2185F7AE">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14:paraId="2441B8BD">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707" w:type="dxa"/>
            <w:shd w:val="clear" w:color="auto" w:fill="FFFFFF"/>
            <w:vAlign w:val="center"/>
          </w:tcPr>
          <w:p w14:paraId="02EA4327">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制度执行</w:t>
            </w:r>
          </w:p>
          <w:p w14:paraId="585AB121">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有效性</w:t>
            </w:r>
          </w:p>
        </w:tc>
        <w:tc>
          <w:tcPr>
            <w:tcW w:w="727" w:type="dxa"/>
            <w:shd w:val="clear" w:color="000000" w:fill="FFFFFF"/>
            <w:vAlign w:val="center"/>
          </w:tcPr>
          <w:p w14:paraId="3958FA26">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044" w:type="dxa"/>
            <w:shd w:val="clear" w:color="000000" w:fill="FFFFFF"/>
            <w:vAlign w:val="center"/>
          </w:tcPr>
          <w:p w14:paraId="352B1B30">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924" w:type="dxa"/>
            <w:shd w:val="clear" w:color="000000" w:fill="FFFFFF"/>
            <w:vAlign w:val="center"/>
          </w:tcPr>
          <w:p w14:paraId="7EB77672">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c>
          <w:tcPr>
            <w:tcW w:w="1215" w:type="dxa"/>
            <w:shd w:val="clear" w:color="000000" w:fill="FFFFFF"/>
            <w:vAlign w:val="center"/>
          </w:tcPr>
          <w:p w14:paraId="197F9D5A">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000000" w:fill="FFFFFF"/>
            <w:vAlign w:val="center"/>
          </w:tcPr>
          <w:p w14:paraId="4DD02F8F">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w:t>
            </w:r>
          </w:p>
        </w:tc>
      </w:tr>
      <w:tr w14:paraId="7AE90F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7F6AC434">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w:t>
            </w:r>
          </w:p>
        </w:tc>
        <w:tc>
          <w:tcPr>
            <w:tcW w:w="990" w:type="dxa"/>
            <w:vMerge w:val="restart"/>
            <w:shd w:val="clear" w:color="auto" w:fill="FFFFFF"/>
            <w:vAlign w:val="center"/>
          </w:tcPr>
          <w:p w14:paraId="6ABA7FCF">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50分</w:t>
            </w:r>
          </w:p>
        </w:tc>
        <w:tc>
          <w:tcPr>
            <w:tcW w:w="1283" w:type="dxa"/>
            <w:shd w:val="clear" w:color="auto" w:fill="FFFFFF"/>
            <w:vAlign w:val="center"/>
          </w:tcPr>
          <w:p w14:paraId="48B1D66F">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产出数量</w:t>
            </w:r>
          </w:p>
        </w:tc>
        <w:tc>
          <w:tcPr>
            <w:tcW w:w="1707" w:type="dxa"/>
            <w:shd w:val="clear" w:color="auto" w:fill="FFFFFF"/>
            <w:vAlign w:val="center"/>
          </w:tcPr>
          <w:p w14:paraId="4D217702">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实际完成率</w:t>
            </w:r>
          </w:p>
        </w:tc>
        <w:tc>
          <w:tcPr>
            <w:tcW w:w="727" w:type="dxa"/>
            <w:shd w:val="clear" w:color="000000" w:fill="FFFFFF"/>
            <w:vAlign w:val="center"/>
          </w:tcPr>
          <w:p w14:paraId="7A5769F6">
            <w:pPr>
              <w:pageBreakBefore w:val="0"/>
              <w:widowControl/>
              <w:kinsoku/>
              <w:wordWrap/>
              <w:overflowPunct/>
              <w:topLinePunct w:val="0"/>
              <w:autoSpaceDE/>
              <w:autoSpaceDN/>
              <w:bidi w:val="0"/>
              <w:adjustRightInd/>
              <w:spacing w:line="560" w:lineRule="atLeas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12.5</w:t>
            </w:r>
          </w:p>
        </w:tc>
        <w:tc>
          <w:tcPr>
            <w:tcW w:w="1044" w:type="dxa"/>
            <w:shd w:val="clear" w:color="000000" w:fill="FFFFFF"/>
            <w:vAlign w:val="center"/>
          </w:tcPr>
          <w:p w14:paraId="736FE97C">
            <w:pPr>
              <w:pageBreakBefore w:val="0"/>
              <w:widowControl/>
              <w:kinsoku/>
              <w:wordWrap/>
              <w:overflowPunct/>
              <w:topLinePunct w:val="0"/>
              <w:autoSpaceDE/>
              <w:autoSpaceDN/>
              <w:bidi w:val="0"/>
              <w:adjustRightInd/>
              <w:spacing w:line="560" w:lineRule="atLeas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12.5</w:t>
            </w:r>
          </w:p>
        </w:tc>
        <w:tc>
          <w:tcPr>
            <w:tcW w:w="924" w:type="dxa"/>
            <w:shd w:val="clear" w:color="000000" w:fill="FFFFFF"/>
            <w:vAlign w:val="center"/>
          </w:tcPr>
          <w:p w14:paraId="5DD4130C">
            <w:pPr>
              <w:pageBreakBefore w:val="0"/>
              <w:widowControl/>
              <w:kinsoku/>
              <w:wordWrap/>
              <w:overflowPunct/>
              <w:topLinePunct w:val="0"/>
              <w:autoSpaceDE/>
              <w:autoSpaceDN/>
              <w:bidi w:val="0"/>
              <w:adjustRightInd/>
              <w:spacing w:line="560" w:lineRule="atLeas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12.5</w:t>
            </w:r>
          </w:p>
        </w:tc>
        <w:tc>
          <w:tcPr>
            <w:tcW w:w="1215" w:type="dxa"/>
            <w:shd w:val="clear" w:color="000000" w:fill="FFFFFF"/>
            <w:vAlign w:val="center"/>
          </w:tcPr>
          <w:p w14:paraId="2BED01C3">
            <w:pPr>
              <w:pageBreakBefore w:val="0"/>
              <w:widowControl/>
              <w:kinsoku/>
              <w:wordWrap/>
              <w:overflowPunct/>
              <w:topLinePunct w:val="0"/>
              <w:autoSpaceDE/>
              <w:autoSpaceDN/>
              <w:bidi w:val="0"/>
              <w:adjustRightInd/>
              <w:spacing w:line="560" w:lineRule="atLeas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14:paraId="4D376A7E">
            <w:pPr>
              <w:pageBreakBefore w:val="0"/>
              <w:widowControl/>
              <w:kinsoku/>
              <w:wordWrap/>
              <w:overflowPunct/>
              <w:topLinePunct w:val="0"/>
              <w:autoSpaceDE/>
              <w:autoSpaceDN/>
              <w:bidi w:val="0"/>
              <w:adjustRightInd/>
              <w:spacing w:line="560" w:lineRule="atLeas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rPr>
              <w:t>12.</w:t>
            </w:r>
            <w:r>
              <w:rPr>
                <w:rFonts w:hint="eastAsia" w:ascii="宋体" w:hAnsi="宋体" w:cs="宋体"/>
                <w:color w:val="auto"/>
                <w:kern w:val="0"/>
                <w:sz w:val="22"/>
                <w:szCs w:val="22"/>
                <w:highlight w:val="none"/>
                <w:lang w:val="en-US" w:eastAsia="zh-CN"/>
              </w:rPr>
              <w:t>5</w:t>
            </w:r>
          </w:p>
        </w:tc>
      </w:tr>
      <w:tr w14:paraId="01F564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04F0DF0">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14:paraId="053F197A">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283" w:type="dxa"/>
            <w:shd w:val="clear" w:color="auto" w:fill="FFFFFF"/>
            <w:vAlign w:val="center"/>
          </w:tcPr>
          <w:p w14:paraId="45C6A337">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产出质量</w:t>
            </w:r>
          </w:p>
        </w:tc>
        <w:tc>
          <w:tcPr>
            <w:tcW w:w="1707" w:type="dxa"/>
            <w:shd w:val="clear" w:color="auto" w:fill="FFFFFF"/>
            <w:vAlign w:val="center"/>
          </w:tcPr>
          <w:p w14:paraId="76C00052">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质量达标率</w:t>
            </w:r>
          </w:p>
        </w:tc>
        <w:tc>
          <w:tcPr>
            <w:tcW w:w="727" w:type="dxa"/>
            <w:shd w:val="clear" w:color="000000" w:fill="FFFFFF"/>
            <w:vAlign w:val="center"/>
          </w:tcPr>
          <w:p w14:paraId="7AEAED2E">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12.5</w:t>
            </w:r>
          </w:p>
        </w:tc>
        <w:tc>
          <w:tcPr>
            <w:tcW w:w="1044" w:type="dxa"/>
            <w:shd w:val="clear" w:color="000000" w:fill="FFFFFF"/>
            <w:vAlign w:val="center"/>
          </w:tcPr>
          <w:p w14:paraId="15C8B699">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12.5</w:t>
            </w:r>
          </w:p>
        </w:tc>
        <w:tc>
          <w:tcPr>
            <w:tcW w:w="924" w:type="dxa"/>
            <w:shd w:val="clear" w:color="000000" w:fill="FFFFFF"/>
            <w:vAlign w:val="center"/>
          </w:tcPr>
          <w:p w14:paraId="7B3382E4">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12.5</w:t>
            </w:r>
          </w:p>
        </w:tc>
        <w:tc>
          <w:tcPr>
            <w:tcW w:w="1215" w:type="dxa"/>
            <w:shd w:val="clear" w:color="000000" w:fill="FFFFFF"/>
            <w:vAlign w:val="center"/>
          </w:tcPr>
          <w:p w14:paraId="4D6010A2">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14:paraId="5023EABC">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12.</w:t>
            </w:r>
            <w:r>
              <w:rPr>
                <w:rFonts w:hint="eastAsia" w:ascii="宋体" w:hAnsi="宋体" w:cs="宋体"/>
                <w:color w:val="auto"/>
                <w:kern w:val="0"/>
                <w:sz w:val="22"/>
                <w:szCs w:val="22"/>
                <w:highlight w:val="none"/>
                <w:lang w:val="en-US" w:eastAsia="zh-CN"/>
              </w:rPr>
              <w:t>5</w:t>
            </w:r>
          </w:p>
        </w:tc>
      </w:tr>
      <w:tr w14:paraId="7E17C2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50563C09">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14:paraId="285D90D5">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283" w:type="dxa"/>
            <w:shd w:val="clear" w:color="auto" w:fill="FFFFFF"/>
            <w:vAlign w:val="center"/>
          </w:tcPr>
          <w:p w14:paraId="79B68E16">
            <w:pPr>
              <w:pageBreakBefore w:val="0"/>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产出时效</w:t>
            </w:r>
          </w:p>
        </w:tc>
        <w:tc>
          <w:tcPr>
            <w:tcW w:w="1707" w:type="dxa"/>
            <w:shd w:val="clear" w:color="auto" w:fill="FFFFFF"/>
            <w:vAlign w:val="center"/>
          </w:tcPr>
          <w:p w14:paraId="0BD53F38">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完成及时性</w:t>
            </w:r>
          </w:p>
        </w:tc>
        <w:tc>
          <w:tcPr>
            <w:tcW w:w="727" w:type="dxa"/>
            <w:shd w:val="clear" w:color="000000" w:fill="FFFFFF"/>
            <w:vAlign w:val="center"/>
          </w:tcPr>
          <w:p w14:paraId="554FB984">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12.5</w:t>
            </w:r>
          </w:p>
        </w:tc>
        <w:tc>
          <w:tcPr>
            <w:tcW w:w="1044" w:type="dxa"/>
            <w:shd w:val="clear" w:color="000000" w:fill="FFFFFF"/>
            <w:vAlign w:val="center"/>
          </w:tcPr>
          <w:p w14:paraId="49FD5031">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12.5</w:t>
            </w:r>
          </w:p>
        </w:tc>
        <w:tc>
          <w:tcPr>
            <w:tcW w:w="924" w:type="dxa"/>
            <w:shd w:val="clear" w:color="000000" w:fill="FFFFFF"/>
            <w:vAlign w:val="center"/>
          </w:tcPr>
          <w:p w14:paraId="2E930052">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5</w:t>
            </w:r>
          </w:p>
        </w:tc>
        <w:tc>
          <w:tcPr>
            <w:tcW w:w="1215" w:type="dxa"/>
            <w:shd w:val="clear" w:color="000000" w:fill="FFFFFF"/>
            <w:vAlign w:val="center"/>
          </w:tcPr>
          <w:p w14:paraId="613BB423">
            <w:pPr>
              <w:pageBreakBefore w:val="0"/>
              <w:widowControl/>
              <w:kinsoku/>
              <w:wordWrap/>
              <w:overflowPunct/>
              <w:topLinePunct w:val="0"/>
              <w:autoSpaceDE/>
              <w:autoSpaceDN/>
              <w:bidi w:val="0"/>
              <w:adjustRightInd/>
              <w:spacing w:line="560" w:lineRule="atLeast"/>
              <w:jc w:val="center"/>
              <w:textAlignment w:val="auto"/>
              <w:rPr>
                <w:rFonts w:hint="default" w:ascii="宋体" w:hAnsi="宋体" w:cs="宋体"/>
                <w:color w:val="auto"/>
                <w:kern w:val="0"/>
                <w:sz w:val="22"/>
                <w:szCs w:val="22"/>
                <w:highlight w:val="none"/>
                <w:lang w:val="en-US"/>
              </w:rPr>
            </w:pPr>
            <w:r>
              <w:rPr>
                <w:rFonts w:hint="eastAsia" w:ascii="宋体" w:hAnsi="宋体" w:cs="宋体"/>
                <w:color w:val="auto"/>
                <w:kern w:val="0"/>
                <w:sz w:val="22"/>
                <w:szCs w:val="22"/>
                <w:highlight w:val="none"/>
                <w:lang w:val="en-US" w:eastAsia="zh-CN"/>
              </w:rPr>
              <w:t>40</w:t>
            </w:r>
          </w:p>
        </w:tc>
        <w:tc>
          <w:tcPr>
            <w:tcW w:w="960" w:type="dxa"/>
            <w:shd w:val="clear" w:color="000000" w:fill="FFFFFF"/>
            <w:vAlign w:val="center"/>
          </w:tcPr>
          <w:p w14:paraId="3EF5F5C1">
            <w:pPr>
              <w:pageBreakBefore w:val="0"/>
              <w:widowControl/>
              <w:kinsoku/>
              <w:wordWrap/>
              <w:overflowPunct/>
              <w:topLinePunct w:val="0"/>
              <w:autoSpaceDE/>
              <w:autoSpaceDN/>
              <w:bidi w:val="0"/>
              <w:adjustRightInd/>
              <w:spacing w:line="560" w:lineRule="atLeast"/>
              <w:jc w:val="center"/>
              <w:textAlignment w:val="auto"/>
              <w:rPr>
                <w:rFonts w:hint="eastAsia" w:ascii="宋体" w:hAnsi="宋体" w:eastAsia="宋体" w:cs="宋体"/>
                <w:color w:val="auto"/>
                <w:kern w:val="0"/>
                <w:sz w:val="22"/>
                <w:szCs w:val="22"/>
                <w:highlight w:val="none"/>
                <w:lang w:eastAsia="zh-CN"/>
              </w:rPr>
            </w:pPr>
            <w:r>
              <w:rPr>
                <w:rFonts w:hint="eastAsia" w:ascii="宋体" w:hAnsi="宋体" w:cs="宋体"/>
                <w:color w:val="auto"/>
                <w:kern w:val="0"/>
                <w:sz w:val="22"/>
                <w:szCs w:val="22"/>
                <w:highlight w:val="none"/>
                <w:lang w:val="en-US" w:eastAsia="zh-CN"/>
              </w:rPr>
              <w:t>5</w:t>
            </w:r>
          </w:p>
        </w:tc>
      </w:tr>
      <w:tr w14:paraId="4CF6F4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66A925E9">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14:paraId="31A93B20">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283" w:type="dxa"/>
            <w:shd w:val="clear" w:color="auto" w:fill="FFFFFF"/>
            <w:vAlign w:val="center"/>
          </w:tcPr>
          <w:p w14:paraId="76BA0621">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产出成本</w:t>
            </w:r>
          </w:p>
        </w:tc>
        <w:tc>
          <w:tcPr>
            <w:tcW w:w="1707" w:type="dxa"/>
            <w:shd w:val="clear" w:color="auto" w:fill="FFFFFF"/>
            <w:vAlign w:val="center"/>
          </w:tcPr>
          <w:p w14:paraId="46523C87">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成本节约率</w:t>
            </w:r>
          </w:p>
        </w:tc>
        <w:tc>
          <w:tcPr>
            <w:tcW w:w="727" w:type="dxa"/>
            <w:shd w:val="clear" w:color="000000" w:fill="FFFFFF"/>
            <w:vAlign w:val="center"/>
          </w:tcPr>
          <w:p w14:paraId="66F0AD49">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12.5</w:t>
            </w:r>
          </w:p>
        </w:tc>
        <w:tc>
          <w:tcPr>
            <w:tcW w:w="1044" w:type="dxa"/>
            <w:shd w:val="clear" w:color="000000" w:fill="FFFFFF"/>
            <w:vAlign w:val="center"/>
          </w:tcPr>
          <w:p w14:paraId="31B30514">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12.5</w:t>
            </w:r>
          </w:p>
        </w:tc>
        <w:tc>
          <w:tcPr>
            <w:tcW w:w="924" w:type="dxa"/>
            <w:shd w:val="clear" w:color="000000" w:fill="FFFFFF"/>
            <w:vAlign w:val="center"/>
          </w:tcPr>
          <w:p w14:paraId="2CA971F9">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12.5</w:t>
            </w:r>
          </w:p>
        </w:tc>
        <w:tc>
          <w:tcPr>
            <w:tcW w:w="1215" w:type="dxa"/>
            <w:shd w:val="clear" w:color="000000" w:fill="FFFFFF"/>
            <w:vAlign w:val="center"/>
          </w:tcPr>
          <w:p w14:paraId="012EC28B">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lang w:val="en-US" w:eastAsia="zh-CN"/>
              </w:rPr>
              <w:t>100</w:t>
            </w:r>
          </w:p>
        </w:tc>
        <w:tc>
          <w:tcPr>
            <w:tcW w:w="960" w:type="dxa"/>
            <w:shd w:val="clear" w:color="000000" w:fill="FFFFFF"/>
            <w:vAlign w:val="center"/>
          </w:tcPr>
          <w:p w14:paraId="7E11E2CF">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12.</w:t>
            </w:r>
            <w:r>
              <w:rPr>
                <w:rFonts w:hint="eastAsia" w:ascii="宋体" w:hAnsi="宋体" w:cs="宋体"/>
                <w:color w:val="auto"/>
                <w:kern w:val="0"/>
                <w:sz w:val="22"/>
                <w:szCs w:val="22"/>
                <w:highlight w:val="none"/>
                <w:lang w:val="en-US" w:eastAsia="zh-CN"/>
              </w:rPr>
              <w:t>5</w:t>
            </w:r>
          </w:p>
        </w:tc>
      </w:tr>
      <w:tr w14:paraId="2A46AD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14:paraId="3440C288">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效益　</w:t>
            </w:r>
          </w:p>
        </w:tc>
        <w:tc>
          <w:tcPr>
            <w:tcW w:w="990" w:type="dxa"/>
            <w:vMerge w:val="restart"/>
            <w:shd w:val="clear" w:color="auto" w:fill="FFFFFF"/>
            <w:vAlign w:val="center"/>
          </w:tcPr>
          <w:p w14:paraId="1EA291A0">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40分</w:t>
            </w:r>
          </w:p>
        </w:tc>
        <w:tc>
          <w:tcPr>
            <w:tcW w:w="1283" w:type="dxa"/>
            <w:vMerge w:val="restart"/>
            <w:shd w:val="clear" w:color="auto" w:fill="FFFFFF"/>
            <w:vAlign w:val="center"/>
          </w:tcPr>
          <w:p w14:paraId="5B450F5E">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项目效益　</w:t>
            </w:r>
          </w:p>
        </w:tc>
        <w:tc>
          <w:tcPr>
            <w:tcW w:w="1707" w:type="dxa"/>
            <w:shd w:val="clear" w:color="auto" w:fill="FFFFFF"/>
            <w:vAlign w:val="center"/>
          </w:tcPr>
          <w:p w14:paraId="0410822D">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实施效益</w:t>
            </w:r>
          </w:p>
          <w:p w14:paraId="642495E1">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（社会效益、经济效益、可持续效益）</w:t>
            </w:r>
          </w:p>
        </w:tc>
        <w:tc>
          <w:tcPr>
            <w:tcW w:w="727" w:type="dxa"/>
            <w:shd w:val="clear" w:color="auto" w:fill="FFFFFF"/>
            <w:vAlign w:val="center"/>
          </w:tcPr>
          <w:p w14:paraId="6A916A03">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30</w:t>
            </w:r>
          </w:p>
        </w:tc>
        <w:tc>
          <w:tcPr>
            <w:tcW w:w="1044" w:type="dxa"/>
            <w:shd w:val="clear" w:color="auto" w:fill="FFFFFF"/>
            <w:vAlign w:val="center"/>
          </w:tcPr>
          <w:p w14:paraId="69B5E22D">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30</w:t>
            </w:r>
          </w:p>
        </w:tc>
        <w:tc>
          <w:tcPr>
            <w:tcW w:w="924" w:type="dxa"/>
            <w:shd w:val="clear" w:color="auto" w:fill="FFFFFF"/>
            <w:vAlign w:val="center"/>
          </w:tcPr>
          <w:p w14:paraId="5BA95852">
            <w:pPr>
              <w:pageBreakBefore w:val="0"/>
              <w:widowControl/>
              <w:kinsoku/>
              <w:wordWrap/>
              <w:overflowPunct/>
              <w:topLinePunct w:val="0"/>
              <w:autoSpaceDE/>
              <w:autoSpaceDN/>
              <w:bidi w:val="0"/>
              <w:adjustRightInd/>
              <w:spacing w:line="560" w:lineRule="atLeas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25</w:t>
            </w:r>
          </w:p>
        </w:tc>
        <w:tc>
          <w:tcPr>
            <w:tcW w:w="1215" w:type="dxa"/>
            <w:shd w:val="clear" w:color="auto" w:fill="FFFFFF"/>
            <w:vAlign w:val="center"/>
          </w:tcPr>
          <w:p w14:paraId="0F72664F">
            <w:pPr>
              <w:pageBreakBefore w:val="0"/>
              <w:widowControl/>
              <w:kinsoku/>
              <w:wordWrap/>
              <w:overflowPunct/>
              <w:topLinePunct w:val="0"/>
              <w:autoSpaceDE/>
              <w:autoSpaceDN/>
              <w:bidi w:val="0"/>
              <w:adjustRightInd/>
              <w:spacing w:line="560" w:lineRule="atLeas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83.3</w:t>
            </w:r>
          </w:p>
        </w:tc>
        <w:tc>
          <w:tcPr>
            <w:tcW w:w="960" w:type="dxa"/>
            <w:shd w:val="clear" w:color="auto" w:fill="FFFFFF"/>
            <w:vAlign w:val="center"/>
          </w:tcPr>
          <w:p w14:paraId="74B331E8">
            <w:pPr>
              <w:pageBreakBefore w:val="0"/>
              <w:widowControl/>
              <w:kinsoku/>
              <w:wordWrap/>
              <w:overflowPunct/>
              <w:topLinePunct w:val="0"/>
              <w:autoSpaceDE/>
              <w:autoSpaceDN/>
              <w:bidi w:val="0"/>
              <w:adjustRightInd/>
              <w:spacing w:line="560" w:lineRule="atLeast"/>
              <w:jc w:val="center"/>
              <w:textAlignment w:val="auto"/>
              <w:rPr>
                <w:rFonts w:hint="default" w:ascii="宋体" w:hAnsi="宋体" w:eastAsia="宋体" w:cs="宋体"/>
                <w:color w:val="auto"/>
                <w:kern w:val="0"/>
                <w:sz w:val="22"/>
                <w:szCs w:val="22"/>
                <w:highlight w:val="none"/>
                <w:lang w:val="en-US" w:eastAsia="zh-CN"/>
              </w:rPr>
            </w:pPr>
            <w:r>
              <w:rPr>
                <w:rFonts w:hint="eastAsia" w:ascii="宋体" w:hAnsi="宋体" w:cs="宋体"/>
                <w:color w:val="auto"/>
                <w:kern w:val="0"/>
                <w:sz w:val="22"/>
                <w:szCs w:val="22"/>
                <w:highlight w:val="none"/>
                <w:lang w:val="en-US" w:eastAsia="zh-CN"/>
              </w:rPr>
              <w:t>25</w:t>
            </w:r>
          </w:p>
        </w:tc>
      </w:tr>
      <w:tr w14:paraId="085F99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14:paraId="182AB5F7">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990" w:type="dxa"/>
            <w:vMerge w:val="continue"/>
            <w:shd w:val="clear" w:color="auto" w:fill="FFFFFF"/>
            <w:vAlign w:val="center"/>
          </w:tcPr>
          <w:p w14:paraId="4CD4E4E8">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283" w:type="dxa"/>
            <w:vMerge w:val="continue"/>
            <w:shd w:val="clear" w:color="auto" w:fill="FFFFFF"/>
            <w:vAlign w:val="center"/>
          </w:tcPr>
          <w:p w14:paraId="00755017">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p>
        </w:tc>
        <w:tc>
          <w:tcPr>
            <w:tcW w:w="1707" w:type="dxa"/>
            <w:shd w:val="clear" w:color="auto" w:fill="FFFFFF"/>
            <w:vAlign w:val="center"/>
          </w:tcPr>
          <w:p w14:paraId="0FF9B124">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满意度</w:t>
            </w:r>
          </w:p>
        </w:tc>
        <w:tc>
          <w:tcPr>
            <w:tcW w:w="727" w:type="dxa"/>
            <w:shd w:val="clear" w:color="000000" w:fill="FFFFFF"/>
            <w:vAlign w:val="center"/>
          </w:tcPr>
          <w:p w14:paraId="0FD74C11">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1044" w:type="dxa"/>
            <w:shd w:val="clear" w:color="000000" w:fill="FFFFFF"/>
            <w:vAlign w:val="center"/>
          </w:tcPr>
          <w:p w14:paraId="3891A7E2">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924" w:type="dxa"/>
            <w:shd w:val="clear" w:color="000000" w:fill="FFFFFF"/>
            <w:vAlign w:val="center"/>
          </w:tcPr>
          <w:p w14:paraId="2DC60661">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c>
          <w:tcPr>
            <w:tcW w:w="1215" w:type="dxa"/>
            <w:shd w:val="clear" w:color="000000" w:fill="FFFFFF"/>
            <w:vAlign w:val="center"/>
          </w:tcPr>
          <w:p w14:paraId="155C0702">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100</w:t>
            </w:r>
          </w:p>
        </w:tc>
        <w:tc>
          <w:tcPr>
            <w:tcW w:w="960" w:type="dxa"/>
            <w:shd w:val="clear" w:color="000000" w:fill="FFFFFF"/>
            <w:vAlign w:val="center"/>
          </w:tcPr>
          <w:p w14:paraId="38F2A1CF">
            <w:pPr>
              <w:pageBreakBefore w:val="0"/>
              <w:widowControl/>
              <w:kinsoku/>
              <w:wordWrap/>
              <w:overflowPunct/>
              <w:topLinePunct w:val="0"/>
              <w:autoSpaceDE/>
              <w:autoSpaceDN/>
              <w:bidi w:val="0"/>
              <w:adjustRightInd/>
              <w:spacing w:line="560" w:lineRule="atLeast"/>
              <w:jc w:val="center"/>
              <w:textAlignment w:val="auto"/>
              <w:rPr>
                <w:rFonts w:ascii="宋体" w:hAnsi="宋体" w:cs="宋体"/>
                <w:color w:val="auto"/>
                <w:kern w:val="0"/>
                <w:sz w:val="22"/>
                <w:szCs w:val="22"/>
                <w:highlight w:val="none"/>
              </w:rPr>
            </w:pPr>
            <w:r>
              <w:rPr>
                <w:rFonts w:hint="eastAsia" w:ascii="宋体" w:hAnsi="宋体" w:cs="宋体"/>
                <w:color w:val="auto"/>
                <w:kern w:val="0"/>
                <w:sz w:val="22"/>
                <w:szCs w:val="22"/>
                <w:highlight w:val="none"/>
              </w:rPr>
              <w:t>10</w:t>
            </w:r>
          </w:p>
        </w:tc>
      </w:tr>
    </w:tbl>
    <w:p w14:paraId="057F0523">
      <w:pPr>
        <w:pageBreakBefore w:val="0"/>
        <w:kinsoku/>
        <w:wordWrap/>
        <w:overflowPunct/>
        <w:topLinePunct w:val="0"/>
        <w:autoSpaceDE/>
        <w:autoSpaceDN/>
        <w:bidi w:val="0"/>
        <w:adjustRightInd/>
        <w:spacing w:line="560" w:lineRule="atLeast"/>
        <w:ind w:firstLine="320" w:firstLineChars="100"/>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四、绩效评价指标分析</w:t>
      </w:r>
    </w:p>
    <w:p w14:paraId="43E5A2F3">
      <w:pPr>
        <w:pStyle w:val="2"/>
        <w:pageBreakBefore w:val="0"/>
        <w:kinsoku/>
        <w:wordWrap/>
        <w:overflowPunct/>
        <w:topLinePunct w:val="0"/>
        <w:autoSpaceDE/>
        <w:autoSpaceDN/>
        <w:bidi w:val="0"/>
        <w:adjustRightInd/>
        <w:spacing w:before="0" w:after="0" w:line="560" w:lineRule="atLeast"/>
        <w:ind w:firstLine="321" w:firstLineChars="100"/>
        <w:jc w:val="both"/>
        <w:textAlignment w:val="auto"/>
        <w:rPr>
          <w:rFonts w:hint="eastAsia" w:ascii="楷体_GB2312" w:hAnsi="楷体_GB2312" w:eastAsia="楷体_GB2312" w:cs="楷体_GB2312"/>
          <w:color w:val="auto"/>
          <w:highlight w:val="none"/>
        </w:rPr>
      </w:pPr>
      <w:r>
        <w:rPr>
          <w:rFonts w:hint="eastAsia" w:ascii="楷体_GB2312" w:hAnsi="楷体_GB2312" w:eastAsia="楷体_GB2312" w:cs="楷体_GB2312"/>
          <w:color w:val="auto"/>
          <w:highlight w:val="none"/>
        </w:rPr>
        <w:t>（一）项目决策情况</w:t>
      </w:r>
    </w:p>
    <w:p w14:paraId="4A18F6E6">
      <w:pPr>
        <w:pageBreakBefore w:val="0"/>
        <w:kinsoku/>
        <w:wordWrap/>
        <w:overflowPunct/>
        <w:topLinePunct w:val="0"/>
        <w:autoSpaceDE/>
        <w:autoSpaceDN/>
        <w:bidi w:val="0"/>
        <w:adjustRightInd/>
        <w:spacing w:line="560" w:lineRule="atLeast"/>
        <w:ind w:firstLine="640" w:firstLineChars="200"/>
        <w:textAlignment w:val="auto"/>
        <w:rPr>
          <w:rFonts w:hint="eastAsia" w:ascii="仿宋_GB2312" w:hAnsi="方正仿宋_GBK" w:eastAsia="仿宋_GB2312" w:cs="方正仿宋_GBK"/>
          <w:color w:val="auto"/>
          <w:sz w:val="32"/>
          <w:szCs w:val="32"/>
          <w:highlight w:val="none"/>
        </w:rPr>
      </w:pPr>
      <w:r>
        <w:rPr>
          <w:rFonts w:hint="eastAsia" w:ascii="仿宋_GB2312" w:hAnsi="方正仿宋_GBK" w:eastAsia="仿宋_GB2312" w:cs="方正仿宋_GBK"/>
          <w:color w:val="auto"/>
          <w:sz w:val="32"/>
          <w:szCs w:val="32"/>
          <w:highlight w:val="none"/>
        </w:rPr>
        <w:t>项目决策指标从项目立项、绩效目标、投入资金3个方面对项目的立项决策目标完成情况进行考察，项目决策类指标分值5分，实际得分5分，实际得分率100%。</w:t>
      </w:r>
    </w:p>
    <w:p w14:paraId="2CCDB22C">
      <w:pPr>
        <w:pageBreakBefore w:val="0"/>
        <w:kinsoku/>
        <w:wordWrap/>
        <w:overflowPunct/>
        <w:topLinePunct w:val="0"/>
        <w:autoSpaceDE/>
        <w:autoSpaceDN/>
        <w:bidi w:val="0"/>
        <w:adjustRightInd/>
        <w:spacing w:line="560" w:lineRule="atLeast"/>
        <w:ind w:firstLine="640" w:firstLineChars="200"/>
        <w:textAlignment w:val="auto"/>
        <w:rPr>
          <w:rFonts w:hint="eastAsia"/>
          <w:color w:val="auto"/>
          <w:highlight w:val="none"/>
        </w:rPr>
      </w:pPr>
      <w:r>
        <w:rPr>
          <w:rFonts w:hint="eastAsia" w:ascii="仿宋_GB2312" w:hAnsi="方正仿宋_GBK" w:eastAsia="仿宋_GB2312" w:cs="方正仿宋_GBK"/>
          <w:color w:val="auto"/>
          <w:sz w:val="32"/>
          <w:szCs w:val="32"/>
          <w:highlight w:val="none"/>
        </w:rPr>
        <w:t>对于“项目立项”，</w:t>
      </w:r>
      <w:r>
        <w:rPr>
          <w:rFonts w:hint="eastAsia" w:ascii="仿宋_GB2312" w:hAnsi="方正仿宋_GBK" w:eastAsia="仿宋_GB2312" w:cs="方正仿宋_GBK"/>
          <w:color w:val="auto"/>
          <w:sz w:val="32"/>
          <w:szCs w:val="32"/>
          <w:highlight w:val="none"/>
          <w:lang w:eastAsia="zh-CN"/>
        </w:rPr>
        <w:t>塔城地区人民医院（南院）传染病门诊住院楼</w:t>
      </w:r>
      <w:r>
        <w:rPr>
          <w:rFonts w:hint="eastAsia" w:ascii="仿宋_GB2312" w:hAnsi="方正仿宋_GBK" w:eastAsia="仿宋_GB2312" w:cs="方正仿宋_GBK"/>
          <w:color w:val="auto"/>
          <w:sz w:val="32"/>
          <w:szCs w:val="32"/>
          <w:highlight w:val="none"/>
        </w:rPr>
        <w:t>项目的立项符合规划，项目单位的绩效指标设置清晰、合理、指标设置完整。根根据评分标准，该指标不扣分。</w:t>
      </w:r>
    </w:p>
    <w:p w14:paraId="6DDE75FD">
      <w:pPr>
        <w:pageBreakBefore w:val="0"/>
        <w:kinsoku/>
        <w:wordWrap/>
        <w:overflowPunct/>
        <w:topLinePunct w:val="0"/>
        <w:autoSpaceDE/>
        <w:autoSpaceDN/>
        <w:bidi w:val="0"/>
        <w:adjustRightInd/>
        <w:spacing w:line="560" w:lineRule="atLeast"/>
        <w:ind w:firstLine="640" w:firstLineChars="200"/>
        <w:textAlignment w:val="auto"/>
        <w:rPr>
          <w:rFonts w:hint="eastAsia"/>
          <w:color w:val="auto"/>
          <w:highlight w:val="none"/>
        </w:rPr>
      </w:pPr>
      <w:r>
        <w:rPr>
          <w:rFonts w:hint="eastAsia" w:ascii="仿宋_GB2312" w:hAnsi="方正仿宋_GBK" w:eastAsia="仿宋_GB2312" w:cs="方正仿宋_GBK"/>
          <w:color w:val="auto"/>
          <w:sz w:val="32"/>
          <w:szCs w:val="32"/>
          <w:highlight w:val="none"/>
        </w:rPr>
        <w:t>对于“</w:t>
      </w:r>
      <w:r>
        <w:rPr>
          <w:rFonts w:hint="eastAsia" w:ascii="仿宋_GB2312" w:hAnsi="宋体" w:eastAsia="仿宋_GB2312" w:cs="宋体"/>
          <w:color w:val="auto"/>
          <w:kern w:val="0"/>
          <w:sz w:val="32"/>
          <w:szCs w:val="32"/>
          <w:highlight w:val="none"/>
        </w:rPr>
        <w:t>绩效目标</w:t>
      </w:r>
      <w:r>
        <w:rPr>
          <w:rFonts w:hint="eastAsia" w:ascii="仿宋_GB2312" w:hAnsi="方正仿宋_GBK" w:eastAsia="仿宋_GB2312" w:cs="方正仿宋_GBK"/>
          <w:color w:val="auto"/>
          <w:sz w:val="32"/>
          <w:szCs w:val="32"/>
          <w:highlight w:val="none"/>
        </w:rPr>
        <w:t>”，</w:t>
      </w:r>
      <w:r>
        <w:rPr>
          <w:rFonts w:hint="eastAsia" w:ascii="仿宋_GB2312" w:hAnsi="方正仿宋_GBK" w:eastAsia="仿宋_GB2312" w:cs="方正仿宋_GBK"/>
          <w:color w:val="auto"/>
          <w:sz w:val="32"/>
          <w:szCs w:val="32"/>
          <w:highlight w:val="none"/>
          <w:lang w:eastAsia="zh-CN"/>
        </w:rPr>
        <w:t>塔城地区人民医院（南院）传染病门诊住院楼</w:t>
      </w:r>
      <w:r>
        <w:rPr>
          <w:rFonts w:hint="eastAsia" w:ascii="仿宋_GB2312" w:hAnsi="方正仿宋_GBK" w:eastAsia="仿宋_GB2312" w:cs="方正仿宋_GBK"/>
          <w:color w:val="auto"/>
          <w:sz w:val="32"/>
          <w:szCs w:val="32"/>
          <w:highlight w:val="none"/>
        </w:rPr>
        <w:t>项目</w:t>
      </w:r>
      <w:r>
        <w:rPr>
          <w:rFonts w:hint="eastAsia" w:ascii="仿宋_GB2312" w:hAnsi="方正仿宋_GBK" w:eastAsia="仿宋_GB2312" w:cs="方正仿宋_GBK"/>
          <w:color w:val="auto"/>
          <w:sz w:val="32"/>
          <w:szCs w:val="32"/>
          <w:highlight w:val="none"/>
          <w:lang w:eastAsia="zh-CN"/>
        </w:rPr>
        <w:t>绩效目标设置清晰、合理</w:t>
      </w:r>
      <w:r>
        <w:rPr>
          <w:rFonts w:hint="eastAsia" w:ascii="仿宋_GB2312" w:hAnsi="方正仿宋_GBK" w:eastAsia="仿宋_GB2312" w:cs="方正仿宋_GBK"/>
          <w:color w:val="auto"/>
          <w:sz w:val="32"/>
          <w:szCs w:val="32"/>
          <w:highlight w:val="none"/>
        </w:rPr>
        <w:t>。根据评分标准，该指标不扣分。</w:t>
      </w:r>
    </w:p>
    <w:p w14:paraId="54D76949">
      <w:pPr>
        <w:pageBreakBefore w:val="0"/>
        <w:kinsoku/>
        <w:wordWrap/>
        <w:overflowPunct/>
        <w:topLinePunct w:val="0"/>
        <w:autoSpaceDE/>
        <w:autoSpaceDN/>
        <w:bidi w:val="0"/>
        <w:adjustRightInd/>
        <w:spacing w:line="560" w:lineRule="atLeast"/>
        <w:ind w:firstLine="640" w:firstLineChars="200"/>
        <w:textAlignment w:val="auto"/>
        <w:rPr>
          <w:rFonts w:hint="eastAsia"/>
          <w:color w:val="auto"/>
          <w:highlight w:val="none"/>
        </w:rPr>
      </w:pPr>
      <w:r>
        <w:rPr>
          <w:rFonts w:hint="eastAsia" w:ascii="仿宋_GB2312" w:hAnsi="方正仿宋_GBK" w:eastAsia="仿宋_GB2312" w:cs="方正仿宋_GBK"/>
          <w:color w:val="auto"/>
          <w:sz w:val="32"/>
          <w:szCs w:val="32"/>
          <w:highlight w:val="none"/>
        </w:rPr>
        <w:t>对于“投入资金”，</w:t>
      </w:r>
      <w:r>
        <w:rPr>
          <w:rFonts w:hint="eastAsia" w:ascii="仿宋_GB2312" w:hAnsi="方正仿宋_GBK" w:eastAsia="仿宋_GB2312" w:cs="方正仿宋_GBK"/>
          <w:color w:val="auto"/>
          <w:sz w:val="32"/>
          <w:szCs w:val="32"/>
          <w:highlight w:val="none"/>
          <w:lang w:eastAsia="zh-CN"/>
        </w:rPr>
        <w:t>塔城地区人民医院（南院）传染病门诊住院楼</w:t>
      </w:r>
      <w:r>
        <w:rPr>
          <w:rFonts w:hint="eastAsia" w:ascii="仿宋_GB2312" w:hAnsi="方正仿宋_GBK" w:eastAsia="仿宋_GB2312" w:cs="方正仿宋_GBK"/>
          <w:color w:val="auto"/>
          <w:sz w:val="32"/>
          <w:szCs w:val="32"/>
          <w:highlight w:val="none"/>
        </w:rPr>
        <w:t>项目投入资金到位及时，投入率为100%。根据评分标准，该指标不扣分。</w:t>
      </w:r>
    </w:p>
    <w:p w14:paraId="5A3002CE">
      <w:pPr>
        <w:pStyle w:val="2"/>
        <w:pageBreakBefore w:val="0"/>
        <w:numPr>
          <w:ilvl w:val="0"/>
          <w:numId w:val="6"/>
        </w:numPr>
        <w:kinsoku/>
        <w:wordWrap/>
        <w:overflowPunct/>
        <w:topLinePunct w:val="0"/>
        <w:autoSpaceDE/>
        <w:autoSpaceDN/>
        <w:bidi w:val="0"/>
        <w:adjustRightInd/>
        <w:spacing w:before="0" w:after="0" w:line="560" w:lineRule="atLeast"/>
        <w:ind w:firstLine="321" w:firstLineChars="100"/>
        <w:jc w:val="both"/>
        <w:textAlignment w:val="auto"/>
        <w:rPr>
          <w:color w:val="auto"/>
          <w:highlight w:val="none"/>
        </w:rPr>
      </w:pPr>
      <w:r>
        <w:rPr>
          <w:rFonts w:hint="eastAsia" w:ascii="楷体_GB2312" w:hAnsi="楷体_GB2312" w:eastAsia="楷体_GB2312" w:cs="楷体_GB2312"/>
          <w:color w:val="auto"/>
          <w:highlight w:val="none"/>
        </w:rPr>
        <w:t>项目过程情况</w:t>
      </w:r>
    </w:p>
    <w:p w14:paraId="613E5F4F">
      <w:pPr>
        <w:pageBreakBefore w:val="0"/>
        <w:kinsoku/>
        <w:wordWrap/>
        <w:overflowPunct/>
        <w:topLinePunct w:val="0"/>
        <w:autoSpaceDE/>
        <w:autoSpaceDN/>
        <w:bidi w:val="0"/>
        <w:adjustRightInd/>
        <w:spacing w:line="560" w:lineRule="atLeast"/>
        <w:ind w:firstLine="640" w:firstLineChars="200"/>
        <w:textAlignment w:val="auto"/>
        <w:rPr>
          <w:rFonts w:ascii="仿宋_GB2312" w:hAnsi="方正仿宋_GBK" w:eastAsia="仿宋_GB2312" w:cs="方正仿宋_GBK"/>
          <w:color w:val="auto"/>
          <w:sz w:val="32"/>
          <w:szCs w:val="32"/>
          <w:highlight w:val="none"/>
        </w:rPr>
      </w:pPr>
      <w:r>
        <w:rPr>
          <w:rFonts w:hint="eastAsia" w:ascii="仿宋_GB2312" w:hAnsi="方正仿宋_GBK" w:eastAsia="仿宋_GB2312" w:cs="方正仿宋_GBK"/>
          <w:color w:val="auto"/>
          <w:sz w:val="32"/>
          <w:szCs w:val="32"/>
          <w:highlight w:val="none"/>
        </w:rPr>
        <w:t>项目过程指标从项目资金的资金管理:资金到位率、预算执行率、资金使用合规性;项目实施的组织实施:管理制度健全性、制度执行有效性; 两个大的方面及五个小的方面对项目的管理过程情况进行考察。项目过程指标分值5分，实际得分</w:t>
      </w:r>
      <w:r>
        <w:rPr>
          <w:rFonts w:hint="eastAsia" w:ascii="仿宋_GB2312" w:hAnsi="方正仿宋_GBK" w:eastAsia="仿宋_GB2312" w:cs="方正仿宋_GBK"/>
          <w:color w:val="auto"/>
          <w:sz w:val="32"/>
          <w:szCs w:val="32"/>
          <w:highlight w:val="none"/>
          <w:lang w:val="en-US" w:eastAsia="zh-CN"/>
        </w:rPr>
        <w:t>5</w:t>
      </w:r>
      <w:r>
        <w:rPr>
          <w:rFonts w:hint="eastAsia" w:ascii="仿宋_GB2312" w:hAnsi="方正仿宋_GBK" w:eastAsia="仿宋_GB2312" w:cs="方正仿宋_GBK"/>
          <w:color w:val="auto"/>
          <w:sz w:val="32"/>
          <w:szCs w:val="32"/>
          <w:highlight w:val="none"/>
        </w:rPr>
        <w:t>分，得分率为</w:t>
      </w:r>
      <w:r>
        <w:rPr>
          <w:rFonts w:hint="eastAsia" w:ascii="仿宋_GB2312" w:hAnsi="方正仿宋_GBK" w:eastAsia="仿宋_GB2312" w:cs="方正仿宋_GBK"/>
          <w:color w:val="auto"/>
          <w:sz w:val="32"/>
          <w:szCs w:val="32"/>
          <w:highlight w:val="none"/>
          <w:lang w:val="en-US" w:eastAsia="zh-CN"/>
        </w:rPr>
        <w:t>100</w:t>
      </w:r>
      <w:r>
        <w:rPr>
          <w:rFonts w:hint="eastAsia" w:ascii="仿宋_GB2312" w:hAnsi="方正仿宋_GBK" w:eastAsia="仿宋_GB2312" w:cs="方正仿宋_GBK"/>
          <w:color w:val="auto"/>
          <w:sz w:val="32"/>
          <w:szCs w:val="32"/>
          <w:highlight w:val="none"/>
        </w:rPr>
        <w:t>%。</w:t>
      </w:r>
    </w:p>
    <w:p w14:paraId="3CA3658E">
      <w:pPr>
        <w:pageBreakBefore w:val="0"/>
        <w:kinsoku/>
        <w:wordWrap/>
        <w:overflowPunct/>
        <w:topLinePunct w:val="0"/>
        <w:autoSpaceDE/>
        <w:autoSpaceDN/>
        <w:bidi w:val="0"/>
        <w:adjustRightInd/>
        <w:spacing w:line="560" w:lineRule="atLeast"/>
        <w:textAlignment w:val="auto"/>
        <w:rPr>
          <w:color w:val="auto"/>
          <w:highlight w:val="none"/>
        </w:rPr>
      </w:pPr>
    </w:p>
    <w:p w14:paraId="31062796">
      <w:pPr>
        <w:pStyle w:val="18"/>
        <w:pageBreakBefore w:val="0"/>
        <w:numPr>
          <w:ilvl w:val="0"/>
          <w:numId w:val="6"/>
        </w:numPr>
        <w:kinsoku/>
        <w:wordWrap/>
        <w:overflowPunct/>
        <w:topLinePunct w:val="0"/>
        <w:autoSpaceDE/>
        <w:autoSpaceDN/>
        <w:bidi w:val="0"/>
        <w:adjustRightInd/>
        <w:spacing w:after="0" w:line="560" w:lineRule="atLeast"/>
        <w:ind w:firstLine="321" w:firstLineChars="100"/>
        <w:textAlignment w:val="auto"/>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项目产出</w:t>
      </w:r>
    </w:p>
    <w:p w14:paraId="36429B8C">
      <w:pPr>
        <w:pageBreakBefore w:val="0"/>
        <w:kinsoku/>
        <w:wordWrap/>
        <w:overflowPunct/>
        <w:topLinePunct w:val="0"/>
        <w:autoSpaceDE/>
        <w:autoSpaceDN/>
        <w:bidi w:val="0"/>
        <w:adjustRightInd/>
        <w:spacing w:line="560" w:lineRule="atLeast"/>
        <w:ind w:firstLine="624" w:firstLineChars="200"/>
        <w:textAlignment w:val="auto"/>
        <w:rPr>
          <w:rStyle w:val="21"/>
          <w:rFonts w:hint="default" w:ascii="仿宋" w:hAnsi="仿宋" w:eastAsia="仿宋" w:cs="仿宋"/>
          <w:b w:val="0"/>
          <w:bCs/>
          <w:color w:val="auto"/>
          <w:spacing w:val="-4"/>
          <w:sz w:val="32"/>
          <w:szCs w:val="32"/>
          <w:highlight w:val="none"/>
          <w:lang w:val="en-US" w:eastAsia="zh-CN"/>
        </w:rPr>
      </w:pPr>
      <w:r>
        <w:rPr>
          <w:rStyle w:val="21"/>
          <w:rFonts w:hint="eastAsia" w:ascii="仿宋" w:hAnsi="仿宋" w:eastAsia="仿宋" w:cs="仿宋"/>
          <w:b w:val="0"/>
          <w:bCs/>
          <w:color w:val="auto"/>
          <w:spacing w:val="-4"/>
          <w:sz w:val="32"/>
          <w:szCs w:val="32"/>
          <w:highlight w:val="none"/>
        </w:rPr>
        <w:t>数量指标方面：</w:t>
      </w:r>
      <w:r>
        <w:rPr>
          <w:rFonts w:hint="eastAsia" w:ascii="仿宋_GB2312" w:hAnsi="方正仿宋_GBK" w:eastAsia="仿宋_GB2312" w:cs="方正仿宋_GBK"/>
          <w:color w:val="auto"/>
          <w:sz w:val="32"/>
          <w:szCs w:val="32"/>
          <w:highlight w:val="none"/>
        </w:rPr>
        <w:t>增加就医面积，</w:t>
      </w:r>
      <w:r>
        <w:rPr>
          <w:rFonts w:hint="eastAsia" w:ascii="仿宋_GB2312" w:hAnsi="方正仿宋_GBK" w:eastAsia="仿宋_GB2312" w:cs="方正仿宋_GBK"/>
          <w:color w:val="auto"/>
          <w:sz w:val="32"/>
          <w:szCs w:val="32"/>
          <w:highlight w:val="none"/>
          <w:lang w:eastAsia="zh-CN"/>
        </w:rPr>
        <w:t>预期指标</w:t>
      </w:r>
      <w:r>
        <w:rPr>
          <w:rFonts w:hint="eastAsia" w:ascii="仿宋_GB2312" w:hAnsi="方正仿宋_GBK" w:eastAsia="仿宋_GB2312" w:cs="方正仿宋_GBK"/>
          <w:color w:val="auto"/>
          <w:sz w:val="32"/>
          <w:szCs w:val="32"/>
          <w:highlight w:val="none"/>
          <w:lang w:val="en-US" w:eastAsia="zh-CN"/>
        </w:rPr>
        <w:t>=13000平米，项目已完成设计，设计建筑面积13000平米，指标完成率100%；</w:t>
      </w:r>
    </w:p>
    <w:p w14:paraId="6B5FE7BA">
      <w:pPr>
        <w:pageBreakBefore w:val="0"/>
        <w:kinsoku/>
        <w:wordWrap/>
        <w:overflowPunct/>
        <w:topLinePunct w:val="0"/>
        <w:autoSpaceDE/>
        <w:autoSpaceDN/>
        <w:bidi w:val="0"/>
        <w:adjustRightInd/>
        <w:spacing w:line="560" w:lineRule="atLeast"/>
        <w:ind w:firstLine="640" w:firstLineChars="200"/>
        <w:textAlignment w:val="auto"/>
        <w:rPr>
          <w:rStyle w:val="21"/>
          <w:rFonts w:hint="default" w:ascii="仿宋" w:hAnsi="仿宋" w:eastAsia="仿宋" w:cs="仿宋"/>
          <w:b w:val="0"/>
          <w:bCs/>
          <w:color w:val="auto"/>
          <w:spacing w:val="-4"/>
          <w:sz w:val="32"/>
          <w:szCs w:val="32"/>
          <w:highlight w:val="none"/>
          <w:lang w:val="en-US" w:eastAsia="zh-CN"/>
        </w:rPr>
      </w:pPr>
      <w:r>
        <w:rPr>
          <w:rStyle w:val="50"/>
          <w:rFonts w:hint="eastAsia"/>
          <w:color w:val="auto"/>
          <w:highlight w:val="none"/>
        </w:rPr>
        <w:t>质量指标方面：</w:t>
      </w:r>
      <w:r>
        <w:rPr>
          <w:rFonts w:hint="eastAsia" w:ascii="仿宋_GB2312" w:hAnsi="方正仿宋_GBK" w:eastAsia="仿宋_GB2312" w:cs="方正仿宋_GBK"/>
          <w:color w:val="auto"/>
          <w:sz w:val="32"/>
          <w:szCs w:val="32"/>
          <w:highlight w:val="none"/>
        </w:rPr>
        <w:t>前期工程量完成率</w:t>
      </w:r>
      <w:r>
        <w:rPr>
          <w:rFonts w:hint="eastAsia" w:ascii="仿宋_GB2312" w:hAnsi="方正仿宋_GBK" w:eastAsia="仿宋_GB2312" w:cs="方正仿宋_GBK"/>
          <w:color w:val="auto"/>
          <w:sz w:val="32"/>
          <w:szCs w:val="32"/>
          <w:highlight w:val="none"/>
          <w:lang w:eastAsia="zh-CN"/>
        </w:rPr>
        <w:t>，</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=100%，</w:t>
      </w:r>
      <w:r>
        <w:rPr>
          <w:rFonts w:hint="eastAsia" w:ascii="仿宋_GB2312" w:hAnsi="方正仿宋_GBK" w:eastAsia="仿宋_GB2312" w:cs="方正仿宋_GBK"/>
          <w:color w:val="auto"/>
          <w:sz w:val="32"/>
          <w:szCs w:val="32"/>
          <w:highlight w:val="none"/>
        </w:rPr>
        <w:t>及时有效的完成</w:t>
      </w:r>
      <w:r>
        <w:rPr>
          <w:rFonts w:hint="eastAsia" w:ascii="仿宋_GB2312" w:hAnsi="方正仿宋_GBK" w:eastAsia="仿宋_GB2312" w:cs="方正仿宋_GBK"/>
          <w:color w:val="auto"/>
          <w:sz w:val="32"/>
          <w:szCs w:val="32"/>
          <w:highlight w:val="none"/>
          <w:lang w:eastAsia="zh-CN"/>
        </w:rPr>
        <w:t>项目的可研、立项、施工图设计，并按照设计动工，</w:t>
      </w:r>
      <w:r>
        <w:rPr>
          <w:rFonts w:hint="eastAsia" w:ascii="仿宋_GB2312" w:hAnsi="方正仿宋_GBK" w:eastAsia="仿宋_GB2312" w:cs="方正仿宋_GBK"/>
          <w:color w:val="auto"/>
          <w:sz w:val="32"/>
          <w:szCs w:val="32"/>
          <w:highlight w:val="none"/>
          <w:lang w:val="en-US" w:eastAsia="zh-CN"/>
        </w:rPr>
        <w:t>指标完成率100%；</w:t>
      </w:r>
    </w:p>
    <w:p w14:paraId="4F236CB8">
      <w:pPr>
        <w:pageBreakBefore w:val="0"/>
        <w:kinsoku/>
        <w:wordWrap/>
        <w:overflowPunct/>
        <w:topLinePunct w:val="0"/>
        <w:autoSpaceDE/>
        <w:autoSpaceDN/>
        <w:bidi w:val="0"/>
        <w:adjustRightInd/>
        <w:spacing w:line="560" w:lineRule="atLeast"/>
        <w:ind w:firstLine="640" w:firstLineChars="200"/>
        <w:textAlignment w:val="auto"/>
        <w:rPr>
          <w:rFonts w:hint="eastAsia" w:ascii="仿宋_GB2312" w:hAnsi="方正仿宋_GBK" w:eastAsia="仿宋_GB2312" w:cs="方正仿宋_GBK"/>
          <w:color w:val="auto"/>
          <w:sz w:val="32"/>
          <w:szCs w:val="32"/>
          <w:highlight w:val="none"/>
          <w:lang w:val="en-US" w:eastAsia="zh-CN"/>
        </w:rPr>
      </w:pPr>
      <w:r>
        <w:rPr>
          <w:rStyle w:val="50"/>
          <w:rFonts w:hint="eastAsia"/>
          <w:b w:val="0"/>
          <w:bCs w:val="0"/>
          <w:color w:val="auto"/>
          <w:highlight w:val="none"/>
          <w:lang w:val="en-US" w:eastAsia="zh-CN"/>
        </w:rPr>
        <w:t>成本指标方面：</w:t>
      </w:r>
      <w:r>
        <w:rPr>
          <w:rFonts w:hint="eastAsia" w:ascii="仿宋_GB2312" w:hAnsi="方正仿宋_GBK" w:eastAsia="仿宋_GB2312" w:cs="方正仿宋_GBK"/>
          <w:color w:val="auto"/>
          <w:sz w:val="32"/>
          <w:szCs w:val="32"/>
          <w:highlight w:val="none"/>
        </w:rPr>
        <w:t>成本控制，</w:t>
      </w:r>
      <w:r>
        <w:rPr>
          <w:rFonts w:hint="eastAsia" w:ascii="仿宋_GB2312" w:hAnsi="方正仿宋_GBK" w:eastAsia="仿宋_GB2312" w:cs="方正仿宋_GBK"/>
          <w:color w:val="auto"/>
          <w:sz w:val="32"/>
          <w:szCs w:val="32"/>
          <w:highlight w:val="none"/>
          <w:lang w:eastAsia="zh-CN"/>
        </w:rPr>
        <w:t>预期指标≤8070万元，指标完成值</w:t>
      </w:r>
      <w:r>
        <w:rPr>
          <w:rFonts w:hint="eastAsia" w:ascii="仿宋_GB2312" w:hAnsi="方正仿宋_GBK" w:eastAsia="仿宋_GB2312" w:cs="方正仿宋_GBK"/>
          <w:color w:val="auto"/>
          <w:sz w:val="32"/>
          <w:szCs w:val="32"/>
          <w:highlight w:val="none"/>
          <w:lang w:val="en-US" w:eastAsia="zh-CN"/>
        </w:rPr>
        <w:t>8070万元，指标完成率100%；</w:t>
      </w:r>
    </w:p>
    <w:p w14:paraId="586DF4E6">
      <w:pPr>
        <w:pageBreakBefore w:val="0"/>
        <w:kinsoku/>
        <w:wordWrap/>
        <w:overflowPunct/>
        <w:topLinePunct w:val="0"/>
        <w:autoSpaceDE/>
        <w:autoSpaceDN/>
        <w:bidi w:val="0"/>
        <w:adjustRightInd/>
        <w:spacing w:line="560" w:lineRule="atLeast"/>
        <w:ind w:firstLine="640" w:firstLineChars="200"/>
        <w:textAlignment w:val="auto"/>
        <w:rPr>
          <w:rFonts w:hint="default" w:ascii="仿宋_GB2312" w:hAnsi="仿宋_GB2312" w:eastAsia="仿宋_GB2312" w:cs="仿宋_GB2312"/>
          <w:color w:val="auto"/>
          <w:sz w:val="32"/>
          <w:szCs w:val="32"/>
          <w:highlight w:val="none"/>
          <w:lang w:val="en-US"/>
        </w:rPr>
      </w:pPr>
      <w:r>
        <w:rPr>
          <w:rStyle w:val="50"/>
          <w:rFonts w:hint="eastAsia"/>
          <w:color w:val="auto"/>
          <w:highlight w:val="none"/>
          <w:lang w:val="en-US" w:eastAsia="zh-CN"/>
        </w:rPr>
        <w:t>时效指标方面：</w:t>
      </w:r>
      <w:r>
        <w:rPr>
          <w:rFonts w:hint="eastAsia" w:ascii="仿宋_GB2312" w:hAnsi="方正仿宋_GBK" w:eastAsia="仿宋_GB2312" w:cs="方正仿宋_GBK"/>
          <w:color w:val="auto"/>
          <w:sz w:val="32"/>
          <w:szCs w:val="32"/>
          <w:highlight w:val="none"/>
        </w:rPr>
        <w:t>项目期，</w:t>
      </w:r>
      <w:r>
        <w:rPr>
          <w:rFonts w:hint="eastAsia" w:ascii="仿宋_GB2312" w:hAnsi="方正仿宋_GBK" w:eastAsia="仿宋_GB2312" w:cs="方正仿宋_GBK"/>
          <w:color w:val="auto"/>
          <w:sz w:val="32"/>
          <w:szCs w:val="32"/>
          <w:highlight w:val="none"/>
          <w:lang w:eastAsia="zh-CN"/>
        </w:rPr>
        <w:t>预期指标为</w:t>
      </w:r>
      <w:r>
        <w:rPr>
          <w:rFonts w:hint="eastAsia" w:ascii="仿宋_GB2312" w:hAnsi="方正仿宋_GBK" w:eastAsia="仿宋_GB2312" w:cs="方正仿宋_GBK"/>
          <w:color w:val="auto"/>
          <w:sz w:val="32"/>
          <w:szCs w:val="32"/>
          <w:highlight w:val="none"/>
          <w:lang w:val="en-US" w:eastAsia="zh-CN"/>
        </w:rPr>
        <w:t>2020年7月至2021年12月，指标完成值2020年12月，指标完成率40%。</w:t>
      </w:r>
    </w:p>
    <w:p w14:paraId="64CE7015">
      <w:pPr>
        <w:pStyle w:val="18"/>
        <w:pageBreakBefore w:val="0"/>
        <w:numPr>
          <w:ilvl w:val="0"/>
          <w:numId w:val="6"/>
        </w:numPr>
        <w:kinsoku/>
        <w:wordWrap/>
        <w:overflowPunct/>
        <w:topLinePunct w:val="0"/>
        <w:autoSpaceDE/>
        <w:autoSpaceDN/>
        <w:bidi w:val="0"/>
        <w:adjustRightInd/>
        <w:spacing w:after="0" w:line="560" w:lineRule="atLeast"/>
        <w:ind w:firstLine="321" w:firstLineChars="100"/>
        <w:textAlignment w:val="auto"/>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效益情况</w:t>
      </w:r>
    </w:p>
    <w:p w14:paraId="273FBDCB">
      <w:pPr>
        <w:pageBreakBefore w:val="0"/>
        <w:kinsoku/>
        <w:wordWrap/>
        <w:overflowPunct/>
        <w:topLinePunct w:val="0"/>
        <w:autoSpaceDE/>
        <w:autoSpaceDN/>
        <w:bidi w:val="0"/>
        <w:adjustRightInd/>
        <w:spacing w:line="560" w:lineRule="atLeast"/>
        <w:ind w:firstLine="640" w:firstLineChars="200"/>
        <w:textAlignment w:val="auto"/>
        <w:rPr>
          <w:rFonts w:hint="default" w:ascii="仿宋_GB2312" w:hAnsi="方正仿宋_GBK" w:eastAsia="仿宋_GB2312" w:cs="方正仿宋_GBK"/>
          <w:color w:val="auto"/>
          <w:sz w:val="32"/>
          <w:szCs w:val="32"/>
          <w:highlight w:val="none"/>
          <w:lang w:val="en-US" w:eastAsia="zh-CN"/>
        </w:rPr>
      </w:pPr>
      <w:r>
        <w:rPr>
          <w:rStyle w:val="50"/>
          <w:rFonts w:hint="eastAsia"/>
          <w:color w:val="auto"/>
          <w:highlight w:val="none"/>
        </w:rPr>
        <w:t>社会效益指标方面</w:t>
      </w:r>
      <w:r>
        <w:rPr>
          <w:rStyle w:val="50"/>
          <w:rFonts w:hint="eastAsia" w:eastAsia="仿宋_GB2312"/>
          <w:color w:val="auto"/>
          <w:highlight w:val="none"/>
          <w:lang w:eastAsia="zh-CN"/>
        </w:rPr>
        <w:t>：</w:t>
      </w:r>
      <w:r>
        <w:rPr>
          <w:rStyle w:val="50"/>
          <w:rFonts w:hint="eastAsia"/>
          <w:color w:val="auto"/>
          <w:highlight w:val="none"/>
        </w:rPr>
        <w:t>传染病防治能力</w:t>
      </w:r>
      <w:r>
        <w:rPr>
          <w:rFonts w:hint="eastAsia" w:ascii="仿宋_GB2312" w:hAnsi="方正仿宋_GBK" w:eastAsia="仿宋_GB2312" w:cs="方正仿宋_GBK"/>
          <w:color w:val="auto"/>
          <w:sz w:val="32"/>
          <w:szCs w:val="32"/>
          <w:highlight w:val="none"/>
        </w:rPr>
        <w:t>，</w:t>
      </w:r>
      <w:r>
        <w:rPr>
          <w:rFonts w:hint="eastAsia" w:ascii="仿宋_GB2312" w:hAnsi="方正仿宋_GBK" w:eastAsia="仿宋_GB2312" w:cs="方正仿宋_GBK"/>
          <w:color w:val="auto"/>
          <w:sz w:val="32"/>
          <w:szCs w:val="32"/>
          <w:highlight w:val="none"/>
          <w:lang w:eastAsia="zh-CN"/>
        </w:rPr>
        <w:t>预期指标值有所提升，指标完成值有所提升，指标完成率</w:t>
      </w:r>
      <w:r>
        <w:rPr>
          <w:rFonts w:hint="eastAsia" w:ascii="仿宋_GB2312" w:hAnsi="方正仿宋_GBK" w:eastAsia="仿宋_GB2312" w:cs="方正仿宋_GBK"/>
          <w:color w:val="auto"/>
          <w:sz w:val="32"/>
          <w:szCs w:val="32"/>
          <w:highlight w:val="none"/>
          <w:lang w:val="en-US" w:eastAsia="zh-CN"/>
        </w:rPr>
        <w:t>66.67%；</w:t>
      </w:r>
    </w:p>
    <w:p w14:paraId="1E8BF1EC">
      <w:pPr>
        <w:pStyle w:val="17"/>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atLeast"/>
        <w:ind w:firstLine="643"/>
        <w:jc w:val="both"/>
        <w:textAlignment w:val="auto"/>
        <w:outlineLvl w:val="9"/>
        <w:rPr>
          <w:rFonts w:hint="eastAsia" w:ascii="仿宋_GB2312" w:hAnsi="仿宋_GB2312" w:eastAsia="仿宋_GB2312" w:cs="仿宋_GB2312"/>
          <w:sz w:val="32"/>
          <w:szCs w:val="32"/>
        </w:rPr>
      </w:pPr>
      <w:r>
        <w:rPr>
          <w:rStyle w:val="50"/>
          <w:color w:val="auto"/>
          <w:highlight w:val="none"/>
        </w:rPr>
        <w:t>可持续影响指标</w:t>
      </w:r>
      <w:r>
        <w:rPr>
          <w:rStyle w:val="50"/>
          <w:rFonts w:hint="eastAsia"/>
          <w:color w:val="auto"/>
          <w:highlight w:val="none"/>
        </w:rPr>
        <w:t>方面：建筑耐久年限</w:t>
      </w:r>
      <w:r>
        <w:rPr>
          <w:rStyle w:val="50"/>
          <w:rFonts w:hint="eastAsia" w:eastAsia="仿宋_GB2312"/>
          <w:color w:val="auto"/>
          <w:highlight w:val="none"/>
          <w:lang w:eastAsia="zh-CN"/>
        </w:rPr>
        <w:t>，预期指标</w:t>
      </w:r>
      <w:r>
        <w:rPr>
          <w:rStyle w:val="50"/>
          <w:rFonts w:hint="eastAsia"/>
          <w:color w:val="auto"/>
          <w:highlight w:val="none"/>
        </w:rPr>
        <w:t>≥50年，</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50年</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14:paraId="47C78B90">
      <w:pPr>
        <w:pageBreakBefore w:val="0"/>
        <w:kinsoku/>
        <w:wordWrap/>
        <w:overflowPunct/>
        <w:topLinePunct w:val="0"/>
        <w:autoSpaceDE/>
        <w:autoSpaceDN/>
        <w:bidi w:val="0"/>
        <w:adjustRightInd/>
        <w:spacing w:line="560" w:lineRule="atLeast"/>
        <w:ind w:firstLine="640" w:firstLineChars="200"/>
        <w:textAlignment w:val="auto"/>
        <w:rPr>
          <w:rFonts w:ascii="仿宋_GB2312" w:hAnsi="仿宋_GB2312" w:eastAsia="仿宋_GB2312" w:cs="仿宋_GB2312"/>
          <w:color w:val="auto"/>
          <w:sz w:val="32"/>
          <w:szCs w:val="32"/>
          <w:highlight w:val="none"/>
        </w:rPr>
      </w:pPr>
      <w:r>
        <w:rPr>
          <w:rStyle w:val="50"/>
          <w:color w:val="auto"/>
          <w:highlight w:val="none"/>
        </w:rPr>
        <w:t>满意度指标</w:t>
      </w:r>
      <w:r>
        <w:rPr>
          <w:rStyle w:val="50"/>
          <w:rFonts w:hint="eastAsia"/>
          <w:color w:val="auto"/>
          <w:highlight w:val="none"/>
        </w:rPr>
        <w:t>方面：</w:t>
      </w:r>
      <w:r>
        <w:rPr>
          <w:rFonts w:hint="eastAsia" w:ascii="仿宋_GB2312" w:hAnsi="仿宋_GB2312" w:eastAsia="仿宋_GB2312" w:cs="仿宋_GB2312"/>
          <w:sz w:val="32"/>
          <w:szCs w:val="32"/>
          <w:lang w:val="en-US" w:eastAsia="zh-CN"/>
        </w:rPr>
        <w:t>相关部门满意度</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14:paraId="1EA1AA25">
      <w:pPr>
        <w:pageBreakBefore w:val="0"/>
        <w:kinsoku/>
        <w:wordWrap/>
        <w:overflowPunct/>
        <w:topLinePunct w:val="0"/>
        <w:autoSpaceDE/>
        <w:autoSpaceDN/>
        <w:bidi w:val="0"/>
        <w:adjustRightInd/>
        <w:spacing w:line="560" w:lineRule="atLeast"/>
        <w:ind w:firstLine="641"/>
        <w:textAlignment w:val="auto"/>
        <w:rPr>
          <w:rStyle w:val="50"/>
          <w:color w:val="auto"/>
          <w:highlight w:val="none"/>
        </w:rPr>
      </w:pPr>
      <w:r>
        <w:rPr>
          <w:rFonts w:hint="eastAsia" w:ascii="黑体" w:hAnsi="黑体" w:eastAsia="黑体"/>
          <w:color w:val="auto"/>
          <w:sz w:val="32"/>
          <w:szCs w:val="32"/>
          <w:highlight w:val="none"/>
        </w:rPr>
        <w:t>五、主要经验及做法、存在的问题及原因分析</w:t>
      </w:r>
    </w:p>
    <w:p w14:paraId="0EDE6E31">
      <w:pPr>
        <w:pageBreakBefore w:val="0"/>
        <w:kinsoku/>
        <w:wordWrap/>
        <w:overflowPunct/>
        <w:topLinePunct w:val="0"/>
        <w:autoSpaceDE/>
        <w:autoSpaceDN/>
        <w:bidi w:val="0"/>
        <w:adjustRightInd/>
        <w:spacing w:line="560" w:lineRule="atLeast"/>
        <w:ind w:firstLine="567" w:firstLineChars="181"/>
        <w:textAlignment w:val="auto"/>
        <w:rPr>
          <w:rFonts w:ascii="楷体" w:hAnsi="楷体" w:eastAsia="楷体"/>
          <w:b/>
          <w:color w:val="auto"/>
          <w:spacing w:val="-4"/>
          <w:sz w:val="32"/>
          <w:szCs w:val="32"/>
          <w:highlight w:val="none"/>
        </w:rPr>
      </w:pPr>
      <w:r>
        <w:rPr>
          <w:rFonts w:hint="eastAsia" w:ascii="楷体" w:hAnsi="楷体" w:eastAsia="楷体"/>
          <w:b/>
          <w:color w:val="auto"/>
          <w:spacing w:val="-4"/>
          <w:sz w:val="32"/>
          <w:szCs w:val="32"/>
          <w:highlight w:val="none"/>
        </w:rPr>
        <w:t>（一）主要经验及做法</w:t>
      </w:r>
    </w:p>
    <w:p w14:paraId="4E522A79">
      <w:pPr>
        <w:pageBreakBefore w:val="0"/>
        <w:kinsoku/>
        <w:wordWrap/>
        <w:overflowPunct/>
        <w:topLinePunct w:val="0"/>
        <w:autoSpaceDE/>
        <w:autoSpaceDN/>
        <w:bidi w:val="0"/>
        <w:adjustRightInd/>
        <w:spacing w:line="560" w:lineRule="atLeast"/>
        <w:ind w:firstLine="640" w:firstLineChars="200"/>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25FE5E40">
      <w:pPr>
        <w:pStyle w:val="2"/>
        <w:pageBreakBefore w:val="0"/>
        <w:kinsoku/>
        <w:wordWrap/>
        <w:overflowPunct/>
        <w:topLinePunct w:val="0"/>
        <w:autoSpaceDE/>
        <w:autoSpaceDN/>
        <w:bidi w:val="0"/>
        <w:adjustRightInd/>
        <w:spacing w:before="0" w:after="0" w:line="560" w:lineRule="atLeast"/>
        <w:ind w:firstLine="640" w:firstLineChars="200"/>
        <w:textAlignment w:val="auto"/>
        <w:rPr>
          <w:rFonts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7ACF095">
      <w:pPr>
        <w:keepNext/>
        <w:keepLines/>
        <w:pageBreakBefore w:val="0"/>
        <w:numPr>
          <w:ilvl w:val="0"/>
          <w:numId w:val="7"/>
        </w:numPr>
        <w:kinsoku/>
        <w:wordWrap/>
        <w:overflowPunct/>
        <w:topLinePunct w:val="0"/>
        <w:autoSpaceDE/>
        <w:autoSpaceDN/>
        <w:bidi w:val="0"/>
        <w:adjustRightInd/>
        <w:spacing w:line="560" w:lineRule="atLeast"/>
        <w:ind w:firstLine="641"/>
        <w:textAlignment w:val="auto"/>
        <w:rPr>
          <w:rFonts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存在的问题及原因分析</w:t>
      </w:r>
    </w:p>
    <w:p w14:paraId="6BFCE39D">
      <w:pPr>
        <w:pStyle w:val="2"/>
        <w:pageBreakBefore w:val="0"/>
        <w:numPr>
          <w:ilvl w:val="0"/>
          <w:numId w:val="8"/>
        </w:numPr>
        <w:kinsoku/>
        <w:wordWrap/>
        <w:overflowPunct/>
        <w:topLinePunct w:val="0"/>
        <w:autoSpaceDE/>
        <w:autoSpaceDN/>
        <w:bidi w:val="0"/>
        <w:adjustRightInd/>
        <w:spacing w:before="0" w:after="0" w:line="560" w:lineRule="atLeast"/>
        <w:ind w:firstLine="643" w:firstLineChars="200"/>
        <w:jc w:val="both"/>
        <w:textAlignment w:val="auto"/>
        <w:rPr>
          <w:rFonts w:hint="eastAsia" w:ascii="仿宋_GB2312" w:hAnsi="仿宋_GB2312" w:eastAsia="仿宋_GB2312" w:cs="仿宋_GB2312"/>
          <w:b w:val="0"/>
          <w:bCs w:val="0"/>
          <w:color w:val="auto"/>
          <w:kern w:val="2"/>
          <w:highlight w:val="none"/>
        </w:rPr>
      </w:pPr>
      <w:r>
        <w:rPr>
          <w:rFonts w:hint="eastAsia" w:ascii="仿宋_GB2312" w:hAnsi="仿宋_GB2312" w:eastAsia="仿宋_GB2312" w:cs="仿宋_GB2312"/>
          <w:b/>
          <w:bCs/>
          <w:color w:val="auto"/>
          <w:kern w:val="2"/>
          <w:highlight w:val="none"/>
        </w:rPr>
        <w:t>存在的问题</w:t>
      </w:r>
    </w:p>
    <w:p w14:paraId="698D2C9A">
      <w:pPr>
        <w:pageBreakBefore w:val="0"/>
        <w:numPr>
          <w:ilvl w:val="0"/>
          <w:numId w:val="0"/>
        </w:numPr>
        <w:kinsoku/>
        <w:wordWrap/>
        <w:overflowPunct/>
        <w:topLinePunct w:val="0"/>
        <w:autoSpaceDE/>
        <w:autoSpaceDN/>
        <w:bidi w:val="0"/>
        <w:adjustRightInd/>
        <w:spacing w:line="560" w:lineRule="atLeast"/>
        <w:ind w:firstLine="640" w:firstLineChars="200"/>
        <w:textAlignment w:val="auto"/>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施工进度缓慢，未能按照合同约定的进度完成相应工程量，可能会导致传染病综合楼不能按期交工投入使用。</w:t>
      </w:r>
    </w:p>
    <w:p w14:paraId="30599589">
      <w:pPr>
        <w:pageBreakBefore w:val="0"/>
        <w:numPr>
          <w:ilvl w:val="0"/>
          <w:numId w:val="8"/>
        </w:numPr>
        <w:kinsoku/>
        <w:wordWrap/>
        <w:overflowPunct/>
        <w:topLinePunct w:val="0"/>
        <w:autoSpaceDE/>
        <w:autoSpaceDN/>
        <w:bidi w:val="0"/>
        <w:adjustRightInd/>
        <w:spacing w:line="560" w:lineRule="atLeast"/>
        <w:ind w:left="0" w:leftChars="0"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原因分析</w:t>
      </w:r>
    </w:p>
    <w:p w14:paraId="704D3402">
      <w:pPr>
        <w:pStyle w:val="2"/>
        <w:pageBreakBefore w:val="0"/>
        <w:kinsoku/>
        <w:wordWrap/>
        <w:overflowPunct/>
        <w:topLinePunct w:val="0"/>
        <w:autoSpaceDE/>
        <w:autoSpaceDN/>
        <w:bidi w:val="0"/>
        <w:adjustRightInd/>
        <w:spacing w:before="0" w:after="0" w:line="560" w:lineRule="atLeast"/>
        <w:ind w:firstLine="640" w:firstLineChars="200"/>
        <w:jc w:val="left"/>
        <w:textAlignment w:val="auto"/>
        <w:rPr>
          <w:rFonts w:hint="default" w:ascii="仿宋_GB2312" w:hAnsi="仿宋_GB2312" w:eastAsia="仿宋_GB2312" w:cs="仿宋_GB2312"/>
          <w:b w:val="0"/>
          <w:bCs w:val="0"/>
          <w:color w:val="auto"/>
          <w:kern w:val="2"/>
          <w:highlight w:val="none"/>
          <w:lang w:val="en-US" w:eastAsia="zh-CN"/>
        </w:rPr>
      </w:pPr>
      <w:r>
        <w:rPr>
          <w:rFonts w:hint="eastAsia" w:ascii="仿宋_GB2312" w:hAnsi="仿宋_GB2312" w:eastAsia="仿宋_GB2312" w:cs="仿宋_GB2312"/>
          <w:b w:val="0"/>
          <w:bCs w:val="0"/>
          <w:color w:val="auto"/>
          <w:kern w:val="2"/>
          <w:highlight w:val="none"/>
          <w:lang w:val="en-US" w:eastAsia="zh-CN"/>
        </w:rPr>
        <w:t>2020年7月份签订合同动工后，受到8月份传染病防控影响，在一段时间内无法正常施工。</w:t>
      </w:r>
    </w:p>
    <w:p w14:paraId="18B46911">
      <w:pPr>
        <w:pageBreakBefore w:val="0"/>
        <w:numPr>
          <w:ilvl w:val="0"/>
          <w:numId w:val="9"/>
        </w:numPr>
        <w:kinsoku/>
        <w:wordWrap/>
        <w:overflowPunct/>
        <w:topLinePunct w:val="0"/>
        <w:autoSpaceDE/>
        <w:autoSpaceDN/>
        <w:bidi w:val="0"/>
        <w:adjustRightInd/>
        <w:spacing w:line="560" w:lineRule="atLeast"/>
        <w:ind w:firstLine="641"/>
        <w:jc w:val="left"/>
        <w:textAlignment w:val="auto"/>
        <w:rPr>
          <w:rFonts w:ascii="黑体" w:hAnsi="黑体" w:eastAsia="黑体"/>
          <w:color w:val="auto"/>
          <w:sz w:val="32"/>
          <w:szCs w:val="32"/>
          <w:highlight w:val="none"/>
        </w:rPr>
      </w:pPr>
      <w:r>
        <w:rPr>
          <w:rFonts w:hint="eastAsia" w:ascii="黑体" w:hAnsi="黑体" w:eastAsia="黑体"/>
          <w:color w:val="auto"/>
          <w:sz w:val="32"/>
          <w:szCs w:val="32"/>
          <w:highlight w:val="none"/>
        </w:rPr>
        <w:t>有关建议</w:t>
      </w:r>
    </w:p>
    <w:p w14:paraId="674D3C29">
      <w:pPr>
        <w:pageBreakBefore w:val="0"/>
        <w:numPr>
          <w:ilvl w:val="0"/>
          <w:numId w:val="10"/>
        </w:numPr>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14:paraId="68BDA607">
      <w:pPr>
        <w:pageBreakBefore w:val="0"/>
        <w:numPr>
          <w:ilvl w:val="0"/>
          <w:numId w:val="10"/>
        </w:numPr>
        <w:kinsoku/>
        <w:wordWrap/>
        <w:overflowPunct/>
        <w:topLinePunct w:val="0"/>
        <w:autoSpaceDE/>
        <w:autoSpaceDN/>
        <w:bidi w:val="0"/>
        <w:adjustRightInd/>
        <w:spacing w:line="560" w:lineRule="atLeast"/>
        <w:ind w:firstLine="641"/>
        <w:textAlignment w:val="auto"/>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财政和项目实施单位严格实行“三专”管理，即设专户、建专</w:t>
      </w:r>
      <w:r>
        <w:rPr>
          <w:rFonts w:hint="eastAsia" w:ascii="仿宋_GB2312" w:eastAsia="仿宋_GB2312" w:cs="仿宋_GB2312"/>
          <w:sz w:val="32"/>
          <w:szCs w:val="32"/>
          <w:lang w:val="en-US" w:eastAsia="zh-CN"/>
        </w:rPr>
        <w:t>账</w:t>
      </w:r>
      <w:r>
        <w:rPr>
          <w:rFonts w:hint="eastAsia" w:ascii="仿宋_GB2312" w:hAnsi="仿宋_GB2312" w:eastAsia="仿宋_GB2312" w:cs="仿宋_GB2312"/>
          <w:color w:val="auto"/>
          <w:sz w:val="32"/>
          <w:szCs w:val="32"/>
          <w:highlight w:val="none"/>
        </w:rPr>
        <w:t>、定专人。同时，资金拨付除坚持按项目计划、工程进度和质量分阶段验收拨款外，还坚持部门联审制，项目单位先做事、后报</w:t>
      </w:r>
      <w:r>
        <w:rPr>
          <w:rFonts w:hint="eastAsia" w:ascii="仿宋_GB2312" w:eastAsia="仿宋_GB2312" w:cs="仿宋_GB2312"/>
          <w:sz w:val="32"/>
          <w:szCs w:val="32"/>
          <w:lang w:val="en-US" w:eastAsia="zh-CN"/>
        </w:rPr>
        <w:t>账</w:t>
      </w:r>
      <w:r>
        <w:rPr>
          <w:rFonts w:hint="eastAsia" w:ascii="仿宋_GB2312" w:hAnsi="仿宋_GB2312" w:eastAsia="仿宋_GB2312" w:cs="仿宋_GB2312"/>
          <w:color w:val="auto"/>
          <w:sz w:val="32"/>
          <w:szCs w:val="32"/>
          <w:highlight w:val="none"/>
        </w:rPr>
        <w:t>，从而确保专项资金专款专用，有效地防止了截留、挤占和挪用。</w:t>
      </w:r>
    </w:p>
    <w:p w14:paraId="412BD42D">
      <w:pPr>
        <w:pageBreakBefore w:val="0"/>
        <w:numPr>
          <w:ilvl w:val="0"/>
          <w:numId w:val="9"/>
        </w:numPr>
        <w:kinsoku/>
        <w:wordWrap/>
        <w:overflowPunct/>
        <w:topLinePunct w:val="0"/>
        <w:autoSpaceDE/>
        <w:autoSpaceDN/>
        <w:bidi w:val="0"/>
        <w:adjustRightInd/>
        <w:spacing w:line="560" w:lineRule="atLeast"/>
        <w:ind w:firstLine="641"/>
        <w:textAlignment w:val="auto"/>
        <w:rPr>
          <w:rFonts w:hint="default" w:ascii="黑体" w:hAnsi="黑体" w:eastAsia="黑体"/>
          <w:color w:val="auto"/>
          <w:sz w:val="32"/>
          <w:szCs w:val="32"/>
          <w:highlight w:val="none"/>
          <w:lang w:val="en-US" w:eastAsia="zh-CN"/>
        </w:rPr>
      </w:pPr>
      <w:r>
        <w:rPr>
          <w:rFonts w:hint="eastAsia" w:ascii="黑体" w:hAnsi="黑体" w:eastAsia="黑体"/>
          <w:color w:val="auto"/>
          <w:sz w:val="32"/>
          <w:szCs w:val="32"/>
          <w:highlight w:val="none"/>
        </w:rPr>
        <w:t>其他需要说</w:t>
      </w:r>
      <w:bookmarkStart w:id="1" w:name="page8"/>
      <w:bookmarkEnd w:id="1"/>
      <w:r>
        <w:rPr>
          <w:rFonts w:hint="eastAsia" w:ascii="黑体" w:hAnsi="黑体" w:eastAsia="黑体"/>
          <w:color w:val="auto"/>
          <w:sz w:val="32"/>
          <w:szCs w:val="32"/>
          <w:highlight w:val="none"/>
        </w:rPr>
        <w:t>明的问题</w:t>
      </w:r>
    </w:p>
    <w:p w14:paraId="2C600DE1">
      <w:pPr>
        <w:pageBreakBefore w:val="0"/>
        <w:numPr>
          <w:ilvl w:val="0"/>
          <w:numId w:val="0"/>
        </w:numPr>
        <w:kinsoku/>
        <w:wordWrap/>
        <w:overflowPunct/>
        <w:topLinePunct w:val="0"/>
        <w:autoSpaceDE/>
        <w:autoSpaceDN/>
        <w:bidi w:val="0"/>
        <w:adjustRightInd/>
        <w:spacing w:line="560" w:lineRule="atLeast"/>
        <w:ind w:firstLine="640" w:firstLineChars="200"/>
        <w:textAlignment w:val="auto"/>
        <w:rPr>
          <w:rFonts w:hint="default" w:ascii="黑体" w:hAnsi="黑体" w:eastAsia="黑体"/>
          <w:color w:val="auto"/>
          <w:sz w:val="32"/>
          <w:szCs w:val="32"/>
          <w:highlight w:val="none"/>
          <w:lang w:val="en-US" w:eastAsia="zh-CN"/>
        </w:rPr>
      </w:pPr>
      <w:r>
        <w:rPr>
          <w:rFonts w:hint="eastAsia" w:ascii="黑体" w:hAnsi="黑体" w:eastAsia="黑体"/>
          <w:color w:val="auto"/>
          <w:sz w:val="32"/>
          <w:szCs w:val="32"/>
          <w:highlight w:val="none"/>
          <w:lang w:val="en-US" w:eastAsia="zh-CN"/>
        </w:rPr>
        <w:t xml:space="preserve"> 无</w:t>
      </w:r>
    </w:p>
    <w:p w14:paraId="4FF2A5DF">
      <w:pPr>
        <w:pageBreakBefore w:val="0"/>
        <w:kinsoku/>
        <w:wordWrap/>
        <w:overflowPunct/>
        <w:topLinePunct w:val="0"/>
        <w:autoSpaceDE/>
        <w:autoSpaceDN/>
        <w:bidi w:val="0"/>
        <w:adjustRightInd/>
        <w:spacing w:line="560" w:lineRule="atLeast"/>
        <w:textAlignment w:val="auto"/>
        <w:rPr>
          <w:rFonts w:hint="eastAsia" w:ascii="黑体" w:hAnsi="黑体" w:eastAsia="黑体"/>
          <w:color w:val="auto"/>
          <w:sz w:val="32"/>
          <w:szCs w:val="32"/>
          <w:highlight w:val="none"/>
        </w:rPr>
        <w:sectPr>
          <w:footerReference r:id="rId3" w:type="default"/>
          <w:pgSz w:w="11906" w:h="16838"/>
          <w:pgMar w:top="1440" w:right="1558" w:bottom="1440" w:left="1800" w:header="851" w:footer="992" w:gutter="0"/>
          <w:cols w:space="425" w:num="1"/>
          <w:docGrid w:type="lines" w:linePitch="312" w:charSpace="0"/>
        </w:sectPr>
      </w:pPr>
    </w:p>
    <w:tbl>
      <w:tblPr>
        <w:tblStyle w:val="19"/>
        <w:tblW w:w="10005" w:type="dxa"/>
        <w:tblInd w:w="-879" w:type="dxa"/>
        <w:shd w:val="clear" w:color="auto" w:fill="auto"/>
        <w:tblLayout w:type="fixed"/>
        <w:tblCellMar>
          <w:top w:w="0" w:type="dxa"/>
          <w:left w:w="0" w:type="dxa"/>
          <w:bottom w:w="0" w:type="dxa"/>
          <w:right w:w="0" w:type="dxa"/>
        </w:tblCellMar>
      </w:tblPr>
      <w:tblGrid>
        <w:gridCol w:w="769"/>
        <w:gridCol w:w="769"/>
        <w:gridCol w:w="769"/>
        <w:gridCol w:w="769"/>
        <w:gridCol w:w="1184"/>
        <w:gridCol w:w="354"/>
        <w:gridCol w:w="1011"/>
        <w:gridCol w:w="1605"/>
        <w:gridCol w:w="960"/>
        <w:gridCol w:w="1815"/>
      </w:tblGrid>
      <w:tr w14:paraId="6C33B506">
        <w:tblPrEx>
          <w:tblCellMar>
            <w:top w:w="0" w:type="dxa"/>
            <w:left w:w="0" w:type="dxa"/>
            <w:bottom w:w="0" w:type="dxa"/>
            <w:right w:w="0" w:type="dxa"/>
          </w:tblCellMar>
        </w:tblPrEx>
        <w:trPr>
          <w:trHeight w:val="639" w:hRule="atLeast"/>
        </w:trPr>
        <w:tc>
          <w:tcPr>
            <w:tcW w:w="10005" w:type="dxa"/>
            <w:gridSpan w:val="10"/>
            <w:tcBorders>
              <w:top w:val="nil"/>
              <w:left w:val="nil"/>
              <w:bottom w:val="nil"/>
              <w:right w:val="nil"/>
            </w:tcBorders>
            <w:shd w:val="clear" w:color="auto" w:fill="auto"/>
            <w:tcMar>
              <w:top w:w="15" w:type="dxa"/>
              <w:left w:w="15" w:type="dxa"/>
              <w:right w:w="15" w:type="dxa"/>
            </w:tcMar>
            <w:vAlign w:val="center"/>
          </w:tcPr>
          <w:p w14:paraId="75EE5DF1">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14:paraId="6D66C18E">
        <w:tblPrEx>
          <w:shd w:val="clear" w:color="auto" w:fill="auto"/>
          <w:tblCellMar>
            <w:top w:w="0" w:type="dxa"/>
            <w:left w:w="0" w:type="dxa"/>
            <w:bottom w:w="0" w:type="dxa"/>
            <w:right w:w="0" w:type="dxa"/>
          </w:tblCellMar>
        </w:tblPrEx>
        <w:trPr>
          <w:trHeight w:val="639" w:hRule="atLeast"/>
        </w:trPr>
        <w:tc>
          <w:tcPr>
            <w:tcW w:w="10005" w:type="dxa"/>
            <w:gridSpan w:val="10"/>
            <w:tcBorders>
              <w:top w:val="nil"/>
              <w:left w:val="nil"/>
              <w:bottom w:val="nil"/>
              <w:right w:val="nil"/>
            </w:tcBorders>
            <w:shd w:val="clear" w:color="auto" w:fill="auto"/>
            <w:tcMar>
              <w:top w:w="15" w:type="dxa"/>
              <w:left w:w="15" w:type="dxa"/>
              <w:right w:w="15" w:type="dxa"/>
            </w:tcMar>
            <w:vAlign w:val="center"/>
          </w:tcPr>
          <w:p w14:paraId="734C5C22">
            <w:pPr>
              <w:keepNext w:val="0"/>
              <w:keepLines w:val="0"/>
              <w:widowControl/>
              <w:suppressLineNumbers w:val="0"/>
              <w:jc w:val="center"/>
              <w:textAlignment w:val="center"/>
              <w:rPr>
                <w:rFonts w:hint="eastAsia" w:ascii="宋体" w:hAnsi="宋体" w:eastAsia="宋体" w:cs="宋体"/>
                <w:i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14:paraId="551EEF45">
        <w:tblPrEx>
          <w:shd w:val="clear" w:color="auto" w:fill="auto"/>
          <w:tblCellMar>
            <w:top w:w="0" w:type="dxa"/>
            <w:left w:w="0" w:type="dxa"/>
            <w:bottom w:w="0" w:type="dxa"/>
            <w:right w:w="0" w:type="dxa"/>
          </w:tblCellMar>
        </w:tblPrEx>
        <w:trPr>
          <w:trHeight w:val="337" w:hRule="atLeast"/>
        </w:trPr>
        <w:tc>
          <w:tcPr>
            <w:tcW w:w="10005"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1D0E3">
            <w:pPr>
              <w:jc w:val="center"/>
              <w:rPr>
                <w:rFonts w:hint="eastAsia" w:ascii="宋体" w:hAnsi="宋体" w:eastAsia="宋体" w:cs="宋体"/>
                <w:i w:val="0"/>
                <w:color w:val="000000"/>
                <w:sz w:val="18"/>
                <w:szCs w:val="18"/>
                <w:u w:val="none"/>
              </w:rPr>
            </w:pPr>
          </w:p>
        </w:tc>
      </w:tr>
      <w:tr w14:paraId="5DEF3756">
        <w:tblPrEx>
          <w:shd w:val="clear" w:color="auto" w:fill="auto"/>
          <w:tblCellMar>
            <w:top w:w="0" w:type="dxa"/>
            <w:left w:w="0" w:type="dxa"/>
            <w:bottom w:w="0" w:type="dxa"/>
            <w:right w:w="0" w:type="dxa"/>
          </w:tblCellMar>
        </w:tblPrEx>
        <w:trPr>
          <w:trHeight w:val="337" w:hRule="atLeast"/>
        </w:trPr>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25F5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467"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11C3C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塔城地区人民医院（南院）传染病综合楼及附属设施项目</w:t>
            </w:r>
          </w:p>
        </w:tc>
      </w:tr>
      <w:tr w14:paraId="670BF013">
        <w:tblPrEx>
          <w:tblCellMar>
            <w:top w:w="0" w:type="dxa"/>
            <w:left w:w="0" w:type="dxa"/>
            <w:bottom w:w="0" w:type="dxa"/>
            <w:right w:w="0" w:type="dxa"/>
          </w:tblCellMar>
        </w:tblPrEx>
        <w:trPr>
          <w:trHeight w:val="649" w:hRule="atLeast"/>
        </w:trPr>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FFCB7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087" w:type="dxa"/>
            <w:gridSpan w:val="5"/>
            <w:tcBorders>
              <w:top w:val="nil"/>
              <w:left w:val="nil"/>
              <w:bottom w:val="nil"/>
              <w:right w:val="nil"/>
            </w:tcBorders>
            <w:shd w:val="clear" w:color="auto" w:fill="auto"/>
            <w:tcMar>
              <w:top w:w="15" w:type="dxa"/>
              <w:left w:w="15" w:type="dxa"/>
              <w:right w:w="15" w:type="dxa"/>
            </w:tcMar>
            <w:vAlign w:val="center"/>
          </w:tcPr>
          <w:p w14:paraId="384F0A9B">
            <w:pPr>
              <w:jc w:val="center"/>
              <w:rPr>
                <w:rFonts w:hint="eastAsia" w:ascii="宋体" w:hAnsi="宋体" w:eastAsia="宋体" w:cs="宋体"/>
                <w:i w:val="0"/>
                <w:color w:val="000000"/>
                <w:sz w:val="18"/>
                <w:szCs w:val="18"/>
                <w:u w:val="none"/>
              </w:rPr>
            </w:pP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9A49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EC32C">
            <w:pPr>
              <w:keepNext w:val="0"/>
              <w:keepLines w:val="0"/>
              <w:widowControl/>
              <w:suppressLineNumbers w:val="0"/>
              <w:jc w:val="left"/>
              <w:textAlignment w:val="center"/>
              <w:rPr>
                <w:rFonts w:hint="eastAsia" w:ascii="宋体" w:hAnsi="宋体" w:eastAsia="宋体" w:cs="宋体"/>
                <w:i w:val="0"/>
                <w:color w:val="000000"/>
                <w:sz w:val="18"/>
                <w:szCs w:val="18"/>
                <w:highlight w:val="yellow"/>
                <w:u w:val="none"/>
              </w:rPr>
            </w:pPr>
            <w:r>
              <w:rPr>
                <w:rFonts w:hint="eastAsia" w:ascii="宋体" w:hAnsi="宋体" w:eastAsia="宋体" w:cs="宋体"/>
                <w:i w:val="0"/>
                <w:color w:val="000000"/>
                <w:kern w:val="0"/>
                <w:sz w:val="18"/>
                <w:szCs w:val="18"/>
                <w:u w:val="none"/>
                <w:lang w:val="en-US" w:eastAsia="zh-CN" w:bidi="ar"/>
              </w:rPr>
              <w:t>塔城地区人民医院</w:t>
            </w:r>
          </w:p>
        </w:tc>
      </w:tr>
      <w:tr w14:paraId="40477771">
        <w:tblPrEx>
          <w:shd w:val="clear" w:color="auto" w:fill="auto"/>
          <w:tblCellMar>
            <w:top w:w="0" w:type="dxa"/>
            <w:left w:w="0" w:type="dxa"/>
            <w:bottom w:w="0" w:type="dxa"/>
            <w:right w:w="0" w:type="dxa"/>
          </w:tblCellMar>
        </w:tblPrEx>
        <w:trPr>
          <w:trHeight w:val="337" w:hRule="atLeast"/>
        </w:trPr>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5BE2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769"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161BD872">
            <w:pPr>
              <w:rPr>
                <w:rFonts w:hint="eastAsia" w:ascii="宋体" w:hAnsi="宋体" w:eastAsia="宋体" w:cs="宋体"/>
                <w:i w:val="0"/>
                <w:color w:val="000000"/>
                <w:sz w:val="18"/>
                <w:szCs w:val="18"/>
                <w:u w:val="none"/>
              </w:rPr>
            </w:pPr>
          </w:p>
        </w:tc>
        <w:tc>
          <w:tcPr>
            <w:tcW w:w="769"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bottom"/>
          </w:tcPr>
          <w:p w14:paraId="0FA8FF12"/>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F2A7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5EE64">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6CDE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904214">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执行率</w:t>
            </w:r>
          </w:p>
        </w:tc>
      </w:tr>
      <w:tr w14:paraId="489B730A">
        <w:tblPrEx>
          <w:shd w:val="clear" w:color="auto" w:fill="auto"/>
          <w:tblCellMar>
            <w:top w:w="0" w:type="dxa"/>
            <w:left w:w="0" w:type="dxa"/>
            <w:bottom w:w="0" w:type="dxa"/>
            <w:right w:w="0" w:type="dxa"/>
          </w:tblCellMar>
        </w:tblPrEx>
        <w:trPr>
          <w:trHeight w:val="498" w:hRule="atLeast"/>
        </w:trPr>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3613E8">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18"/>
                <w:szCs w:val="18"/>
                <w:u w:val="none"/>
                <w:lang w:val="en-US" w:eastAsia="zh-CN" w:bidi="ar"/>
              </w:rPr>
              <w:t>（万元）</w:t>
            </w:r>
          </w:p>
        </w:tc>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19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2EE4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8070</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0B0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8070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6540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8070</w:t>
            </w:r>
          </w:p>
        </w:tc>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BDF1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100.00%</w:t>
            </w:r>
          </w:p>
        </w:tc>
      </w:tr>
      <w:tr w14:paraId="1C89273D">
        <w:tblPrEx>
          <w:shd w:val="clear" w:color="auto" w:fill="auto"/>
          <w:tblCellMar>
            <w:top w:w="0" w:type="dxa"/>
            <w:left w:w="0" w:type="dxa"/>
            <w:bottom w:w="0" w:type="dxa"/>
            <w:right w:w="0" w:type="dxa"/>
          </w:tblCellMar>
        </w:tblPrEx>
        <w:trPr>
          <w:trHeight w:val="458" w:hRule="atLeast"/>
        </w:trPr>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5224A">
            <w:pPr>
              <w:jc w:val="center"/>
              <w:rPr>
                <w:rFonts w:hint="eastAsia" w:ascii="宋体" w:hAnsi="宋体" w:eastAsia="宋体" w:cs="宋体"/>
                <w:i w:val="0"/>
                <w:color w:val="000000"/>
                <w:sz w:val="22"/>
                <w:szCs w:val="22"/>
                <w:u w:val="none"/>
              </w:rPr>
            </w:pPr>
          </w:p>
        </w:tc>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04F508">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B2EC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8070.00</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0BEA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8070.00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28E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8070.00</w:t>
            </w:r>
          </w:p>
        </w:tc>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3C101">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r>
      <w:tr w14:paraId="1A1FC1DD">
        <w:tblPrEx>
          <w:tblCellMar>
            <w:top w:w="0" w:type="dxa"/>
            <w:left w:w="0" w:type="dxa"/>
            <w:bottom w:w="0" w:type="dxa"/>
            <w:right w:w="0" w:type="dxa"/>
          </w:tblCellMar>
        </w:tblPrEx>
        <w:trPr>
          <w:trHeight w:val="337" w:hRule="atLeast"/>
        </w:trPr>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8EE70">
            <w:pPr>
              <w:jc w:val="center"/>
              <w:rPr>
                <w:rFonts w:hint="eastAsia" w:ascii="宋体" w:hAnsi="宋体" w:eastAsia="宋体" w:cs="宋体"/>
                <w:i w:val="0"/>
                <w:color w:val="000000"/>
                <w:sz w:val="22"/>
                <w:szCs w:val="22"/>
                <w:u w:val="none"/>
              </w:rPr>
            </w:pPr>
          </w:p>
        </w:tc>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5F7D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5B537">
            <w:pPr>
              <w:jc w:val="center"/>
              <w:rPr>
                <w:rFonts w:hint="eastAsia" w:ascii="宋体" w:hAnsi="宋体" w:eastAsia="宋体" w:cs="宋体"/>
                <w:i w:val="0"/>
                <w:color w:val="000000"/>
                <w:sz w:val="18"/>
                <w:szCs w:val="18"/>
                <w:u w:val="none"/>
              </w:rPr>
            </w:pP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54DD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D59A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B626F">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w:t>
            </w:r>
          </w:p>
        </w:tc>
      </w:tr>
      <w:tr w14:paraId="257586EE">
        <w:tblPrEx>
          <w:tblCellMar>
            <w:top w:w="0" w:type="dxa"/>
            <w:left w:w="0" w:type="dxa"/>
            <w:bottom w:w="0" w:type="dxa"/>
            <w:right w:w="0" w:type="dxa"/>
          </w:tblCellMar>
        </w:tblPrEx>
        <w:trPr>
          <w:trHeight w:val="458" w:hRule="atLeast"/>
        </w:trPr>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CCB2B">
            <w:pPr>
              <w:jc w:val="center"/>
              <w:rPr>
                <w:rFonts w:hint="eastAsia" w:ascii="宋体" w:hAnsi="宋体" w:eastAsia="宋体" w:cs="宋体"/>
                <w:i w:val="0"/>
                <w:color w:val="000000"/>
                <w:sz w:val="18"/>
                <w:szCs w:val="18"/>
                <w:u w:val="none"/>
              </w:rPr>
            </w:pPr>
          </w:p>
        </w:tc>
        <w:tc>
          <w:tcPr>
            <w:tcW w:w="153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700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1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913D8">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3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8D7F0">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0</w:t>
            </w:r>
          </w:p>
        </w:tc>
        <w:tc>
          <w:tcPr>
            <w:tcW w:w="16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5B885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277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F51F7">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14:paraId="01F487ED">
        <w:tblPrEx>
          <w:shd w:val="clear" w:color="auto" w:fill="auto"/>
          <w:tblCellMar>
            <w:top w:w="0" w:type="dxa"/>
            <w:left w:w="0" w:type="dxa"/>
            <w:bottom w:w="0" w:type="dxa"/>
            <w:right w:w="0" w:type="dxa"/>
          </w:tblCellMar>
        </w:tblPrEx>
        <w:trPr>
          <w:trHeight w:val="921" w:hRule="atLeast"/>
        </w:trPr>
        <w:tc>
          <w:tcPr>
            <w:tcW w:w="7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3519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85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E81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43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82AE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14:paraId="0263D1CD">
        <w:tblPrEx>
          <w:shd w:val="clear" w:color="auto" w:fill="auto"/>
          <w:tblCellMar>
            <w:top w:w="0" w:type="dxa"/>
            <w:left w:w="0" w:type="dxa"/>
            <w:bottom w:w="0" w:type="dxa"/>
            <w:right w:w="0" w:type="dxa"/>
          </w:tblCellMar>
        </w:tblPrEx>
        <w:trPr>
          <w:trHeight w:val="946"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FD007D">
            <w:pPr>
              <w:jc w:val="center"/>
              <w:rPr>
                <w:rFonts w:hint="eastAsia" w:ascii="宋体" w:hAnsi="宋体" w:eastAsia="宋体" w:cs="宋体"/>
                <w:i w:val="0"/>
                <w:color w:val="000000"/>
                <w:sz w:val="18"/>
                <w:szCs w:val="18"/>
                <w:u w:val="none"/>
              </w:rPr>
            </w:pPr>
          </w:p>
        </w:tc>
        <w:tc>
          <w:tcPr>
            <w:tcW w:w="485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628DC">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严格按照施工合同建设。</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新建传染病门诊住院楼项目建设面积为13000㎡，为五层框架结构，一层为：呼吸道门诊、消化道门诊、结核病门诊、艾滋病门诊、药房、门诊输液室、B超检查室、收费室；二层为：消化道病房、CT检查室、检验科；三、四、五层均为负压病房，每层还设有ICU监护室。</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附属设施有：医用电梯、螺旋CT、彩色多普勒B超、检验、消防工程设施、安防呼叫系统、信息化弱电工程、营养室、供电供水供暖系统、污水处理、医疗废物处理、通讯设施、洗衣服等。</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新建传染病综合楼及附属工程建设项目：建设面积为6600㎡，地上6层，地下1层，地下1层为设备用房及储藏室面积为1051㎡；一层为餐厅及办公室；二、三层为应对突发事件医疗人员保障服务用房；四层为行政人员及医务人员办公室、远程会议中心、信息化机房；五层应对突发事件办公室、应急指挥中心、120急救指挥数字化管理中心（不含120急救指挥设备）；六层为医疗专家办公室、会议中心及学术厅。</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附属设施：弱电工程、网络信息化建设、安保监控系统、电梯、供水供电供暖系统、不间断供电系统、办公设施、标准件附属设施等</w:t>
            </w:r>
          </w:p>
        </w:tc>
        <w:tc>
          <w:tcPr>
            <w:tcW w:w="4380"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156A4">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严格按照施工合同建设。</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1）新建传染病门诊住院楼项目建设面积为13000㎡，为五层框架结构，一层为：呼吸道门诊、消化道门诊、结核病门诊、艾滋病门诊、药房、门诊输液室、B超检查室、收费室；二层为：消化道病房、CT检查室、检验科；三、四、五层均为负压病房，每层还设有ICU监护室。</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附属设施有：医用电梯、螺旋CT、彩色多普勒B超、检验、消防工程设施、安防呼叫系统、信息化弱电工程、营养室、供电供水供暖系统、污水处理、医疗废物处理、通讯设施、洗衣服等。</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2）新建传染病综合楼及附属工程建设项目：建设面积为6600㎡，地上6层，地下1层，地下1层为设备用房及储藏室面积为1051㎡；一层为餐厅及办公室；二、三层为应对突发事件医疗人员保障服务用房；四层为行政人员及医务人员办公室、远程会议中心、信息化机房；五层应对突发事件办公室、应急指挥中心、120急救指挥数字化管理中心（不含120急救指挥设备）；六层为医疗专家办公室、会议中心及学术厅。</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附属设施：弱电工程、网络信息化建设、安保监控系统、电梯、供水供电供暖系统、不间断供电系统、办公设施、标准件附属设施等</w:t>
            </w:r>
          </w:p>
        </w:tc>
      </w:tr>
      <w:tr w14:paraId="0D84AD8A">
        <w:tblPrEx>
          <w:shd w:val="clear" w:color="auto" w:fill="auto"/>
          <w:tblCellMar>
            <w:top w:w="0" w:type="dxa"/>
            <w:left w:w="0" w:type="dxa"/>
            <w:bottom w:w="0" w:type="dxa"/>
            <w:right w:w="0" w:type="dxa"/>
          </w:tblCellMar>
        </w:tblPrEx>
        <w:trPr>
          <w:trHeight w:val="565" w:hRule="atLeast"/>
        </w:trPr>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28847">
            <w:pPr>
              <w:jc w:val="center"/>
              <w:rPr>
                <w:rFonts w:hint="eastAsia" w:ascii="宋体" w:hAnsi="宋体" w:eastAsia="宋体" w:cs="宋体"/>
                <w:i w:val="0"/>
                <w:color w:val="000000"/>
                <w:sz w:val="18"/>
                <w:szCs w:val="18"/>
                <w:u w:val="none"/>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9D779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D4C99">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230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0E4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6AC45">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20FAB">
            <w:pPr>
              <w:keepNext w:val="0"/>
              <w:keepLines w:val="0"/>
              <w:widowControl/>
              <w:suppressLineNumbers w:val="0"/>
              <w:jc w:val="center"/>
              <w:textAlignment w:val="center"/>
              <w:rPr>
                <w:rFonts w:hint="eastAsia" w:ascii="宋体" w:hAnsi="宋体" w:eastAsia="宋体" w:cs="宋体"/>
                <w:i w:val="0"/>
                <w:color w:val="000000"/>
                <w:sz w:val="18"/>
                <w:szCs w:val="18"/>
                <w:highlight w:val="yellow"/>
                <w:u w:val="none"/>
              </w:rPr>
            </w:pPr>
            <w:r>
              <w:rPr>
                <w:rFonts w:hint="eastAsia" w:ascii="宋体" w:hAnsi="宋体" w:eastAsia="宋体" w:cs="宋体"/>
                <w:i w:val="0"/>
                <w:color w:val="000000"/>
                <w:kern w:val="0"/>
                <w:sz w:val="18"/>
                <w:szCs w:val="18"/>
                <w:u w:val="none"/>
                <w:lang w:val="en-US" w:eastAsia="zh-CN" w:bidi="ar"/>
              </w:rPr>
              <w:t>实际完成值</w:t>
            </w:r>
          </w:p>
        </w:tc>
        <w:tc>
          <w:tcPr>
            <w:tcW w:w="1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21720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14:paraId="5A98887B">
        <w:tblPrEx>
          <w:tblCellMar>
            <w:top w:w="0" w:type="dxa"/>
            <w:left w:w="0" w:type="dxa"/>
            <w:bottom w:w="0" w:type="dxa"/>
            <w:right w:w="0" w:type="dxa"/>
          </w:tblCellMar>
        </w:tblPrEx>
        <w:trPr>
          <w:trHeight w:val="565" w:hRule="atLeast"/>
        </w:trPr>
        <w:tc>
          <w:tcPr>
            <w:tcW w:w="7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82CB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7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2645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4BCED">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230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241477">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增加就医面积</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30AB1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=13000平方米</w:t>
            </w: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BD6AA">
            <w:pPr>
              <w:keepNext w:val="0"/>
              <w:keepLines w:val="0"/>
              <w:widowControl/>
              <w:suppressLineNumbers w:val="0"/>
              <w:jc w:val="center"/>
              <w:textAlignment w:val="center"/>
              <w:rPr>
                <w:rFonts w:hint="eastAsia" w:ascii="宋体" w:hAnsi="宋体" w:eastAsia="宋体" w:cs="宋体"/>
                <w:i w:val="0"/>
                <w:color w:val="000000"/>
                <w:sz w:val="18"/>
                <w:szCs w:val="18"/>
                <w:highlight w:val="yellow"/>
                <w:u w:val="none"/>
              </w:rPr>
            </w:pPr>
            <w:r>
              <w:rPr>
                <w:rFonts w:hint="eastAsia" w:ascii="宋体" w:hAnsi="宋体" w:eastAsia="宋体" w:cs="宋体"/>
                <w:i w:val="0"/>
                <w:color w:val="000000"/>
                <w:kern w:val="0"/>
                <w:sz w:val="18"/>
                <w:szCs w:val="18"/>
                <w:u w:val="none"/>
                <w:lang w:val="en-US" w:eastAsia="zh-CN" w:bidi="ar"/>
              </w:rPr>
              <w:t>13000平米</w:t>
            </w:r>
          </w:p>
        </w:tc>
        <w:tc>
          <w:tcPr>
            <w:tcW w:w="1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0D010">
            <w:pPr>
              <w:jc w:val="center"/>
              <w:rPr>
                <w:rFonts w:hint="eastAsia" w:ascii="宋体" w:hAnsi="宋体" w:eastAsia="宋体" w:cs="宋体"/>
                <w:i w:val="0"/>
                <w:color w:val="000000"/>
                <w:sz w:val="18"/>
                <w:szCs w:val="18"/>
                <w:u w:val="none"/>
              </w:rPr>
            </w:pPr>
          </w:p>
        </w:tc>
      </w:tr>
      <w:tr w14:paraId="468EA634">
        <w:tblPrEx>
          <w:shd w:val="clear" w:color="auto" w:fill="auto"/>
          <w:tblCellMar>
            <w:top w:w="0" w:type="dxa"/>
            <w:left w:w="0" w:type="dxa"/>
            <w:bottom w:w="0" w:type="dxa"/>
            <w:right w:w="0" w:type="dxa"/>
          </w:tblCellMar>
        </w:tblPrEx>
        <w:trPr>
          <w:trHeight w:val="649"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4FF8F">
            <w:pPr>
              <w:jc w:val="center"/>
              <w:rPr>
                <w:rFonts w:hint="eastAsia" w:ascii="宋体" w:hAnsi="宋体" w:eastAsia="宋体" w:cs="宋体"/>
                <w:i w:val="0"/>
                <w:color w:val="000000"/>
                <w:sz w:val="18"/>
                <w:szCs w:val="18"/>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C7C0FD">
            <w:pPr>
              <w:jc w:val="center"/>
              <w:rPr>
                <w:rFonts w:hint="eastAsia" w:ascii="宋体" w:hAnsi="宋体" w:eastAsia="宋体" w:cs="宋体"/>
                <w:i w:val="0"/>
                <w:color w:val="000000"/>
                <w:sz w:val="18"/>
                <w:szCs w:val="18"/>
                <w:u w:val="none"/>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40A7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230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7374F">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前期工程量完成率</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F635E">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A1F617">
            <w:pPr>
              <w:keepNext w:val="0"/>
              <w:keepLines w:val="0"/>
              <w:widowControl/>
              <w:suppressLineNumbers w:val="0"/>
              <w:jc w:val="center"/>
              <w:textAlignment w:val="center"/>
              <w:rPr>
                <w:rFonts w:hint="eastAsia" w:ascii="宋体" w:hAnsi="宋体" w:eastAsia="宋体" w:cs="宋体"/>
                <w:i w:val="0"/>
                <w:color w:val="000000"/>
                <w:sz w:val="18"/>
                <w:szCs w:val="18"/>
                <w:highlight w:val="yellow"/>
                <w:u w:val="none"/>
              </w:rPr>
            </w:pPr>
            <w:r>
              <w:rPr>
                <w:rFonts w:hint="eastAsia" w:ascii="宋体" w:hAnsi="宋体" w:eastAsia="宋体" w:cs="宋体"/>
                <w:i w:val="0"/>
                <w:color w:val="000000"/>
                <w:kern w:val="0"/>
                <w:sz w:val="18"/>
                <w:szCs w:val="18"/>
                <w:u w:val="none"/>
                <w:lang w:val="en-US" w:eastAsia="zh-CN" w:bidi="ar"/>
              </w:rPr>
              <w:t>100%</w:t>
            </w:r>
          </w:p>
        </w:tc>
        <w:tc>
          <w:tcPr>
            <w:tcW w:w="1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E76A1">
            <w:pPr>
              <w:jc w:val="center"/>
              <w:rPr>
                <w:rFonts w:hint="eastAsia" w:ascii="宋体" w:hAnsi="宋体" w:eastAsia="宋体" w:cs="宋体"/>
                <w:i w:val="0"/>
                <w:color w:val="000000"/>
                <w:sz w:val="18"/>
                <w:szCs w:val="18"/>
                <w:u w:val="none"/>
              </w:rPr>
            </w:pPr>
          </w:p>
        </w:tc>
      </w:tr>
      <w:tr w14:paraId="08264CAF">
        <w:tblPrEx>
          <w:shd w:val="clear" w:color="auto" w:fill="auto"/>
          <w:tblCellMar>
            <w:top w:w="0" w:type="dxa"/>
            <w:left w:w="0" w:type="dxa"/>
            <w:bottom w:w="0" w:type="dxa"/>
            <w:right w:w="0" w:type="dxa"/>
          </w:tblCellMar>
        </w:tblPrEx>
        <w:trPr>
          <w:trHeight w:val="565"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AA07">
            <w:pPr>
              <w:jc w:val="center"/>
              <w:rPr>
                <w:rFonts w:hint="eastAsia" w:ascii="宋体" w:hAnsi="宋体" w:eastAsia="宋体" w:cs="宋体"/>
                <w:i w:val="0"/>
                <w:color w:val="000000"/>
                <w:sz w:val="18"/>
                <w:szCs w:val="18"/>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EABBD">
            <w:pPr>
              <w:jc w:val="center"/>
              <w:rPr>
                <w:rFonts w:hint="eastAsia" w:ascii="宋体" w:hAnsi="宋体" w:eastAsia="宋体" w:cs="宋体"/>
                <w:i w:val="0"/>
                <w:color w:val="000000"/>
                <w:sz w:val="18"/>
                <w:szCs w:val="18"/>
                <w:u w:val="none"/>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7E86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230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412F1">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项目期</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3E9F6">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≥2020.7月&amp;&amp;≤2021.12月</w:t>
            </w: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827F3">
            <w:pPr>
              <w:keepNext w:val="0"/>
              <w:keepLines w:val="0"/>
              <w:widowControl/>
              <w:suppressLineNumbers w:val="0"/>
              <w:jc w:val="center"/>
              <w:textAlignment w:val="center"/>
              <w:rPr>
                <w:rFonts w:hint="eastAsia" w:ascii="宋体" w:hAnsi="宋体" w:eastAsia="宋体" w:cs="宋体"/>
                <w:i w:val="0"/>
                <w:color w:val="000000"/>
                <w:sz w:val="18"/>
                <w:szCs w:val="18"/>
                <w:highlight w:val="yellow"/>
                <w:u w:val="none"/>
              </w:rPr>
            </w:pPr>
            <w:r>
              <w:rPr>
                <w:rFonts w:hint="eastAsia" w:ascii="宋体" w:hAnsi="宋体" w:eastAsia="宋体" w:cs="宋体"/>
                <w:i w:val="0"/>
                <w:color w:val="000000"/>
                <w:kern w:val="0"/>
                <w:sz w:val="18"/>
                <w:szCs w:val="18"/>
                <w:u w:val="none"/>
                <w:lang w:val="en-US" w:eastAsia="zh-CN" w:bidi="ar"/>
              </w:rPr>
              <w:t>2020年12月</w:t>
            </w:r>
          </w:p>
        </w:tc>
        <w:tc>
          <w:tcPr>
            <w:tcW w:w="1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41B60">
            <w:pPr>
              <w:jc w:val="center"/>
              <w:rPr>
                <w:rFonts w:hint="eastAsia" w:ascii="宋体" w:hAnsi="宋体" w:eastAsia="宋体" w:cs="宋体"/>
                <w:i w:val="0"/>
                <w:color w:val="000000"/>
                <w:sz w:val="18"/>
                <w:szCs w:val="18"/>
                <w:u w:val="none"/>
              </w:rPr>
            </w:pPr>
          </w:p>
        </w:tc>
      </w:tr>
      <w:tr w14:paraId="58559F66">
        <w:tblPrEx>
          <w:shd w:val="clear" w:color="auto" w:fill="auto"/>
          <w:tblCellMar>
            <w:top w:w="0" w:type="dxa"/>
            <w:left w:w="0" w:type="dxa"/>
            <w:bottom w:w="0" w:type="dxa"/>
            <w:right w:w="0" w:type="dxa"/>
          </w:tblCellMar>
        </w:tblPrEx>
        <w:trPr>
          <w:trHeight w:val="649"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212AD8">
            <w:pPr>
              <w:jc w:val="center"/>
              <w:rPr>
                <w:rFonts w:hint="eastAsia" w:ascii="宋体" w:hAnsi="宋体" w:eastAsia="宋体" w:cs="宋体"/>
                <w:i w:val="0"/>
                <w:color w:val="000000"/>
                <w:sz w:val="18"/>
                <w:szCs w:val="18"/>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1F1BD">
            <w:pPr>
              <w:jc w:val="center"/>
              <w:rPr>
                <w:rFonts w:hint="eastAsia" w:ascii="宋体" w:hAnsi="宋体" w:eastAsia="宋体" w:cs="宋体"/>
                <w:i w:val="0"/>
                <w:color w:val="000000"/>
                <w:sz w:val="18"/>
                <w:szCs w:val="18"/>
                <w:u w:val="none"/>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AEFF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230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710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成本控制</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0B8D2">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≤8070万元</w:t>
            </w: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33A6E">
            <w:pPr>
              <w:keepNext w:val="0"/>
              <w:keepLines w:val="0"/>
              <w:widowControl/>
              <w:suppressLineNumbers w:val="0"/>
              <w:jc w:val="center"/>
              <w:textAlignment w:val="center"/>
              <w:rPr>
                <w:rFonts w:hint="eastAsia" w:ascii="宋体" w:hAnsi="宋体" w:eastAsia="宋体" w:cs="宋体"/>
                <w:i w:val="0"/>
                <w:color w:val="000000"/>
                <w:sz w:val="18"/>
                <w:szCs w:val="18"/>
                <w:highlight w:val="yellow"/>
                <w:u w:val="none"/>
              </w:rPr>
            </w:pPr>
            <w:r>
              <w:rPr>
                <w:rFonts w:hint="eastAsia" w:ascii="宋体" w:hAnsi="宋体" w:eastAsia="宋体" w:cs="宋体"/>
                <w:i w:val="0"/>
                <w:color w:val="000000"/>
                <w:kern w:val="0"/>
                <w:sz w:val="18"/>
                <w:szCs w:val="18"/>
                <w:u w:val="none"/>
                <w:lang w:val="en-US" w:eastAsia="zh-CN" w:bidi="ar"/>
              </w:rPr>
              <w:t>8070万元</w:t>
            </w:r>
          </w:p>
        </w:tc>
        <w:tc>
          <w:tcPr>
            <w:tcW w:w="1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389A5">
            <w:pPr>
              <w:jc w:val="center"/>
              <w:rPr>
                <w:rFonts w:hint="eastAsia" w:ascii="宋体" w:hAnsi="宋体" w:eastAsia="宋体" w:cs="宋体"/>
                <w:i w:val="0"/>
                <w:color w:val="000000"/>
                <w:sz w:val="18"/>
                <w:szCs w:val="18"/>
                <w:u w:val="none"/>
              </w:rPr>
            </w:pPr>
          </w:p>
        </w:tc>
      </w:tr>
      <w:tr w14:paraId="532D20E6">
        <w:tblPrEx>
          <w:tblCellMar>
            <w:top w:w="0" w:type="dxa"/>
            <w:left w:w="0" w:type="dxa"/>
            <w:bottom w:w="0" w:type="dxa"/>
            <w:right w:w="0" w:type="dxa"/>
          </w:tblCellMar>
        </w:tblPrEx>
        <w:trPr>
          <w:trHeight w:val="649"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0A1E9">
            <w:pPr>
              <w:jc w:val="center"/>
              <w:rPr>
                <w:rFonts w:hint="eastAsia" w:ascii="宋体" w:hAnsi="宋体" w:eastAsia="宋体" w:cs="宋体"/>
                <w:i w:val="0"/>
                <w:color w:val="000000"/>
                <w:sz w:val="18"/>
                <w:szCs w:val="18"/>
                <w:u w:val="none"/>
              </w:rPr>
            </w:pPr>
          </w:p>
        </w:tc>
        <w:tc>
          <w:tcPr>
            <w:tcW w:w="76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D0AB7">
            <w:pPr>
              <w:jc w:val="center"/>
              <w:rPr>
                <w:rFonts w:hint="eastAsia" w:ascii="宋体" w:hAnsi="宋体" w:eastAsia="宋体" w:cs="宋体"/>
                <w:i w:val="0"/>
                <w:color w:val="000000"/>
                <w:sz w:val="18"/>
                <w:szCs w:val="18"/>
                <w:u w:val="none"/>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0396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230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956CB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传染病防治能力</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6E34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有所提升</w:t>
            </w: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FD078">
            <w:pPr>
              <w:keepNext w:val="0"/>
              <w:keepLines w:val="0"/>
              <w:widowControl/>
              <w:suppressLineNumbers w:val="0"/>
              <w:jc w:val="center"/>
              <w:textAlignment w:val="center"/>
              <w:rPr>
                <w:rFonts w:hint="eastAsia" w:ascii="宋体" w:hAnsi="宋体" w:eastAsia="宋体" w:cs="宋体"/>
                <w:i w:val="0"/>
                <w:color w:val="000000"/>
                <w:sz w:val="18"/>
                <w:szCs w:val="18"/>
                <w:highlight w:val="yellow"/>
                <w:u w:val="none"/>
              </w:rPr>
            </w:pPr>
            <w:r>
              <w:rPr>
                <w:rFonts w:hint="eastAsia" w:ascii="宋体" w:hAnsi="宋体" w:eastAsia="宋体" w:cs="宋体"/>
                <w:i w:val="0"/>
                <w:color w:val="000000"/>
                <w:kern w:val="0"/>
                <w:sz w:val="18"/>
                <w:szCs w:val="18"/>
                <w:u w:val="none"/>
                <w:lang w:val="en-US" w:eastAsia="zh-CN" w:bidi="ar"/>
              </w:rPr>
              <w:t>有所提升</w:t>
            </w:r>
          </w:p>
        </w:tc>
        <w:tc>
          <w:tcPr>
            <w:tcW w:w="1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5EDE4">
            <w:pPr>
              <w:jc w:val="center"/>
              <w:rPr>
                <w:rFonts w:hint="eastAsia" w:ascii="宋体" w:hAnsi="宋体" w:eastAsia="宋体" w:cs="宋体"/>
                <w:i w:val="0"/>
                <w:color w:val="000000"/>
                <w:sz w:val="18"/>
                <w:szCs w:val="18"/>
                <w:u w:val="none"/>
              </w:rPr>
            </w:pPr>
          </w:p>
        </w:tc>
      </w:tr>
      <w:tr w14:paraId="79DC031C">
        <w:tblPrEx>
          <w:shd w:val="clear" w:color="auto" w:fill="auto"/>
          <w:tblCellMar>
            <w:top w:w="0" w:type="dxa"/>
            <w:left w:w="0" w:type="dxa"/>
            <w:bottom w:w="0" w:type="dxa"/>
            <w:right w:w="0" w:type="dxa"/>
          </w:tblCellMar>
        </w:tblPrEx>
        <w:trPr>
          <w:trHeight w:val="960" w:hRule="atLeast"/>
        </w:trPr>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68DA3">
            <w:pPr>
              <w:jc w:val="center"/>
              <w:rPr>
                <w:rFonts w:hint="eastAsia" w:ascii="宋体" w:hAnsi="宋体" w:eastAsia="宋体" w:cs="宋体"/>
                <w:i w:val="0"/>
                <w:color w:val="000000"/>
                <w:sz w:val="18"/>
                <w:szCs w:val="18"/>
                <w:u w:val="none"/>
              </w:rPr>
            </w:pPr>
          </w:p>
        </w:tc>
        <w:tc>
          <w:tcPr>
            <w:tcW w:w="7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E5790">
            <w:pPr>
              <w:jc w:val="center"/>
              <w:rPr>
                <w:rFonts w:hint="eastAsia" w:ascii="宋体" w:hAnsi="宋体" w:eastAsia="宋体" w:cs="宋体"/>
                <w:i w:val="0"/>
                <w:color w:val="000000"/>
                <w:sz w:val="18"/>
                <w:szCs w:val="18"/>
                <w:u w:val="none"/>
              </w:rPr>
            </w:pPr>
          </w:p>
        </w:tc>
        <w:tc>
          <w:tcPr>
            <w:tcW w:w="76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7AD9B">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2307"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5E2F03">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建筑耐久年限</w:t>
            </w:r>
          </w:p>
        </w:tc>
        <w:tc>
          <w:tcPr>
            <w:tcW w:w="10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B53F8A">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≥50年</w:t>
            </w:r>
          </w:p>
        </w:tc>
        <w:tc>
          <w:tcPr>
            <w:tcW w:w="256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B1F71">
            <w:pPr>
              <w:keepNext w:val="0"/>
              <w:keepLines w:val="0"/>
              <w:widowControl/>
              <w:suppressLineNumbers w:val="0"/>
              <w:jc w:val="center"/>
              <w:textAlignment w:val="center"/>
              <w:rPr>
                <w:rFonts w:hint="eastAsia" w:ascii="宋体" w:hAnsi="宋体" w:eastAsia="宋体" w:cs="宋体"/>
                <w:i w:val="0"/>
                <w:color w:val="000000"/>
                <w:sz w:val="18"/>
                <w:szCs w:val="18"/>
                <w:highlight w:val="yellow"/>
                <w:u w:val="none"/>
              </w:rPr>
            </w:pPr>
            <w:r>
              <w:rPr>
                <w:rFonts w:hint="eastAsia" w:ascii="宋体" w:hAnsi="宋体" w:eastAsia="宋体" w:cs="宋体"/>
                <w:i w:val="0"/>
                <w:color w:val="000000"/>
                <w:kern w:val="0"/>
                <w:sz w:val="18"/>
                <w:szCs w:val="18"/>
                <w:u w:val="none"/>
                <w:lang w:val="en-US" w:eastAsia="zh-CN" w:bidi="ar"/>
              </w:rPr>
              <w:t>50年</w:t>
            </w:r>
          </w:p>
        </w:tc>
        <w:tc>
          <w:tcPr>
            <w:tcW w:w="18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FE818">
            <w:pPr>
              <w:jc w:val="center"/>
              <w:rPr>
                <w:rFonts w:hint="eastAsia" w:ascii="宋体" w:hAnsi="宋体" w:eastAsia="宋体" w:cs="宋体"/>
                <w:i w:val="0"/>
                <w:color w:val="000000"/>
                <w:sz w:val="18"/>
                <w:szCs w:val="18"/>
                <w:u w:val="none"/>
              </w:rPr>
            </w:pPr>
          </w:p>
        </w:tc>
      </w:tr>
    </w:tbl>
    <w:p w14:paraId="64C5E9AC">
      <w:pPr>
        <w:pStyle w:val="2"/>
        <w:jc w:val="both"/>
        <w:rPr>
          <w:rFonts w:hint="eastAsia"/>
        </w:rPr>
        <w:sectPr>
          <w:pgSz w:w="11906" w:h="16838"/>
          <w:pgMar w:top="1440" w:right="1558" w:bottom="1440" w:left="1800" w:header="851" w:footer="992" w:gutter="0"/>
          <w:cols w:space="425" w:num="1"/>
          <w:docGrid w:type="lines" w:linePitch="312" w:charSpace="0"/>
        </w:sectPr>
      </w:pPr>
    </w:p>
    <w:p w14:paraId="71E75799">
      <w:pPr>
        <w:spacing w:line="600" w:lineRule="exact"/>
        <w:rPr>
          <w:rFonts w:hint="eastAsia" w:ascii="仿宋_GB2312"/>
          <w:bCs/>
          <w:color w:val="auto"/>
          <w:sz w:val="32"/>
          <w:szCs w:val="32"/>
          <w:highlight w:val="none"/>
          <w:lang w:val="en-US" w:eastAsia="zh-CN"/>
        </w:rPr>
      </w:pPr>
      <w:r>
        <w:rPr>
          <w:rFonts w:hint="eastAsia" w:ascii="仿宋_GB2312"/>
          <w:bCs/>
          <w:color w:val="auto"/>
          <w:sz w:val="32"/>
          <w:szCs w:val="32"/>
          <w:highlight w:val="none"/>
          <w:lang w:val="en-US" w:eastAsia="zh-CN"/>
        </w:rPr>
        <w:t>附件1</w:t>
      </w:r>
    </w:p>
    <w:tbl>
      <w:tblPr>
        <w:tblStyle w:val="19"/>
        <w:tblW w:w="1417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3"/>
        <w:gridCol w:w="758"/>
        <w:gridCol w:w="1035"/>
        <w:gridCol w:w="3993"/>
        <w:gridCol w:w="6042"/>
        <w:gridCol w:w="1093"/>
        <w:gridCol w:w="740"/>
      </w:tblGrid>
      <w:tr w14:paraId="57C6CF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3" w:type="dxa"/>
            <w:shd w:val="clear" w:color="auto" w:fill="FFFFFF"/>
            <w:vAlign w:val="center"/>
          </w:tcPr>
          <w:p w14:paraId="1C483023">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758" w:type="dxa"/>
            <w:shd w:val="clear" w:color="auto" w:fill="FFFFFF"/>
            <w:vAlign w:val="center"/>
          </w:tcPr>
          <w:p w14:paraId="1616F75B">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035" w:type="dxa"/>
            <w:shd w:val="clear" w:color="auto" w:fill="FFFFFF"/>
            <w:vAlign w:val="center"/>
          </w:tcPr>
          <w:p w14:paraId="5E07C669">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3993" w:type="dxa"/>
            <w:shd w:val="clear" w:color="auto" w:fill="FFFFFF"/>
            <w:vAlign w:val="center"/>
          </w:tcPr>
          <w:p w14:paraId="0439015E">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指标解释</w:t>
            </w:r>
          </w:p>
        </w:tc>
        <w:tc>
          <w:tcPr>
            <w:tcW w:w="6042" w:type="dxa"/>
            <w:shd w:val="clear" w:color="auto" w:fill="FFFFFF"/>
            <w:vAlign w:val="center"/>
          </w:tcPr>
          <w:p w14:paraId="5E43BE10">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指标说明</w:t>
            </w:r>
          </w:p>
        </w:tc>
        <w:tc>
          <w:tcPr>
            <w:tcW w:w="1093" w:type="dxa"/>
            <w:shd w:val="clear" w:color="auto" w:fill="FFFFFF"/>
            <w:vAlign w:val="center"/>
          </w:tcPr>
          <w:p w14:paraId="64530A71">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740" w:type="dxa"/>
            <w:shd w:val="clear" w:color="auto" w:fill="FFFFFF"/>
            <w:vAlign w:val="center"/>
          </w:tcPr>
          <w:p w14:paraId="03AA6D4C">
            <w:pPr>
              <w:widowControl/>
              <w:spacing w:line="0" w:lineRule="atLeast"/>
              <w:jc w:val="center"/>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14:paraId="5ABED2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513" w:type="dxa"/>
            <w:vMerge w:val="restart"/>
            <w:shd w:val="clear" w:color="auto" w:fill="FFFFFF"/>
            <w:vAlign w:val="center"/>
          </w:tcPr>
          <w:p w14:paraId="7F3F097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p w14:paraId="13EAA1B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14:paraId="7585C52F">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758" w:type="dxa"/>
            <w:vMerge w:val="restart"/>
            <w:shd w:val="clear" w:color="auto" w:fill="FFFFFF"/>
            <w:vAlign w:val="center"/>
          </w:tcPr>
          <w:p w14:paraId="34DAB93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035" w:type="dxa"/>
            <w:shd w:val="clear" w:color="auto" w:fill="FFFFFF"/>
            <w:vAlign w:val="center"/>
          </w:tcPr>
          <w:p w14:paraId="451AECD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立项依据</w:t>
            </w:r>
          </w:p>
          <w:p w14:paraId="2C80B3A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3993" w:type="dxa"/>
            <w:shd w:val="clear" w:color="auto" w:fill="FFFFFF"/>
            <w:vAlign w:val="center"/>
          </w:tcPr>
          <w:p w14:paraId="1339C34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项目立项是否符合法律法规、相关政策、发展规划以及部门职责，用以反映和考核项目立项依据情况。</w:t>
            </w:r>
          </w:p>
        </w:tc>
        <w:tc>
          <w:tcPr>
            <w:tcW w:w="6042" w:type="dxa"/>
            <w:shd w:val="clear" w:color="auto" w:fill="FFFFFF"/>
            <w:vAlign w:val="center"/>
          </w:tcPr>
          <w:p w14:paraId="2C4AC8C2">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①项目立项是否符合国家法律法规、国民经济发展规划和相关政策；</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②项目立项是否符合行业发展规划和政策要求；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③项目立项是否与部门职责范围相符，属于部门履职所需；</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④项目是否属于公共财政支持范围，是否符合中央、地方事权支出责任划分原则；</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⑤项目是否与相关部门同类项目或部门内部相关项目重复。</w:t>
            </w:r>
          </w:p>
        </w:tc>
        <w:tc>
          <w:tcPr>
            <w:tcW w:w="1093" w:type="dxa"/>
            <w:shd w:val="clear" w:color="auto" w:fill="FFFFFF"/>
            <w:vAlign w:val="center"/>
          </w:tcPr>
          <w:p w14:paraId="73A9AC85">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740" w:type="dxa"/>
            <w:shd w:val="clear" w:color="auto" w:fill="FFFFFF"/>
            <w:vAlign w:val="center"/>
          </w:tcPr>
          <w:p w14:paraId="5E02420E">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14:paraId="1F58A4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3" w:type="dxa"/>
            <w:vMerge w:val="continue"/>
            <w:shd w:val="clear" w:color="auto" w:fill="FFFFFF"/>
            <w:vAlign w:val="center"/>
          </w:tcPr>
          <w:p w14:paraId="40B2083F">
            <w:pPr>
              <w:spacing w:line="0" w:lineRule="atLeast"/>
              <w:jc w:val="center"/>
              <w:rPr>
                <w:rFonts w:ascii="宋体" w:hAnsi="宋体" w:cs="宋体"/>
                <w:color w:val="000000"/>
                <w:kern w:val="0"/>
                <w:sz w:val="22"/>
                <w:szCs w:val="22"/>
              </w:rPr>
            </w:pPr>
          </w:p>
        </w:tc>
        <w:tc>
          <w:tcPr>
            <w:tcW w:w="758" w:type="dxa"/>
            <w:vMerge w:val="continue"/>
            <w:shd w:val="clear" w:color="auto" w:fill="FFFFFF"/>
            <w:vAlign w:val="center"/>
          </w:tcPr>
          <w:p w14:paraId="3735C9A1">
            <w:pPr>
              <w:widowControl/>
              <w:spacing w:line="0" w:lineRule="atLeast"/>
              <w:jc w:val="center"/>
              <w:rPr>
                <w:rFonts w:ascii="宋体" w:hAnsi="宋体" w:cs="宋体"/>
                <w:color w:val="000000"/>
                <w:kern w:val="0"/>
                <w:sz w:val="22"/>
                <w:szCs w:val="22"/>
              </w:rPr>
            </w:pPr>
          </w:p>
        </w:tc>
        <w:tc>
          <w:tcPr>
            <w:tcW w:w="1035" w:type="dxa"/>
            <w:shd w:val="clear" w:color="auto" w:fill="FFFFFF"/>
            <w:vAlign w:val="center"/>
          </w:tcPr>
          <w:p w14:paraId="277CFAF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立项程序</w:t>
            </w:r>
          </w:p>
          <w:p w14:paraId="31E0E73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3993" w:type="dxa"/>
            <w:shd w:val="clear" w:color="auto" w:fill="FFFFFF"/>
            <w:vAlign w:val="center"/>
          </w:tcPr>
          <w:p w14:paraId="197F73B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项目申请、设立过程是否符合相关要求，用以反映和考核项目立项的规范情况。</w:t>
            </w:r>
          </w:p>
        </w:tc>
        <w:tc>
          <w:tcPr>
            <w:tcW w:w="6042" w:type="dxa"/>
            <w:shd w:val="clear" w:color="auto" w:fill="FFFFFF"/>
            <w:vAlign w:val="center"/>
          </w:tcPr>
          <w:p w14:paraId="28C74877">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①项目是否按照规定的程序申请设立；</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②审批文件、材料是否符合相关要求；</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③事前是否已经过必要的可行性研究、专家论证、风险评估、绩效评估、集体决策。</w:t>
            </w:r>
          </w:p>
        </w:tc>
        <w:tc>
          <w:tcPr>
            <w:tcW w:w="1093" w:type="dxa"/>
            <w:shd w:val="clear" w:color="auto" w:fill="FFFFFF"/>
            <w:vAlign w:val="center"/>
          </w:tcPr>
          <w:p w14:paraId="415617CA">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c>
          <w:tcPr>
            <w:tcW w:w="740" w:type="dxa"/>
            <w:shd w:val="clear" w:color="auto" w:fill="FFFFFF"/>
            <w:vAlign w:val="center"/>
          </w:tcPr>
          <w:p w14:paraId="46EDCD21">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0.5</w:t>
            </w:r>
          </w:p>
        </w:tc>
      </w:tr>
      <w:tr w14:paraId="3F2010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3" w:type="dxa"/>
            <w:vMerge w:val="continue"/>
            <w:shd w:val="clear" w:color="auto" w:fill="FFFFFF"/>
            <w:vAlign w:val="center"/>
          </w:tcPr>
          <w:p w14:paraId="67FC1C61">
            <w:pPr>
              <w:spacing w:line="0" w:lineRule="atLeast"/>
              <w:jc w:val="center"/>
              <w:rPr>
                <w:rFonts w:ascii="宋体" w:hAnsi="宋体" w:cs="宋体"/>
                <w:color w:val="000000"/>
                <w:kern w:val="0"/>
                <w:sz w:val="22"/>
                <w:szCs w:val="22"/>
              </w:rPr>
            </w:pPr>
          </w:p>
        </w:tc>
        <w:tc>
          <w:tcPr>
            <w:tcW w:w="758" w:type="dxa"/>
            <w:shd w:val="clear" w:color="auto" w:fill="FFFFFF"/>
            <w:vAlign w:val="center"/>
          </w:tcPr>
          <w:p w14:paraId="37BA13E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035" w:type="dxa"/>
            <w:shd w:val="clear" w:color="auto" w:fill="FFFFFF"/>
            <w:vAlign w:val="center"/>
          </w:tcPr>
          <w:p w14:paraId="08A9CF1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p w14:paraId="127272D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3993" w:type="dxa"/>
            <w:shd w:val="clear" w:color="000000" w:fill="FFFFFF"/>
            <w:vAlign w:val="center"/>
          </w:tcPr>
          <w:p w14:paraId="3E5C3EAE">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项目所设定的绩效目标是否依据充分，是否符合客观实际，用以反映和考核项目绩效目标与项目实施的相符情况。</w:t>
            </w:r>
          </w:p>
        </w:tc>
        <w:tc>
          <w:tcPr>
            <w:tcW w:w="6042" w:type="dxa"/>
            <w:shd w:val="clear" w:color="000000" w:fill="FFFFFF"/>
            <w:vAlign w:val="center"/>
          </w:tcPr>
          <w:p w14:paraId="7F74D1C1">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（如未设定预算绩效目标，也可考核其他工作任务目标）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①项目是否有绩效目标；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②项目绩效目标与实际工作内容是否具有相关性；</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③项目预期产出效益和效果是否符合正常的业绩水平；</w:t>
            </w:r>
          </w:p>
          <w:p w14:paraId="4E898E32">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④是否与预算确定的项目投资额或资金量相匹配。</w:t>
            </w:r>
          </w:p>
        </w:tc>
        <w:tc>
          <w:tcPr>
            <w:tcW w:w="1093" w:type="dxa"/>
            <w:shd w:val="clear" w:color="000000" w:fill="FFFFFF"/>
            <w:vAlign w:val="center"/>
          </w:tcPr>
          <w:p w14:paraId="3C25A123">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000000" w:fill="FFFFFF"/>
            <w:vAlign w:val="center"/>
          </w:tcPr>
          <w:p w14:paraId="1CBFC180">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1</w:t>
            </w:r>
          </w:p>
        </w:tc>
      </w:tr>
      <w:tr w14:paraId="158EF4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513" w:type="dxa"/>
            <w:vMerge w:val="restart"/>
            <w:shd w:val="clear" w:color="auto" w:fill="FFFFFF"/>
            <w:vAlign w:val="center"/>
          </w:tcPr>
          <w:p w14:paraId="21B8CD3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决策　</w:t>
            </w:r>
          </w:p>
        </w:tc>
        <w:tc>
          <w:tcPr>
            <w:tcW w:w="758" w:type="dxa"/>
            <w:shd w:val="clear" w:color="auto" w:fill="FFFFFF"/>
            <w:vAlign w:val="center"/>
          </w:tcPr>
          <w:p w14:paraId="31975B5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绩效目标</w:t>
            </w:r>
          </w:p>
        </w:tc>
        <w:tc>
          <w:tcPr>
            <w:tcW w:w="1035" w:type="dxa"/>
            <w:shd w:val="clear" w:color="auto" w:fill="FFFFFF"/>
            <w:vAlign w:val="center"/>
          </w:tcPr>
          <w:p w14:paraId="653A183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绩效指标</w:t>
            </w:r>
          </w:p>
          <w:p w14:paraId="0D61C96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3993" w:type="dxa"/>
            <w:shd w:val="clear" w:color="000000" w:fill="FFFFFF"/>
            <w:vAlign w:val="center"/>
          </w:tcPr>
          <w:p w14:paraId="19E94098">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依据绩效目标设定的绩效指标是否清晰、细化、可衡量等，用以反映和考核项目绩效目标的明细化情况。</w:t>
            </w:r>
          </w:p>
        </w:tc>
        <w:tc>
          <w:tcPr>
            <w:tcW w:w="6042" w:type="dxa"/>
            <w:shd w:val="clear" w:color="000000" w:fill="FFFFFF"/>
            <w:vAlign w:val="center"/>
          </w:tcPr>
          <w:p w14:paraId="051C1B8D">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①是否将项目绩效目标细化分解为具体的绩效指标；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②是否通过清晰、可衡量的指标值予以体现；</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③是否与项目目标任务数或计划数相对应。</w:t>
            </w:r>
            <w:r>
              <w:rPr>
                <w:rFonts w:hint="eastAsia" w:ascii="宋体" w:hAnsi="宋体" w:cs="宋体"/>
                <w:color w:val="000000"/>
                <w:kern w:val="0"/>
                <w:sz w:val="22"/>
                <w:szCs w:val="22"/>
              </w:rPr>
              <w:br w:type="textWrapping"/>
            </w:r>
          </w:p>
        </w:tc>
        <w:tc>
          <w:tcPr>
            <w:tcW w:w="1093" w:type="dxa"/>
            <w:shd w:val="clear" w:color="000000" w:fill="FFFFFF"/>
            <w:vAlign w:val="center"/>
          </w:tcPr>
          <w:p w14:paraId="63D5A518">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000000" w:fill="FFFFFF"/>
            <w:vAlign w:val="center"/>
          </w:tcPr>
          <w:p w14:paraId="76F62506">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0D1523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513" w:type="dxa"/>
            <w:vMerge w:val="continue"/>
            <w:shd w:val="clear" w:color="auto" w:fill="FFFFFF"/>
            <w:vAlign w:val="center"/>
          </w:tcPr>
          <w:p w14:paraId="4733EB22">
            <w:pPr>
              <w:spacing w:line="0" w:lineRule="atLeast"/>
              <w:jc w:val="center"/>
              <w:rPr>
                <w:rFonts w:ascii="宋体" w:hAnsi="宋体" w:cs="宋体"/>
                <w:color w:val="000000"/>
                <w:kern w:val="0"/>
                <w:sz w:val="22"/>
                <w:szCs w:val="22"/>
              </w:rPr>
            </w:pPr>
          </w:p>
        </w:tc>
        <w:tc>
          <w:tcPr>
            <w:tcW w:w="758" w:type="dxa"/>
            <w:vMerge w:val="restart"/>
            <w:shd w:val="clear" w:color="auto" w:fill="FFFFFF"/>
            <w:vAlign w:val="center"/>
          </w:tcPr>
          <w:p w14:paraId="6299804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资金投入</w:t>
            </w:r>
          </w:p>
          <w:p w14:paraId="58C500FC">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035" w:type="dxa"/>
            <w:shd w:val="clear" w:color="auto" w:fill="FFFFFF"/>
            <w:vAlign w:val="center"/>
          </w:tcPr>
          <w:p w14:paraId="7AFC3027">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预算编制</w:t>
            </w:r>
          </w:p>
          <w:p w14:paraId="6BE3135E">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3993" w:type="dxa"/>
            <w:shd w:val="clear" w:color="auto" w:fill="FFFFFF"/>
            <w:vAlign w:val="center"/>
          </w:tcPr>
          <w:p w14:paraId="6FEB884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项目预算编制是否经过科学论证、有明确标准，资金额度与年度目标是否相适应，用以反映和考核项目预算编制的科学性、合理性情况。</w:t>
            </w:r>
          </w:p>
        </w:tc>
        <w:tc>
          <w:tcPr>
            <w:tcW w:w="6042" w:type="dxa"/>
            <w:shd w:val="clear" w:color="auto" w:fill="FFFFFF"/>
            <w:vAlign w:val="center"/>
          </w:tcPr>
          <w:p w14:paraId="5771A063">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①预算编制是否经过科学论证；</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②预算内容与项目内容是否匹配；</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③预算额度测算依据是否充分，是否按照标准编制；</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④预算确定的项目投资额或资金量是否与工作任务相匹配。</w:t>
            </w:r>
          </w:p>
        </w:tc>
        <w:tc>
          <w:tcPr>
            <w:tcW w:w="1093" w:type="dxa"/>
            <w:shd w:val="clear" w:color="auto" w:fill="FFFFFF"/>
            <w:vAlign w:val="center"/>
          </w:tcPr>
          <w:p w14:paraId="665B0303">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auto" w:fill="FFFFFF"/>
            <w:vAlign w:val="center"/>
          </w:tcPr>
          <w:p w14:paraId="588FF55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6B6239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513" w:type="dxa"/>
            <w:vMerge w:val="continue"/>
            <w:shd w:val="clear" w:color="auto" w:fill="FFFFFF"/>
            <w:vAlign w:val="center"/>
          </w:tcPr>
          <w:p w14:paraId="7C6C93B8">
            <w:pPr>
              <w:widowControl/>
              <w:spacing w:line="0" w:lineRule="atLeast"/>
              <w:jc w:val="center"/>
              <w:rPr>
                <w:rFonts w:ascii="宋体" w:hAnsi="宋体" w:cs="宋体"/>
                <w:color w:val="000000"/>
                <w:kern w:val="0"/>
                <w:sz w:val="22"/>
                <w:szCs w:val="22"/>
              </w:rPr>
            </w:pPr>
          </w:p>
        </w:tc>
        <w:tc>
          <w:tcPr>
            <w:tcW w:w="758" w:type="dxa"/>
            <w:vMerge w:val="continue"/>
            <w:shd w:val="clear" w:color="auto" w:fill="FFFFFF"/>
            <w:vAlign w:val="center"/>
          </w:tcPr>
          <w:p w14:paraId="12AFFE71">
            <w:pPr>
              <w:widowControl/>
              <w:spacing w:line="0" w:lineRule="atLeast"/>
              <w:jc w:val="center"/>
              <w:rPr>
                <w:rFonts w:ascii="宋体" w:hAnsi="宋体" w:cs="宋体"/>
                <w:color w:val="000000"/>
                <w:kern w:val="0"/>
                <w:sz w:val="22"/>
                <w:szCs w:val="22"/>
              </w:rPr>
            </w:pPr>
          </w:p>
        </w:tc>
        <w:tc>
          <w:tcPr>
            <w:tcW w:w="1035" w:type="dxa"/>
            <w:shd w:val="clear" w:color="auto" w:fill="FFFFFF"/>
            <w:vAlign w:val="center"/>
          </w:tcPr>
          <w:p w14:paraId="16773FE8">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资金分配</w:t>
            </w:r>
          </w:p>
          <w:p w14:paraId="0D61A74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3993" w:type="dxa"/>
            <w:shd w:val="clear" w:color="auto" w:fill="FFFFFF"/>
            <w:vAlign w:val="center"/>
          </w:tcPr>
          <w:p w14:paraId="7F19C087">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项目预算资金分配是否有测算依据，与补助单位或地方实际是否相适应，用以反映和考核项目预算资金分配的科学性、合理性情况。</w:t>
            </w:r>
          </w:p>
        </w:tc>
        <w:tc>
          <w:tcPr>
            <w:tcW w:w="6042" w:type="dxa"/>
            <w:shd w:val="clear" w:color="auto" w:fill="FFFFFF"/>
            <w:vAlign w:val="center"/>
          </w:tcPr>
          <w:p w14:paraId="30B22BF3">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①预算资金分配依据是否充分；</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②资金分配额度是否合理，与项目单位或地方实际是否相适应。</w:t>
            </w:r>
          </w:p>
        </w:tc>
        <w:tc>
          <w:tcPr>
            <w:tcW w:w="1093" w:type="dxa"/>
            <w:shd w:val="clear" w:color="auto" w:fill="FFFFFF"/>
            <w:vAlign w:val="center"/>
          </w:tcPr>
          <w:p w14:paraId="36EA8284">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auto" w:fill="FFFFFF"/>
            <w:vAlign w:val="center"/>
          </w:tcPr>
          <w:p w14:paraId="2E028787">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41F87F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513" w:type="dxa"/>
            <w:vMerge w:val="restart"/>
            <w:shd w:val="clear" w:color="auto" w:fill="FFFFFF"/>
            <w:vAlign w:val="center"/>
          </w:tcPr>
          <w:p w14:paraId="688B633F">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w:t>
            </w:r>
          </w:p>
        </w:tc>
        <w:tc>
          <w:tcPr>
            <w:tcW w:w="758" w:type="dxa"/>
            <w:vMerge w:val="restart"/>
            <w:shd w:val="clear" w:color="auto" w:fill="FFFFFF"/>
            <w:vAlign w:val="center"/>
          </w:tcPr>
          <w:p w14:paraId="11F2A63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035" w:type="dxa"/>
            <w:shd w:val="clear" w:color="auto" w:fill="FFFFFF"/>
            <w:vAlign w:val="center"/>
          </w:tcPr>
          <w:p w14:paraId="3C5CD14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3993" w:type="dxa"/>
            <w:shd w:val="clear" w:color="000000" w:fill="FFFFFF"/>
            <w:vAlign w:val="center"/>
          </w:tcPr>
          <w:p w14:paraId="6991ACB3">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实际到位资金与预算资金的比率，用以反映和考核资金落实情况对项目实施的总体保障程度。</w:t>
            </w:r>
          </w:p>
        </w:tc>
        <w:tc>
          <w:tcPr>
            <w:tcW w:w="6042" w:type="dxa"/>
            <w:shd w:val="clear" w:color="000000" w:fill="FFFFFF"/>
            <w:vAlign w:val="center"/>
          </w:tcPr>
          <w:p w14:paraId="60AD2CD6">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资金到位率=（实际到位资金/预算资金）×100%。</w:t>
            </w:r>
          </w:p>
          <w:p w14:paraId="0C074108">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实际到位资金：一定时期（本年度或项目期）内落实到具体项目的资金。</w:t>
            </w:r>
          </w:p>
          <w:p w14:paraId="46A49F2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预算资金：一定时期（本年度或项目期）内预算安排到具体项目的资金。</w:t>
            </w:r>
          </w:p>
        </w:tc>
        <w:tc>
          <w:tcPr>
            <w:tcW w:w="1093" w:type="dxa"/>
            <w:shd w:val="clear" w:color="000000" w:fill="FFFFFF"/>
            <w:vAlign w:val="center"/>
          </w:tcPr>
          <w:p w14:paraId="3FC28AB4">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000000" w:fill="FFFFFF"/>
            <w:vAlign w:val="center"/>
          </w:tcPr>
          <w:p w14:paraId="25E5C753">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5A6C12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513" w:type="dxa"/>
            <w:vMerge w:val="continue"/>
            <w:shd w:val="clear" w:color="auto" w:fill="FFFFFF"/>
            <w:vAlign w:val="center"/>
          </w:tcPr>
          <w:p w14:paraId="7C1C9A09">
            <w:pPr>
              <w:spacing w:line="0" w:lineRule="atLeast"/>
              <w:jc w:val="center"/>
              <w:rPr>
                <w:rFonts w:ascii="宋体" w:hAnsi="宋体" w:cs="宋体"/>
                <w:color w:val="000000"/>
                <w:kern w:val="0"/>
                <w:sz w:val="22"/>
                <w:szCs w:val="22"/>
              </w:rPr>
            </w:pPr>
          </w:p>
        </w:tc>
        <w:tc>
          <w:tcPr>
            <w:tcW w:w="758" w:type="dxa"/>
            <w:vMerge w:val="continue"/>
            <w:shd w:val="clear" w:color="auto" w:fill="FFFFFF"/>
            <w:vAlign w:val="center"/>
          </w:tcPr>
          <w:p w14:paraId="23623693">
            <w:pPr>
              <w:spacing w:line="0" w:lineRule="atLeast"/>
              <w:jc w:val="center"/>
              <w:rPr>
                <w:rFonts w:ascii="宋体" w:hAnsi="宋体" w:cs="宋体"/>
                <w:color w:val="000000"/>
                <w:kern w:val="0"/>
                <w:sz w:val="22"/>
                <w:szCs w:val="22"/>
              </w:rPr>
            </w:pPr>
          </w:p>
        </w:tc>
        <w:tc>
          <w:tcPr>
            <w:tcW w:w="1035" w:type="dxa"/>
            <w:shd w:val="clear" w:color="auto" w:fill="FFFFFF"/>
            <w:vAlign w:val="center"/>
          </w:tcPr>
          <w:p w14:paraId="3AC5C80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3993" w:type="dxa"/>
            <w:shd w:val="clear" w:color="auto" w:fill="FFFFFF"/>
            <w:vAlign w:val="center"/>
          </w:tcPr>
          <w:p w14:paraId="142CB0F3">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项目预算资金是否按照计划执行，用以反映或考核项目预算执行情况。</w:t>
            </w:r>
          </w:p>
        </w:tc>
        <w:tc>
          <w:tcPr>
            <w:tcW w:w="6042" w:type="dxa"/>
            <w:shd w:val="clear" w:color="auto" w:fill="FFFFFF"/>
            <w:vAlign w:val="center"/>
          </w:tcPr>
          <w:p w14:paraId="7625C4CA">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预算执行率=（实际支出资金/实际到位资金）×100%。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实际支出资金：一定时期（本年度或项目期）内项目实际拨付的资金。</w:t>
            </w:r>
          </w:p>
        </w:tc>
        <w:tc>
          <w:tcPr>
            <w:tcW w:w="1093" w:type="dxa"/>
            <w:shd w:val="clear" w:color="auto" w:fill="FFFFFF"/>
            <w:vAlign w:val="center"/>
          </w:tcPr>
          <w:p w14:paraId="5789C764">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auto" w:fill="FFFFFF"/>
            <w:vAlign w:val="center"/>
          </w:tcPr>
          <w:p w14:paraId="7EFDE009">
            <w:pPr>
              <w:widowControl/>
              <w:spacing w:line="0" w:lineRule="atLeast"/>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1</w:t>
            </w:r>
          </w:p>
        </w:tc>
      </w:tr>
      <w:tr w14:paraId="65EC4F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3" w:type="dxa"/>
            <w:vMerge w:val="restart"/>
            <w:shd w:val="clear" w:color="auto" w:fill="FFFFFF"/>
            <w:vAlign w:val="center"/>
          </w:tcPr>
          <w:p w14:paraId="1D420AA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p w14:paraId="1354FFC2">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过程　</w:t>
            </w:r>
          </w:p>
        </w:tc>
        <w:tc>
          <w:tcPr>
            <w:tcW w:w="758" w:type="dxa"/>
            <w:shd w:val="clear" w:color="auto" w:fill="FFFFFF"/>
            <w:vAlign w:val="center"/>
          </w:tcPr>
          <w:p w14:paraId="3115C37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035" w:type="dxa"/>
            <w:shd w:val="clear" w:color="auto" w:fill="FFFFFF"/>
            <w:vAlign w:val="center"/>
          </w:tcPr>
          <w:p w14:paraId="3B9D15D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资金使用</w:t>
            </w:r>
          </w:p>
          <w:p w14:paraId="03642B40">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3993" w:type="dxa"/>
            <w:shd w:val="clear" w:color="000000" w:fill="FFFFFF"/>
            <w:vAlign w:val="center"/>
          </w:tcPr>
          <w:p w14:paraId="073C4837">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项目资金使用是否符合相关的财务管理制度规定，用以反映和考核项目资金的规范运行情况。</w:t>
            </w:r>
          </w:p>
        </w:tc>
        <w:tc>
          <w:tcPr>
            <w:tcW w:w="6042" w:type="dxa"/>
            <w:shd w:val="clear" w:color="000000" w:fill="FFFFFF"/>
            <w:vAlign w:val="center"/>
          </w:tcPr>
          <w:p w14:paraId="0807F148">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①是否符合国家财经法规和财务管理制度以及有关专项资金管理办法的规定；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②资金的拨付是否有完整的审批程序和手续；</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③是否符合项目预算批复或合同规定的用途；</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④是否存在截留、挤占、挪用、虚列支出等情况。</w:t>
            </w:r>
          </w:p>
        </w:tc>
        <w:tc>
          <w:tcPr>
            <w:tcW w:w="1093" w:type="dxa"/>
            <w:shd w:val="clear" w:color="000000" w:fill="FFFFFF"/>
            <w:vAlign w:val="center"/>
          </w:tcPr>
          <w:p w14:paraId="2A338178">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000000" w:fill="FFFFFF"/>
            <w:vAlign w:val="center"/>
          </w:tcPr>
          <w:p w14:paraId="1C133972">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567C6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3" w:type="dxa"/>
            <w:vMerge w:val="continue"/>
            <w:shd w:val="clear" w:color="auto" w:fill="FFFFFF"/>
            <w:vAlign w:val="center"/>
          </w:tcPr>
          <w:p w14:paraId="7DCC59E4">
            <w:pPr>
              <w:spacing w:line="0" w:lineRule="atLeast"/>
              <w:jc w:val="center"/>
              <w:rPr>
                <w:rFonts w:ascii="宋体" w:hAnsi="宋体" w:cs="宋体"/>
                <w:color w:val="000000"/>
                <w:kern w:val="0"/>
                <w:sz w:val="22"/>
                <w:szCs w:val="22"/>
              </w:rPr>
            </w:pPr>
          </w:p>
        </w:tc>
        <w:tc>
          <w:tcPr>
            <w:tcW w:w="758" w:type="dxa"/>
            <w:vMerge w:val="restart"/>
            <w:shd w:val="clear" w:color="auto" w:fill="FFFFFF"/>
            <w:vAlign w:val="center"/>
          </w:tcPr>
          <w:p w14:paraId="1D9BB1D3">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组织实施</w:t>
            </w:r>
          </w:p>
          <w:p w14:paraId="6A93EDCA">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　</w:t>
            </w:r>
          </w:p>
        </w:tc>
        <w:tc>
          <w:tcPr>
            <w:tcW w:w="1035" w:type="dxa"/>
            <w:shd w:val="clear" w:color="auto" w:fill="FFFFFF"/>
            <w:vAlign w:val="center"/>
          </w:tcPr>
          <w:p w14:paraId="383862C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管理制度</w:t>
            </w:r>
          </w:p>
          <w:p w14:paraId="63F5342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3993" w:type="dxa"/>
            <w:shd w:val="clear" w:color="000000" w:fill="FFFFFF"/>
            <w:vAlign w:val="center"/>
          </w:tcPr>
          <w:p w14:paraId="2223ED85">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项目实施单位的财务和业务管理制度是否健全，用以反映和考核财务和业务管理制度对项目顺利实施的保障情况。</w:t>
            </w:r>
          </w:p>
        </w:tc>
        <w:tc>
          <w:tcPr>
            <w:tcW w:w="6042" w:type="dxa"/>
            <w:shd w:val="clear" w:color="000000" w:fill="FFFFFF"/>
            <w:vAlign w:val="center"/>
          </w:tcPr>
          <w:p w14:paraId="582CE8C1">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①是否已制定或具有相应的财务和业务管理制度；</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②财务和业务管理制度是否合法、合规、完整。</w:t>
            </w:r>
          </w:p>
        </w:tc>
        <w:tc>
          <w:tcPr>
            <w:tcW w:w="1093" w:type="dxa"/>
            <w:shd w:val="clear" w:color="000000" w:fill="FFFFFF"/>
            <w:vAlign w:val="center"/>
          </w:tcPr>
          <w:p w14:paraId="175C3A7E">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000000" w:fill="FFFFFF"/>
            <w:vAlign w:val="center"/>
          </w:tcPr>
          <w:p w14:paraId="05AA6925">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23C125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3" w:type="dxa"/>
            <w:vMerge w:val="continue"/>
            <w:shd w:val="clear" w:color="auto" w:fill="FFFFFF"/>
            <w:vAlign w:val="center"/>
          </w:tcPr>
          <w:p w14:paraId="4542373D">
            <w:pPr>
              <w:widowControl/>
              <w:spacing w:line="0" w:lineRule="atLeast"/>
              <w:jc w:val="center"/>
              <w:rPr>
                <w:rFonts w:ascii="宋体" w:hAnsi="宋体" w:cs="宋体"/>
                <w:color w:val="000000"/>
                <w:kern w:val="0"/>
                <w:sz w:val="22"/>
                <w:szCs w:val="22"/>
              </w:rPr>
            </w:pPr>
          </w:p>
        </w:tc>
        <w:tc>
          <w:tcPr>
            <w:tcW w:w="758" w:type="dxa"/>
            <w:vMerge w:val="continue"/>
            <w:shd w:val="clear" w:color="auto" w:fill="FFFFFF"/>
            <w:vAlign w:val="center"/>
          </w:tcPr>
          <w:p w14:paraId="736F4925">
            <w:pPr>
              <w:widowControl/>
              <w:spacing w:line="0" w:lineRule="atLeast"/>
              <w:jc w:val="center"/>
              <w:rPr>
                <w:rFonts w:ascii="宋体" w:hAnsi="宋体" w:cs="宋体"/>
                <w:color w:val="000000"/>
                <w:kern w:val="0"/>
                <w:sz w:val="22"/>
                <w:szCs w:val="22"/>
              </w:rPr>
            </w:pPr>
          </w:p>
        </w:tc>
        <w:tc>
          <w:tcPr>
            <w:tcW w:w="1035" w:type="dxa"/>
            <w:shd w:val="clear" w:color="auto" w:fill="FFFFFF"/>
            <w:vAlign w:val="center"/>
          </w:tcPr>
          <w:p w14:paraId="6118D6F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制度执行</w:t>
            </w:r>
          </w:p>
          <w:p w14:paraId="7DCD531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3993" w:type="dxa"/>
            <w:shd w:val="clear" w:color="000000" w:fill="FFFFFF"/>
            <w:vAlign w:val="center"/>
          </w:tcPr>
          <w:p w14:paraId="5E0F997B">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项目实施是否符合相关管理规定，用以反映和考核相关管理制度的有效执行情况。</w:t>
            </w:r>
          </w:p>
        </w:tc>
        <w:tc>
          <w:tcPr>
            <w:tcW w:w="6042" w:type="dxa"/>
            <w:shd w:val="clear" w:color="000000" w:fill="FFFFFF"/>
            <w:vAlign w:val="center"/>
          </w:tcPr>
          <w:p w14:paraId="62119588">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评价要点：</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①是否遵守相关法律法规和相关管理规定；</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②项目调整及支出调整手续是否完备；</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③项目合同书、验收报告、技术鉴定等资料是否齐全并及时归档；</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④项目实施的人员条件、场地设备、信息支撑等是否落实到位。</w:t>
            </w:r>
          </w:p>
        </w:tc>
        <w:tc>
          <w:tcPr>
            <w:tcW w:w="1093" w:type="dxa"/>
            <w:shd w:val="clear" w:color="000000" w:fill="FFFFFF"/>
            <w:vAlign w:val="center"/>
          </w:tcPr>
          <w:p w14:paraId="3A1E592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c>
          <w:tcPr>
            <w:tcW w:w="740" w:type="dxa"/>
            <w:shd w:val="clear" w:color="000000" w:fill="FFFFFF"/>
            <w:vAlign w:val="center"/>
          </w:tcPr>
          <w:p w14:paraId="024A5B3D">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w:t>
            </w:r>
          </w:p>
        </w:tc>
      </w:tr>
      <w:tr w14:paraId="701E78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513" w:type="dxa"/>
            <w:shd w:val="clear" w:color="auto" w:fill="FFFFFF"/>
            <w:vAlign w:val="center"/>
          </w:tcPr>
          <w:p w14:paraId="4902B97A">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758" w:type="dxa"/>
            <w:shd w:val="clear" w:color="auto" w:fill="FFFFFF"/>
            <w:vAlign w:val="center"/>
          </w:tcPr>
          <w:p w14:paraId="1378246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035" w:type="dxa"/>
            <w:shd w:val="clear" w:color="auto" w:fill="FFFFFF"/>
            <w:vAlign w:val="center"/>
          </w:tcPr>
          <w:p w14:paraId="7EBD506D">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3993" w:type="dxa"/>
            <w:shd w:val="clear" w:color="000000" w:fill="FFFFFF"/>
            <w:vAlign w:val="center"/>
          </w:tcPr>
          <w:p w14:paraId="31DABF37">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项目实施的实际产出数与计划产出数的比率，用以反映和考核项目产出数量目标的实现程度。</w:t>
            </w:r>
          </w:p>
        </w:tc>
        <w:tc>
          <w:tcPr>
            <w:tcW w:w="6042" w:type="dxa"/>
            <w:shd w:val="clear" w:color="000000" w:fill="FFFFFF"/>
            <w:vAlign w:val="center"/>
          </w:tcPr>
          <w:p w14:paraId="7707FDC7">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实际完成率=（实际产出数/计划产出数）×100%。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实际产出数：一定时期（本年度或项目期）内项目实际产出的产品或提供的服务数量。</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计划产出数：项目绩效目标确定的在一定时期（本年度或项目期）内计划产出的产品或提供的服务数量。</w:t>
            </w:r>
          </w:p>
        </w:tc>
        <w:tc>
          <w:tcPr>
            <w:tcW w:w="1093" w:type="dxa"/>
            <w:shd w:val="clear" w:color="000000" w:fill="FFFFFF"/>
            <w:vAlign w:val="center"/>
          </w:tcPr>
          <w:p w14:paraId="113C213C">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12.5</w:t>
            </w:r>
          </w:p>
        </w:tc>
        <w:tc>
          <w:tcPr>
            <w:tcW w:w="740" w:type="dxa"/>
            <w:shd w:val="clear" w:color="000000" w:fill="FFFFFF"/>
            <w:vAlign w:val="center"/>
          </w:tcPr>
          <w:p w14:paraId="10B291E5">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12.5</w:t>
            </w:r>
          </w:p>
        </w:tc>
      </w:tr>
      <w:tr w14:paraId="2AF53D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513" w:type="dxa"/>
            <w:vMerge w:val="restart"/>
            <w:shd w:val="clear" w:color="auto" w:fill="FFFFFF"/>
            <w:vAlign w:val="center"/>
          </w:tcPr>
          <w:p w14:paraId="0C808B8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w:t>
            </w:r>
          </w:p>
        </w:tc>
        <w:tc>
          <w:tcPr>
            <w:tcW w:w="758" w:type="dxa"/>
            <w:shd w:val="clear" w:color="auto" w:fill="FFFFFF"/>
            <w:vAlign w:val="center"/>
          </w:tcPr>
          <w:p w14:paraId="701F6CBB">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035" w:type="dxa"/>
            <w:shd w:val="clear" w:color="auto" w:fill="FFFFFF"/>
            <w:vAlign w:val="center"/>
          </w:tcPr>
          <w:p w14:paraId="2ECD0411">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3993" w:type="dxa"/>
            <w:shd w:val="clear" w:color="000000" w:fill="FFFFFF"/>
            <w:vAlign w:val="center"/>
          </w:tcPr>
          <w:p w14:paraId="2A8D6AC7">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项目完成的质量达标产出数与实际产出数的比率，用以反映和考核项目产出质量目标的实现程度。</w:t>
            </w:r>
          </w:p>
        </w:tc>
        <w:tc>
          <w:tcPr>
            <w:tcW w:w="6042" w:type="dxa"/>
            <w:shd w:val="clear" w:color="000000" w:fill="FFFFFF"/>
            <w:vAlign w:val="center"/>
          </w:tcPr>
          <w:p w14:paraId="63D13DBE">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质量达标率=（质量达标产出数/实际产出数）×100%。</w:t>
            </w:r>
          </w:p>
          <w:p w14:paraId="5786A242">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093" w:type="dxa"/>
            <w:shd w:val="clear" w:color="000000" w:fill="FFFFFF"/>
            <w:vAlign w:val="center"/>
          </w:tcPr>
          <w:p w14:paraId="136B57FE">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12.5</w:t>
            </w:r>
          </w:p>
        </w:tc>
        <w:tc>
          <w:tcPr>
            <w:tcW w:w="740" w:type="dxa"/>
            <w:shd w:val="clear" w:color="000000" w:fill="FFFFFF"/>
            <w:vAlign w:val="center"/>
          </w:tcPr>
          <w:p w14:paraId="184DF07D">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12.5</w:t>
            </w:r>
          </w:p>
        </w:tc>
      </w:tr>
      <w:tr w14:paraId="011091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513" w:type="dxa"/>
            <w:vMerge w:val="continue"/>
            <w:shd w:val="clear" w:color="auto" w:fill="FFFFFF"/>
            <w:vAlign w:val="center"/>
          </w:tcPr>
          <w:p w14:paraId="4718B8CB">
            <w:pPr>
              <w:spacing w:line="0" w:lineRule="atLeast"/>
              <w:jc w:val="center"/>
              <w:rPr>
                <w:rFonts w:ascii="宋体" w:hAnsi="宋体" w:cs="宋体"/>
                <w:color w:val="000000"/>
                <w:kern w:val="0"/>
                <w:sz w:val="22"/>
                <w:szCs w:val="22"/>
              </w:rPr>
            </w:pPr>
          </w:p>
        </w:tc>
        <w:tc>
          <w:tcPr>
            <w:tcW w:w="758" w:type="dxa"/>
            <w:shd w:val="clear" w:color="auto" w:fill="FFFFFF"/>
            <w:vAlign w:val="center"/>
          </w:tcPr>
          <w:p w14:paraId="02DA27C5">
            <w:pPr>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035" w:type="dxa"/>
            <w:shd w:val="clear" w:color="auto" w:fill="FFFFFF"/>
            <w:vAlign w:val="center"/>
          </w:tcPr>
          <w:p w14:paraId="3BC62EC6">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3993" w:type="dxa"/>
            <w:shd w:val="clear" w:color="000000" w:fill="FFFFFF"/>
            <w:vAlign w:val="center"/>
          </w:tcPr>
          <w:p w14:paraId="4D74E9B6">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项目实际完成时间与计划完成时间的比较，用以反映和考核项目产出时效目标的实现程度。</w:t>
            </w:r>
          </w:p>
        </w:tc>
        <w:tc>
          <w:tcPr>
            <w:tcW w:w="6042" w:type="dxa"/>
            <w:shd w:val="clear" w:color="000000" w:fill="FFFFFF"/>
            <w:vAlign w:val="center"/>
          </w:tcPr>
          <w:p w14:paraId="7968A5FA">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实际完成时间：项目实施单位完成该项目实际所耗用的时间。</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计划完成时间：按照项目实施计划或相关规定完成该项目所需的时间。</w:t>
            </w:r>
          </w:p>
        </w:tc>
        <w:tc>
          <w:tcPr>
            <w:tcW w:w="1093" w:type="dxa"/>
            <w:shd w:val="clear" w:color="000000" w:fill="FFFFFF"/>
            <w:vAlign w:val="center"/>
          </w:tcPr>
          <w:p w14:paraId="40C89344">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12.5</w:t>
            </w:r>
          </w:p>
        </w:tc>
        <w:tc>
          <w:tcPr>
            <w:tcW w:w="740" w:type="dxa"/>
            <w:shd w:val="clear" w:color="000000" w:fill="FFFFFF"/>
            <w:vAlign w:val="center"/>
          </w:tcPr>
          <w:p w14:paraId="191A90CD">
            <w:pPr>
              <w:widowControl/>
              <w:spacing w:line="0" w:lineRule="atLeast"/>
              <w:rPr>
                <w:rFonts w:hint="eastAsia" w:ascii="宋体" w:hAnsi="宋体" w:eastAsia="宋体" w:cs="宋体"/>
                <w:color w:val="000000"/>
                <w:kern w:val="0"/>
                <w:sz w:val="22"/>
                <w:szCs w:val="22"/>
                <w:lang w:eastAsia="zh-CN"/>
              </w:rPr>
            </w:pPr>
            <w:r>
              <w:rPr>
                <w:rFonts w:hint="eastAsia" w:ascii="宋体" w:hAnsi="宋体" w:cs="宋体"/>
                <w:color w:val="000000"/>
                <w:kern w:val="0"/>
                <w:sz w:val="22"/>
                <w:szCs w:val="22"/>
                <w:lang w:val="en-US" w:eastAsia="zh-CN"/>
              </w:rPr>
              <w:t>5</w:t>
            </w:r>
          </w:p>
        </w:tc>
      </w:tr>
      <w:tr w14:paraId="4AFA19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3" w:type="dxa"/>
            <w:vMerge w:val="continue"/>
            <w:shd w:val="clear" w:color="auto" w:fill="FFFFFF"/>
            <w:vAlign w:val="center"/>
          </w:tcPr>
          <w:p w14:paraId="678CE777">
            <w:pPr>
              <w:widowControl/>
              <w:spacing w:line="0" w:lineRule="atLeast"/>
              <w:jc w:val="center"/>
              <w:rPr>
                <w:rFonts w:ascii="宋体" w:hAnsi="宋体" w:cs="宋体"/>
                <w:color w:val="000000"/>
                <w:kern w:val="0"/>
                <w:sz w:val="22"/>
                <w:szCs w:val="22"/>
              </w:rPr>
            </w:pPr>
          </w:p>
        </w:tc>
        <w:tc>
          <w:tcPr>
            <w:tcW w:w="758" w:type="dxa"/>
            <w:shd w:val="clear" w:color="auto" w:fill="FFFFFF"/>
            <w:vAlign w:val="center"/>
          </w:tcPr>
          <w:p w14:paraId="0DC0D45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035" w:type="dxa"/>
            <w:shd w:val="clear" w:color="auto" w:fill="FFFFFF"/>
            <w:vAlign w:val="center"/>
          </w:tcPr>
          <w:p w14:paraId="40BEFEB2">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3993" w:type="dxa"/>
            <w:shd w:val="clear" w:color="000000" w:fill="FFFFFF"/>
            <w:vAlign w:val="center"/>
          </w:tcPr>
          <w:p w14:paraId="58D576C0">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完成项目计划工作目标的实际节约成本与计划成本的比率，用以反映和考核项目的成本节约程度。</w:t>
            </w:r>
          </w:p>
        </w:tc>
        <w:tc>
          <w:tcPr>
            <w:tcW w:w="6042" w:type="dxa"/>
            <w:shd w:val="clear" w:color="000000" w:fill="FFFFFF"/>
            <w:vAlign w:val="center"/>
          </w:tcPr>
          <w:p w14:paraId="0A31491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br w:type="textWrapping"/>
            </w:r>
            <w:r>
              <w:rPr>
                <w:rFonts w:hint="eastAsia" w:ascii="宋体" w:hAnsi="宋体" w:cs="宋体"/>
                <w:color w:val="000000"/>
                <w:kern w:val="0"/>
                <w:sz w:val="22"/>
                <w:szCs w:val="22"/>
              </w:rPr>
              <w:t>成本节约率=[（计划成本-实际成本）/计划成本]×100%。</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实际成本：项目实施单位如期、保质、保量完成既定工作目标实际所耗费的支出。</w:t>
            </w:r>
            <w:r>
              <w:rPr>
                <w:rFonts w:hint="eastAsia" w:ascii="宋体" w:hAnsi="宋体" w:cs="宋体"/>
                <w:color w:val="000000"/>
                <w:kern w:val="0"/>
                <w:sz w:val="22"/>
                <w:szCs w:val="22"/>
              </w:rPr>
              <w:br w:type="textWrapping"/>
            </w:r>
            <w:r>
              <w:rPr>
                <w:rFonts w:hint="eastAsia" w:ascii="宋体" w:hAnsi="宋体" w:cs="宋体"/>
                <w:color w:val="000000"/>
                <w:kern w:val="0"/>
                <w:sz w:val="22"/>
                <w:szCs w:val="22"/>
              </w:rPr>
              <w:t>计划成本：项目实施单位为完成工作目标计划安排的支出，一般以项目预算为参考。</w:t>
            </w:r>
          </w:p>
        </w:tc>
        <w:tc>
          <w:tcPr>
            <w:tcW w:w="1093" w:type="dxa"/>
            <w:shd w:val="clear" w:color="000000" w:fill="FFFFFF"/>
            <w:vAlign w:val="center"/>
          </w:tcPr>
          <w:p w14:paraId="6ED48A72">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12.5</w:t>
            </w:r>
          </w:p>
        </w:tc>
        <w:tc>
          <w:tcPr>
            <w:tcW w:w="740" w:type="dxa"/>
            <w:shd w:val="clear" w:color="000000" w:fill="FFFFFF"/>
            <w:vAlign w:val="center"/>
          </w:tcPr>
          <w:p w14:paraId="4F70C3A4">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12.5</w:t>
            </w:r>
          </w:p>
        </w:tc>
      </w:tr>
      <w:tr w14:paraId="735E39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513" w:type="dxa"/>
            <w:vMerge w:val="restart"/>
            <w:shd w:val="clear" w:color="auto" w:fill="FFFFFF"/>
            <w:vAlign w:val="center"/>
          </w:tcPr>
          <w:p w14:paraId="7C368709">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效益　</w:t>
            </w:r>
          </w:p>
        </w:tc>
        <w:tc>
          <w:tcPr>
            <w:tcW w:w="758" w:type="dxa"/>
            <w:vMerge w:val="restart"/>
            <w:shd w:val="clear" w:color="auto" w:fill="FFFFFF"/>
            <w:vAlign w:val="center"/>
          </w:tcPr>
          <w:p w14:paraId="3FAEA56F">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035" w:type="dxa"/>
            <w:shd w:val="clear" w:color="auto" w:fill="FFFFFF"/>
            <w:vAlign w:val="center"/>
          </w:tcPr>
          <w:p w14:paraId="30B53A44">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实施效益</w:t>
            </w:r>
          </w:p>
        </w:tc>
        <w:tc>
          <w:tcPr>
            <w:tcW w:w="3993" w:type="dxa"/>
            <w:shd w:val="clear" w:color="auto" w:fill="FFFFFF"/>
            <w:vAlign w:val="center"/>
          </w:tcPr>
          <w:p w14:paraId="0B07DD15">
            <w:pPr>
              <w:widowControl/>
              <w:spacing w:line="0" w:lineRule="atLeast"/>
              <w:jc w:val="left"/>
              <w:rPr>
                <w:rFonts w:ascii="宋体" w:hAnsi="宋体" w:cs="宋体"/>
                <w:color w:val="000000"/>
                <w:kern w:val="0"/>
                <w:sz w:val="22"/>
                <w:szCs w:val="22"/>
              </w:rPr>
            </w:pPr>
            <w:r>
              <w:rPr>
                <w:rFonts w:hint="eastAsia" w:ascii="宋体" w:hAnsi="宋体" w:cs="宋体"/>
                <w:color w:val="000000"/>
                <w:kern w:val="0"/>
                <w:sz w:val="22"/>
                <w:szCs w:val="22"/>
              </w:rPr>
              <w:t>项目实施所产生的效益。</w:t>
            </w:r>
          </w:p>
        </w:tc>
        <w:tc>
          <w:tcPr>
            <w:tcW w:w="6042" w:type="dxa"/>
            <w:shd w:val="clear" w:color="auto" w:fill="FFFFFF"/>
            <w:vAlign w:val="center"/>
          </w:tcPr>
          <w:p w14:paraId="1F062E1A">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项目实施所产生的社会效益、经济效益、生态效益、可持续影响等。可根据项目实际情况有选择地设置和细化。</w:t>
            </w:r>
          </w:p>
        </w:tc>
        <w:tc>
          <w:tcPr>
            <w:tcW w:w="1093" w:type="dxa"/>
            <w:shd w:val="clear" w:color="auto" w:fill="FFFFFF"/>
            <w:vAlign w:val="center"/>
          </w:tcPr>
          <w:p w14:paraId="0EDE4B3B">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30</w:t>
            </w:r>
          </w:p>
        </w:tc>
        <w:tc>
          <w:tcPr>
            <w:tcW w:w="740" w:type="dxa"/>
            <w:shd w:val="clear" w:color="auto" w:fill="FFFFFF"/>
            <w:vAlign w:val="center"/>
          </w:tcPr>
          <w:p w14:paraId="3D537702">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14:paraId="161981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513" w:type="dxa"/>
            <w:vMerge w:val="continue"/>
            <w:shd w:val="clear" w:color="auto" w:fill="FFFFFF"/>
            <w:vAlign w:val="center"/>
          </w:tcPr>
          <w:p w14:paraId="597C480C">
            <w:pPr>
              <w:widowControl/>
              <w:spacing w:line="0" w:lineRule="atLeast"/>
              <w:jc w:val="center"/>
              <w:rPr>
                <w:rFonts w:ascii="宋体" w:hAnsi="宋体" w:cs="宋体"/>
                <w:color w:val="000000"/>
                <w:kern w:val="0"/>
                <w:sz w:val="22"/>
                <w:szCs w:val="22"/>
              </w:rPr>
            </w:pPr>
          </w:p>
        </w:tc>
        <w:tc>
          <w:tcPr>
            <w:tcW w:w="758" w:type="dxa"/>
            <w:vMerge w:val="continue"/>
            <w:shd w:val="clear" w:color="auto" w:fill="FFFFFF"/>
            <w:vAlign w:val="center"/>
          </w:tcPr>
          <w:p w14:paraId="0ED8A25E">
            <w:pPr>
              <w:widowControl/>
              <w:spacing w:line="0" w:lineRule="atLeast"/>
              <w:jc w:val="center"/>
              <w:rPr>
                <w:rFonts w:ascii="宋体" w:hAnsi="宋体" w:cs="宋体"/>
                <w:color w:val="000000"/>
                <w:kern w:val="0"/>
                <w:sz w:val="22"/>
                <w:szCs w:val="22"/>
              </w:rPr>
            </w:pPr>
          </w:p>
        </w:tc>
        <w:tc>
          <w:tcPr>
            <w:tcW w:w="1035" w:type="dxa"/>
            <w:shd w:val="clear" w:color="auto" w:fill="FFFFFF"/>
            <w:vAlign w:val="center"/>
          </w:tcPr>
          <w:p w14:paraId="262A2D85">
            <w:pPr>
              <w:widowControl/>
              <w:spacing w:line="0" w:lineRule="atLeast"/>
              <w:jc w:val="center"/>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3993" w:type="dxa"/>
            <w:shd w:val="clear" w:color="000000" w:fill="FFFFFF"/>
            <w:vAlign w:val="center"/>
          </w:tcPr>
          <w:p w14:paraId="2CA470DC">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社会公众或服务对象对项目实施效果的满意程度。</w:t>
            </w:r>
          </w:p>
        </w:tc>
        <w:tc>
          <w:tcPr>
            <w:tcW w:w="6042" w:type="dxa"/>
            <w:shd w:val="clear" w:color="000000" w:fill="FFFFFF"/>
            <w:vAlign w:val="center"/>
          </w:tcPr>
          <w:p w14:paraId="6C3F9FA2">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社会公众或服务对象是指因该项目实施而受到影响的部门（单位）、群体或个人。一般采取社会调查的方式。</w:t>
            </w:r>
          </w:p>
        </w:tc>
        <w:tc>
          <w:tcPr>
            <w:tcW w:w="1093" w:type="dxa"/>
            <w:shd w:val="clear" w:color="000000" w:fill="FFFFFF"/>
            <w:vAlign w:val="center"/>
          </w:tcPr>
          <w:p w14:paraId="7E58EA2F">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c>
          <w:tcPr>
            <w:tcW w:w="740" w:type="dxa"/>
            <w:shd w:val="clear" w:color="000000" w:fill="FFFFFF"/>
            <w:vAlign w:val="center"/>
          </w:tcPr>
          <w:p w14:paraId="0BD332DD">
            <w:pPr>
              <w:widowControl/>
              <w:spacing w:line="0" w:lineRule="atLeast"/>
              <w:rPr>
                <w:rFonts w:ascii="宋体" w:hAnsi="宋体" w:cs="宋体"/>
                <w:color w:val="000000"/>
                <w:kern w:val="0"/>
                <w:sz w:val="22"/>
                <w:szCs w:val="22"/>
              </w:rPr>
            </w:pPr>
            <w:r>
              <w:rPr>
                <w:rFonts w:hint="eastAsia" w:ascii="宋体" w:hAnsi="宋体" w:cs="宋体"/>
                <w:color w:val="000000"/>
                <w:kern w:val="0"/>
                <w:sz w:val="22"/>
                <w:szCs w:val="22"/>
              </w:rPr>
              <w:t>10</w:t>
            </w:r>
          </w:p>
        </w:tc>
      </w:tr>
    </w:tbl>
    <w:p w14:paraId="405D061E">
      <w:pPr>
        <w:pStyle w:val="2"/>
        <w:rPr>
          <w:rFonts w:hint="default"/>
          <w:color w:val="auto"/>
          <w:highlight w:val="none"/>
          <w:lang w:val="en-US" w:eastAsia="zh-CN"/>
        </w:rPr>
      </w:pPr>
    </w:p>
    <w:p w14:paraId="57F4E377">
      <w:pPr>
        <w:rPr>
          <w:color w:val="auto"/>
          <w:highlight w:val="none"/>
        </w:rPr>
      </w:pPr>
    </w:p>
    <w:p w14:paraId="688428E7">
      <w:pPr>
        <w:spacing w:line="540" w:lineRule="exact"/>
        <w:ind w:firstLine="640"/>
        <w:rPr>
          <w:rStyle w:val="21"/>
          <w:rFonts w:ascii="黑体" w:hAnsi="黑体" w:eastAsia="黑体"/>
          <w:bCs w:val="0"/>
          <w:color w:val="auto"/>
          <w:spacing w:val="-4"/>
          <w:sz w:val="32"/>
          <w:szCs w:val="32"/>
          <w:highlight w:val="none"/>
        </w:rPr>
      </w:pPr>
    </w:p>
    <w:p w14:paraId="74A83CB1">
      <w:pPr>
        <w:spacing w:line="540" w:lineRule="exact"/>
        <w:ind w:firstLine="640"/>
        <w:rPr>
          <w:rStyle w:val="21"/>
          <w:rFonts w:ascii="黑体" w:hAnsi="黑体" w:eastAsia="黑体"/>
          <w:bCs w:val="0"/>
          <w:color w:val="auto"/>
          <w:spacing w:val="-4"/>
          <w:sz w:val="32"/>
          <w:szCs w:val="32"/>
          <w:highlight w:val="none"/>
        </w:rPr>
      </w:pPr>
    </w:p>
    <w:p w14:paraId="0DF9EC27">
      <w:pPr>
        <w:spacing w:line="540" w:lineRule="exact"/>
        <w:ind w:firstLine="640"/>
        <w:rPr>
          <w:rStyle w:val="21"/>
          <w:rFonts w:ascii="黑体" w:hAnsi="黑体" w:eastAsia="黑体"/>
          <w:bCs w:val="0"/>
          <w:color w:val="auto"/>
          <w:spacing w:val="-4"/>
          <w:sz w:val="32"/>
          <w:szCs w:val="32"/>
          <w:highlight w:val="none"/>
        </w:rPr>
      </w:pPr>
    </w:p>
    <w:p w14:paraId="76916A43">
      <w:pPr>
        <w:spacing w:line="540" w:lineRule="exact"/>
        <w:ind w:firstLine="640"/>
        <w:rPr>
          <w:rStyle w:val="21"/>
          <w:rFonts w:ascii="黑体" w:hAnsi="黑体" w:eastAsia="黑体"/>
          <w:bCs w:val="0"/>
          <w:color w:val="auto"/>
          <w:spacing w:val="-4"/>
          <w:sz w:val="32"/>
          <w:szCs w:val="32"/>
          <w:highlight w:val="none"/>
        </w:rPr>
      </w:pPr>
    </w:p>
    <w:p w14:paraId="00F7B30E">
      <w:pPr>
        <w:spacing w:line="540" w:lineRule="exact"/>
        <w:ind w:firstLine="640"/>
        <w:rPr>
          <w:rStyle w:val="21"/>
          <w:rFonts w:ascii="黑体" w:hAnsi="黑体" w:eastAsia="黑体"/>
          <w:bCs w:val="0"/>
          <w:color w:val="auto"/>
          <w:spacing w:val="-4"/>
          <w:sz w:val="32"/>
          <w:szCs w:val="32"/>
          <w:highlight w:val="none"/>
        </w:rPr>
      </w:pPr>
    </w:p>
    <w:p w14:paraId="6AF27818">
      <w:pPr>
        <w:spacing w:line="540" w:lineRule="exact"/>
        <w:ind w:firstLine="640"/>
        <w:rPr>
          <w:rStyle w:val="21"/>
          <w:rFonts w:ascii="黑体" w:hAnsi="黑体" w:eastAsia="黑体"/>
          <w:bCs w:val="0"/>
          <w:color w:val="auto"/>
          <w:spacing w:val="-4"/>
          <w:sz w:val="32"/>
          <w:szCs w:val="32"/>
          <w:highlight w:val="none"/>
        </w:rPr>
      </w:pPr>
    </w:p>
    <w:p w14:paraId="3607525C">
      <w:pPr>
        <w:spacing w:line="540" w:lineRule="exact"/>
        <w:rPr>
          <w:rStyle w:val="21"/>
          <w:rFonts w:ascii="仿宋" w:hAnsi="仿宋" w:eastAsia="仿宋"/>
          <w:b w:val="0"/>
          <w:color w:val="auto"/>
          <w:spacing w:val="-4"/>
          <w:sz w:val="32"/>
          <w:szCs w:val="32"/>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A6F0CA3-644A-45B8-AC46-4784E4E3800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EB9D2AEA-B434-401C-A8FC-BC0D3E4925C1}"/>
  </w:font>
  <w:font w:name="仿宋">
    <w:panose1 w:val="02010609060101010101"/>
    <w:charset w:val="86"/>
    <w:family w:val="auto"/>
    <w:pitch w:val="default"/>
    <w:sig w:usb0="800002BF" w:usb1="38CF7CFA" w:usb2="00000016" w:usb3="00000000" w:csb0="00040001" w:csb1="00000000"/>
    <w:embedRegular r:id="rId3" w:fontKey="{2A380A32-78E6-4BC1-BD4A-2BF7B1E2A5C2}"/>
  </w:font>
  <w:font w:name="华文中宋">
    <w:panose1 w:val="02010600040101010101"/>
    <w:charset w:val="86"/>
    <w:family w:val="auto"/>
    <w:pitch w:val="default"/>
    <w:sig w:usb0="00000287" w:usb1="080F0000" w:usb2="00000000" w:usb3="00000000" w:csb0="0004009F" w:csb1="DFD70000"/>
    <w:embedRegular r:id="rId4" w:fontKey="{8B723AA7-FADF-4D22-B214-2A7BAD4FD261}"/>
  </w:font>
  <w:font w:name="方正小标宋简体">
    <w:panose1 w:val="02000000000000000000"/>
    <w:charset w:val="86"/>
    <w:family w:val="auto"/>
    <w:pitch w:val="default"/>
    <w:sig w:usb0="00000001" w:usb1="08000000" w:usb2="00000000" w:usb3="00000000" w:csb0="00040000" w:csb1="00000000"/>
    <w:embedRegular r:id="rId5" w:fontKey="{D1B41CDA-4722-444F-B895-C464D64AE5D1}"/>
  </w:font>
  <w:font w:name="楷体_GB2312">
    <w:altName w:val="楷体"/>
    <w:panose1 w:val="02010609030101010101"/>
    <w:charset w:val="86"/>
    <w:family w:val="auto"/>
    <w:pitch w:val="default"/>
    <w:sig w:usb0="00000000" w:usb1="00000000" w:usb2="00000000" w:usb3="00000000" w:csb0="00040000" w:csb1="00000000"/>
    <w:embedRegular r:id="rId6" w:fontKey="{0C14ECCD-3E51-44DD-9BA4-F1CFF821E421}"/>
  </w:font>
  <w:font w:name="楷体">
    <w:panose1 w:val="02010609060101010101"/>
    <w:charset w:val="86"/>
    <w:family w:val="auto"/>
    <w:pitch w:val="default"/>
    <w:sig w:usb0="800002BF" w:usb1="38CF7CFA" w:usb2="00000016" w:usb3="00000000" w:csb0="00040001" w:csb1="00000000"/>
    <w:embedRegular r:id="rId7" w:fontKey="{70D466A1-249D-4E9D-9027-047AE4505B22}"/>
  </w:font>
  <w:font w:name="方正仿宋_GBK">
    <w:panose1 w:val="02000000000000000000"/>
    <w:charset w:val="86"/>
    <w:family w:val="auto"/>
    <w:pitch w:val="default"/>
    <w:sig w:usb0="A00002BF" w:usb1="38CF7CFA" w:usb2="00082016" w:usb3="00000000" w:csb0="00040001" w:csb1="00000000"/>
    <w:embedRegular r:id="rId8" w:fontKey="{4F5BC48F-0233-4761-B35A-A3C1299430AA}"/>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722C4F7">
        <w:pPr>
          <w:pStyle w:val="14"/>
          <w:jc w:val="center"/>
        </w:pPr>
        <w:r>
          <w:fldChar w:fldCharType="begin"/>
        </w:r>
        <w:r>
          <w:instrText xml:space="preserve">PAGE   \* MERGEFORMAT</w:instrText>
        </w:r>
        <w:r>
          <w:fldChar w:fldCharType="separate"/>
        </w:r>
        <w:r>
          <w:rPr>
            <w:lang w:val="zh-CN"/>
          </w:rPr>
          <w:t>2</w:t>
        </w:r>
        <w:r>
          <w:fldChar w:fldCharType="end"/>
        </w:r>
      </w:p>
    </w:sdtContent>
  </w:sdt>
  <w:p w14:paraId="1CC84A99">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EE5C6BF8"/>
    <w:multiLevelType w:val="singleLevel"/>
    <w:tmpl w:val="EE5C6BF8"/>
    <w:lvl w:ilvl="0" w:tentative="0">
      <w:start w:val="2"/>
      <w:numFmt w:val="decimal"/>
      <w:suff w:val="nothing"/>
      <w:lvlText w:val="%1、"/>
      <w:lvlJc w:val="left"/>
    </w:lvl>
  </w:abstractNum>
  <w:abstractNum w:abstractNumId="2">
    <w:nsid w:val="FF4BB6DE"/>
    <w:multiLevelType w:val="singleLevel"/>
    <w:tmpl w:val="FF4BB6DE"/>
    <w:lvl w:ilvl="0" w:tentative="0">
      <w:start w:val="1"/>
      <w:numFmt w:val="decimal"/>
      <w:suff w:val="nothing"/>
      <w:lvlText w:val="%1、"/>
      <w:lvlJc w:val="left"/>
    </w:lvl>
  </w:abstractNum>
  <w:abstractNum w:abstractNumId="3">
    <w:nsid w:val="FF9379A8"/>
    <w:multiLevelType w:val="singleLevel"/>
    <w:tmpl w:val="FF9379A8"/>
    <w:lvl w:ilvl="0" w:tentative="0">
      <w:start w:val="2"/>
      <w:numFmt w:val="chineseCounting"/>
      <w:suff w:val="nothing"/>
      <w:lvlText w:val="（%1）"/>
      <w:lvlJc w:val="left"/>
      <w:rPr>
        <w:rFonts w:hint="eastAsia"/>
      </w:rPr>
    </w:lvl>
  </w:abstractNum>
  <w:abstractNum w:abstractNumId="4">
    <w:nsid w:val="116B29BF"/>
    <w:multiLevelType w:val="singleLevel"/>
    <w:tmpl w:val="116B29BF"/>
    <w:lvl w:ilvl="0" w:tentative="0">
      <w:start w:val="3"/>
      <w:numFmt w:val="chineseCounting"/>
      <w:suff w:val="nothing"/>
      <w:lvlText w:val="%1、"/>
      <w:lvlJc w:val="left"/>
      <w:rPr>
        <w:rFonts w:hint="eastAsia"/>
      </w:rPr>
    </w:lvl>
  </w:abstractNum>
  <w:abstractNum w:abstractNumId="5">
    <w:nsid w:val="27813159"/>
    <w:multiLevelType w:val="singleLevel"/>
    <w:tmpl w:val="27813159"/>
    <w:lvl w:ilvl="0" w:tentative="0">
      <w:start w:val="3"/>
      <w:numFmt w:val="chineseCounting"/>
      <w:suff w:val="nothing"/>
      <w:lvlText w:val="（%1）"/>
      <w:lvlJc w:val="left"/>
      <w:rPr>
        <w:rFonts w:hint="eastAsia"/>
      </w:rPr>
    </w:lvl>
  </w:abstractNum>
  <w:abstractNum w:abstractNumId="6">
    <w:nsid w:val="3730CCE4"/>
    <w:multiLevelType w:val="singleLevel"/>
    <w:tmpl w:val="3730CCE4"/>
    <w:lvl w:ilvl="0" w:tentative="0">
      <w:start w:val="2"/>
      <w:numFmt w:val="decimal"/>
      <w:suff w:val="nothing"/>
      <w:lvlText w:val="（%1）"/>
      <w:lvlJc w:val="left"/>
    </w:lvl>
  </w:abstractNum>
  <w:abstractNum w:abstractNumId="7">
    <w:nsid w:val="38F0C646"/>
    <w:multiLevelType w:val="singleLevel"/>
    <w:tmpl w:val="38F0C646"/>
    <w:lvl w:ilvl="0" w:tentative="0">
      <w:start w:val="1"/>
      <w:numFmt w:val="decimal"/>
      <w:suff w:val="nothing"/>
      <w:lvlText w:val="%1、"/>
      <w:lvlJc w:val="left"/>
    </w:lvl>
  </w:abstractNum>
  <w:abstractNum w:abstractNumId="8">
    <w:nsid w:val="6AA6E40B"/>
    <w:multiLevelType w:val="singleLevel"/>
    <w:tmpl w:val="6AA6E40B"/>
    <w:lvl w:ilvl="0" w:tentative="0">
      <w:start w:val="1"/>
      <w:numFmt w:val="decimal"/>
      <w:suff w:val="nothing"/>
      <w:lvlText w:val="%1、"/>
      <w:lvlJc w:val="left"/>
    </w:lvl>
  </w:abstractNum>
  <w:abstractNum w:abstractNumId="9">
    <w:nsid w:val="6FAA0AB1"/>
    <w:multiLevelType w:val="singleLevel"/>
    <w:tmpl w:val="6FAA0AB1"/>
    <w:lvl w:ilvl="0" w:tentative="0">
      <w:start w:val="2"/>
      <w:numFmt w:val="chineseCounting"/>
      <w:suff w:val="nothing"/>
      <w:lvlText w:val="（%1）"/>
      <w:lvlJc w:val="left"/>
      <w:rPr>
        <w:rFonts w:hint="eastAsia"/>
      </w:rPr>
    </w:lvl>
  </w:abstractNum>
  <w:num w:numId="1">
    <w:abstractNumId w:val="6"/>
  </w:num>
  <w:num w:numId="2">
    <w:abstractNumId w:val="1"/>
  </w:num>
  <w:num w:numId="3">
    <w:abstractNumId w:val="5"/>
  </w:num>
  <w:num w:numId="4">
    <w:abstractNumId w:val="7"/>
  </w:num>
  <w:num w:numId="5">
    <w:abstractNumId w:val="4"/>
  </w:num>
  <w:num w:numId="6">
    <w:abstractNumId w:val="9"/>
  </w:num>
  <w:num w:numId="7">
    <w:abstractNumId w:val="3"/>
  </w:num>
  <w:num w:numId="8">
    <w:abstractNumId w:val="8"/>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22691A"/>
    <w:rsid w:val="003C18BC"/>
    <w:rsid w:val="004366A8"/>
    <w:rsid w:val="00464900"/>
    <w:rsid w:val="00502BA7"/>
    <w:rsid w:val="005162F1"/>
    <w:rsid w:val="00535153"/>
    <w:rsid w:val="00554F82"/>
    <w:rsid w:val="0056390D"/>
    <w:rsid w:val="005719B0"/>
    <w:rsid w:val="005D10D6"/>
    <w:rsid w:val="007806A5"/>
    <w:rsid w:val="00833A0D"/>
    <w:rsid w:val="00855E3A"/>
    <w:rsid w:val="00922CB9"/>
    <w:rsid w:val="009E5CD9"/>
    <w:rsid w:val="00A26421"/>
    <w:rsid w:val="00A4293B"/>
    <w:rsid w:val="00A67D50"/>
    <w:rsid w:val="00A8691A"/>
    <w:rsid w:val="00AC1946"/>
    <w:rsid w:val="00B40063"/>
    <w:rsid w:val="00B41F61"/>
    <w:rsid w:val="00B74630"/>
    <w:rsid w:val="00BA46E6"/>
    <w:rsid w:val="00C56C72"/>
    <w:rsid w:val="00CA6457"/>
    <w:rsid w:val="00D17F2E"/>
    <w:rsid w:val="00D30354"/>
    <w:rsid w:val="00DF42A0"/>
    <w:rsid w:val="00DF7C45"/>
    <w:rsid w:val="00E31565"/>
    <w:rsid w:val="00E46C51"/>
    <w:rsid w:val="00E769FE"/>
    <w:rsid w:val="00EA2CBE"/>
    <w:rsid w:val="00F32FEE"/>
    <w:rsid w:val="00F71278"/>
    <w:rsid w:val="00FB10BB"/>
    <w:rsid w:val="015B1B0E"/>
    <w:rsid w:val="01634ABD"/>
    <w:rsid w:val="01E1657E"/>
    <w:rsid w:val="04AA2227"/>
    <w:rsid w:val="051A56F5"/>
    <w:rsid w:val="05A34E68"/>
    <w:rsid w:val="05C57445"/>
    <w:rsid w:val="05D2766C"/>
    <w:rsid w:val="066D6EAA"/>
    <w:rsid w:val="069669D8"/>
    <w:rsid w:val="079F58D7"/>
    <w:rsid w:val="08397152"/>
    <w:rsid w:val="088935F2"/>
    <w:rsid w:val="089D31C4"/>
    <w:rsid w:val="08C662D4"/>
    <w:rsid w:val="09BD4D95"/>
    <w:rsid w:val="0C7C56C4"/>
    <w:rsid w:val="0C861F01"/>
    <w:rsid w:val="0DE13EC4"/>
    <w:rsid w:val="0F8D41CB"/>
    <w:rsid w:val="102269D5"/>
    <w:rsid w:val="103F1978"/>
    <w:rsid w:val="10A51641"/>
    <w:rsid w:val="11C75270"/>
    <w:rsid w:val="12637CC3"/>
    <w:rsid w:val="128B3117"/>
    <w:rsid w:val="12A436EE"/>
    <w:rsid w:val="12CE04DE"/>
    <w:rsid w:val="12E657C5"/>
    <w:rsid w:val="13815023"/>
    <w:rsid w:val="13D167E5"/>
    <w:rsid w:val="167C7687"/>
    <w:rsid w:val="168B3546"/>
    <w:rsid w:val="17AC14AE"/>
    <w:rsid w:val="18255AEA"/>
    <w:rsid w:val="18666840"/>
    <w:rsid w:val="190F1CE3"/>
    <w:rsid w:val="1A2374E0"/>
    <w:rsid w:val="1C0B0324"/>
    <w:rsid w:val="1C317CE2"/>
    <w:rsid w:val="1C841437"/>
    <w:rsid w:val="1C95519D"/>
    <w:rsid w:val="1D6903EA"/>
    <w:rsid w:val="1DB368E1"/>
    <w:rsid w:val="1DD45808"/>
    <w:rsid w:val="1DED42AC"/>
    <w:rsid w:val="1ECB253D"/>
    <w:rsid w:val="20005763"/>
    <w:rsid w:val="20F77977"/>
    <w:rsid w:val="20FB313D"/>
    <w:rsid w:val="220B4804"/>
    <w:rsid w:val="254F263F"/>
    <w:rsid w:val="25F018EE"/>
    <w:rsid w:val="274C4C94"/>
    <w:rsid w:val="279642E3"/>
    <w:rsid w:val="282475E3"/>
    <w:rsid w:val="295C60F4"/>
    <w:rsid w:val="2A5A74F9"/>
    <w:rsid w:val="2A5F711C"/>
    <w:rsid w:val="2A622EDA"/>
    <w:rsid w:val="2AD64F47"/>
    <w:rsid w:val="2BC068F6"/>
    <w:rsid w:val="2BC41856"/>
    <w:rsid w:val="2C6100C1"/>
    <w:rsid w:val="2DDF30A0"/>
    <w:rsid w:val="309C4F24"/>
    <w:rsid w:val="30D058AE"/>
    <w:rsid w:val="3264220D"/>
    <w:rsid w:val="33CB3C38"/>
    <w:rsid w:val="343F444C"/>
    <w:rsid w:val="34E34FD7"/>
    <w:rsid w:val="355828F6"/>
    <w:rsid w:val="36A64AC0"/>
    <w:rsid w:val="36BB762B"/>
    <w:rsid w:val="36D57DFE"/>
    <w:rsid w:val="37232FF5"/>
    <w:rsid w:val="383941EE"/>
    <w:rsid w:val="388D11B6"/>
    <w:rsid w:val="3963178C"/>
    <w:rsid w:val="39AE4A96"/>
    <w:rsid w:val="3A3F2A85"/>
    <w:rsid w:val="3AC61796"/>
    <w:rsid w:val="3C5C46C4"/>
    <w:rsid w:val="3C6232FB"/>
    <w:rsid w:val="3CA8779F"/>
    <w:rsid w:val="3E2E3FF6"/>
    <w:rsid w:val="4002260C"/>
    <w:rsid w:val="40095CC3"/>
    <w:rsid w:val="40245F4F"/>
    <w:rsid w:val="41690F89"/>
    <w:rsid w:val="41CC2676"/>
    <w:rsid w:val="424E016C"/>
    <w:rsid w:val="439714C4"/>
    <w:rsid w:val="46B21672"/>
    <w:rsid w:val="47192D6C"/>
    <w:rsid w:val="49274C90"/>
    <w:rsid w:val="4993666D"/>
    <w:rsid w:val="4A940012"/>
    <w:rsid w:val="4AEE22E5"/>
    <w:rsid w:val="4B0A4B27"/>
    <w:rsid w:val="4CD03EC0"/>
    <w:rsid w:val="4D106250"/>
    <w:rsid w:val="4D6223D5"/>
    <w:rsid w:val="4E226BE0"/>
    <w:rsid w:val="4F552460"/>
    <w:rsid w:val="4FCC6863"/>
    <w:rsid w:val="500A214A"/>
    <w:rsid w:val="51F15D7E"/>
    <w:rsid w:val="522D604D"/>
    <w:rsid w:val="524F65A0"/>
    <w:rsid w:val="5297585E"/>
    <w:rsid w:val="52AD7D6F"/>
    <w:rsid w:val="54123582"/>
    <w:rsid w:val="54432DFB"/>
    <w:rsid w:val="54F037A5"/>
    <w:rsid w:val="5549519D"/>
    <w:rsid w:val="5557596B"/>
    <w:rsid w:val="555F7CFD"/>
    <w:rsid w:val="57EF0820"/>
    <w:rsid w:val="59E57DEE"/>
    <w:rsid w:val="5A6129F3"/>
    <w:rsid w:val="5ADA03E1"/>
    <w:rsid w:val="5B513B15"/>
    <w:rsid w:val="5B596DFC"/>
    <w:rsid w:val="5DF03945"/>
    <w:rsid w:val="5DFD1308"/>
    <w:rsid w:val="5FF82B5B"/>
    <w:rsid w:val="609A651A"/>
    <w:rsid w:val="61C85658"/>
    <w:rsid w:val="629A7D30"/>
    <w:rsid w:val="62AA7956"/>
    <w:rsid w:val="6302200E"/>
    <w:rsid w:val="637C2815"/>
    <w:rsid w:val="63C24BB3"/>
    <w:rsid w:val="6469746F"/>
    <w:rsid w:val="64F06FC5"/>
    <w:rsid w:val="669C66C4"/>
    <w:rsid w:val="69AD7FE9"/>
    <w:rsid w:val="6A370A7D"/>
    <w:rsid w:val="6A497D24"/>
    <w:rsid w:val="6AC35C23"/>
    <w:rsid w:val="6D444AB0"/>
    <w:rsid w:val="6E480246"/>
    <w:rsid w:val="6E706482"/>
    <w:rsid w:val="6E942EE2"/>
    <w:rsid w:val="6EE97A31"/>
    <w:rsid w:val="6FEC6FC1"/>
    <w:rsid w:val="70110E32"/>
    <w:rsid w:val="71670E50"/>
    <w:rsid w:val="71D06189"/>
    <w:rsid w:val="74512CB9"/>
    <w:rsid w:val="74C32C03"/>
    <w:rsid w:val="7631556E"/>
    <w:rsid w:val="77F0719A"/>
    <w:rsid w:val="79A40C81"/>
    <w:rsid w:val="7A353D0B"/>
    <w:rsid w:val="7AE017D1"/>
    <w:rsid w:val="7C134BDB"/>
    <w:rsid w:val="7D01346D"/>
    <w:rsid w:val="7D3A5E2F"/>
    <w:rsid w:val="7EF56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3"/>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4"/>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5"/>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6"/>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7"/>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8"/>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29"/>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0"/>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1"/>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2"/>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8"/>
    <w:semiHidden/>
    <w:unhideWhenUsed/>
    <w:qFormat/>
    <w:uiPriority w:val="99"/>
    <w:rPr>
      <w:sz w:val="18"/>
      <w:szCs w:val="18"/>
    </w:rPr>
  </w:style>
  <w:style w:type="paragraph" w:styleId="14">
    <w:name w:val="footer"/>
    <w:basedOn w:val="1"/>
    <w:link w:val="47"/>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3"/>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qFormat/>
    <w:uiPriority w:val="99"/>
    <w:pPr>
      <w:spacing w:before="100" w:beforeAutospacing="1" w:after="100" w:afterAutospacing="1"/>
      <w:jc w:val="left"/>
    </w:pPr>
    <w:rPr>
      <w:sz w:val="24"/>
      <w:lang w:bidi="ar"/>
    </w:rPr>
  </w:style>
  <w:style w:type="paragraph" w:styleId="18">
    <w:name w:val="Body Text First Indent"/>
    <w:basedOn w:val="12"/>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character" w:customStyle="1" w:styleId="23">
    <w:name w:val="标题 1 字符"/>
    <w:basedOn w:val="20"/>
    <w:link w:val="3"/>
    <w:qFormat/>
    <w:uiPriority w:val="9"/>
    <w:rPr>
      <w:rFonts w:asciiTheme="majorHAnsi" w:hAnsiTheme="majorHAnsi" w:eastAsiaTheme="majorEastAsia"/>
      <w:b/>
      <w:bCs/>
      <w:kern w:val="32"/>
      <w:sz w:val="32"/>
      <w:szCs w:val="32"/>
    </w:rPr>
  </w:style>
  <w:style w:type="character" w:customStyle="1" w:styleId="24">
    <w:name w:val="标题 2 字符"/>
    <w:basedOn w:val="20"/>
    <w:link w:val="4"/>
    <w:semiHidden/>
    <w:qFormat/>
    <w:uiPriority w:val="9"/>
    <w:rPr>
      <w:rFonts w:asciiTheme="majorHAnsi" w:hAnsiTheme="majorHAnsi" w:eastAsiaTheme="majorEastAsia"/>
      <w:b/>
      <w:bCs/>
      <w:i/>
      <w:iCs/>
      <w:sz w:val="28"/>
      <w:szCs w:val="28"/>
    </w:rPr>
  </w:style>
  <w:style w:type="character" w:customStyle="1" w:styleId="25">
    <w:name w:val="标题 3 字符"/>
    <w:basedOn w:val="20"/>
    <w:link w:val="5"/>
    <w:semiHidden/>
    <w:qFormat/>
    <w:uiPriority w:val="9"/>
    <w:rPr>
      <w:rFonts w:asciiTheme="majorHAnsi" w:hAnsiTheme="majorHAnsi" w:eastAsiaTheme="majorEastAsia"/>
      <w:b/>
      <w:bCs/>
      <w:sz w:val="26"/>
      <w:szCs w:val="26"/>
    </w:rPr>
  </w:style>
  <w:style w:type="character" w:customStyle="1" w:styleId="26">
    <w:name w:val="标题 4 字符"/>
    <w:basedOn w:val="20"/>
    <w:link w:val="6"/>
    <w:semiHidden/>
    <w:qFormat/>
    <w:uiPriority w:val="9"/>
    <w:rPr>
      <w:b/>
      <w:bCs/>
      <w:sz w:val="28"/>
      <w:szCs w:val="28"/>
    </w:rPr>
  </w:style>
  <w:style w:type="character" w:customStyle="1" w:styleId="27">
    <w:name w:val="标题 5 字符"/>
    <w:basedOn w:val="20"/>
    <w:link w:val="7"/>
    <w:semiHidden/>
    <w:qFormat/>
    <w:uiPriority w:val="9"/>
    <w:rPr>
      <w:b/>
      <w:bCs/>
      <w:i/>
      <w:iCs/>
      <w:sz w:val="26"/>
      <w:szCs w:val="26"/>
    </w:rPr>
  </w:style>
  <w:style w:type="character" w:customStyle="1" w:styleId="28">
    <w:name w:val="标题 6 字符"/>
    <w:basedOn w:val="20"/>
    <w:link w:val="8"/>
    <w:semiHidden/>
    <w:qFormat/>
    <w:uiPriority w:val="9"/>
    <w:rPr>
      <w:b/>
      <w:bCs/>
    </w:rPr>
  </w:style>
  <w:style w:type="character" w:customStyle="1" w:styleId="29">
    <w:name w:val="标题 7 字符"/>
    <w:basedOn w:val="20"/>
    <w:link w:val="9"/>
    <w:semiHidden/>
    <w:qFormat/>
    <w:uiPriority w:val="9"/>
    <w:rPr>
      <w:sz w:val="24"/>
      <w:szCs w:val="24"/>
    </w:rPr>
  </w:style>
  <w:style w:type="character" w:customStyle="1" w:styleId="30">
    <w:name w:val="标题 8 字符"/>
    <w:basedOn w:val="20"/>
    <w:link w:val="10"/>
    <w:semiHidden/>
    <w:qFormat/>
    <w:uiPriority w:val="9"/>
    <w:rPr>
      <w:i/>
      <w:iCs/>
      <w:sz w:val="24"/>
      <w:szCs w:val="24"/>
    </w:rPr>
  </w:style>
  <w:style w:type="character" w:customStyle="1" w:styleId="31">
    <w:name w:val="标题 9 字符"/>
    <w:basedOn w:val="20"/>
    <w:link w:val="11"/>
    <w:semiHidden/>
    <w:qFormat/>
    <w:uiPriority w:val="9"/>
    <w:rPr>
      <w:rFonts w:asciiTheme="majorHAnsi" w:hAnsiTheme="majorHAnsi" w:eastAsiaTheme="majorEastAsia"/>
    </w:rPr>
  </w:style>
  <w:style w:type="character" w:customStyle="1" w:styleId="32">
    <w:name w:val="标题 字符"/>
    <w:basedOn w:val="20"/>
    <w:link w:val="2"/>
    <w:qFormat/>
    <w:uiPriority w:val="10"/>
    <w:rPr>
      <w:rFonts w:asciiTheme="majorHAnsi" w:hAnsiTheme="majorHAnsi" w:eastAsiaTheme="majorEastAsia"/>
      <w:b/>
      <w:bCs/>
      <w:kern w:val="28"/>
      <w:sz w:val="32"/>
      <w:szCs w:val="32"/>
    </w:rPr>
  </w:style>
  <w:style w:type="character" w:customStyle="1" w:styleId="33">
    <w:name w:val="副标题 字符"/>
    <w:basedOn w:val="20"/>
    <w:link w:val="16"/>
    <w:qFormat/>
    <w:uiPriority w:val="11"/>
    <w:rPr>
      <w:rFonts w:asciiTheme="majorHAnsi" w:hAnsiTheme="majorHAnsi" w:eastAsiaTheme="majorEastAsia"/>
      <w:sz w:val="24"/>
      <w:szCs w:val="24"/>
    </w:rPr>
  </w:style>
  <w:style w:type="paragraph" w:styleId="34">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5">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6">
    <w:name w:val="Quote"/>
    <w:basedOn w:val="1"/>
    <w:next w:val="1"/>
    <w:link w:val="37"/>
    <w:qFormat/>
    <w:uiPriority w:val="29"/>
    <w:pPr>
      <w:widowControl/>
      <w:jc w:val="left"/>
    </w:pPr>
    <w:rPr>
      <w:rFonts w:asciiTheme="minorHAnsi" w:hAnsiTheme="minorHAnsi" w:eastAsiaTheme="minorEastAsia"/>
      <w:i/>
      <w:kern w:val="0"/>
      <w:sz w:val="24"/>
    </w:rPr>
  </w:style>
  <w:style w:type="character" w:customStyle="1" w:styleId="37">
    <w:name w:val="引用 字符"/>
    <w:basedOn w:val="20"/>
    <w:link w:val="36"/>
    <w:qFormat/>
    <w:uiPriority w:val="29"/>
    <w:rPr>
      <w:i/>
      <w:sz w:val="24"/>
      <w:szCs w:val="24"/>
    </w:rPr>
  </w:style>
  <w:style w:type="paragraph" w:styleId="38">
    <w:name w:val="Intense Quote"/>
    <w:basedOn w:val="1"/>
    <w:next w:val="1"/>
    <w:link w:val="39"/>
    <w:qFormat/>
    <w:uiPriority w:val="30"/>
    <w:pPr>
      <w:widowControl/>
      <w:ind w:left="720" w:right="720"/>
      <w:jc w:val="left"/>
    </w:pPr>
    <w:rPr>
      <w:rFonts w:asciiTheme="minorHAnsi" w:hAnsiTheme="minorHAnsi" w:eastAsiaTheme="minorEastAsia"/>
      <w:b/>
      <w:i/>
      <w:kern w:val="0"/>
      <w:sz w:val="24"/>
      <w:szCs w:val="22"/>
    </w:rPr>
  </w:style>
  <w:style w:type="character" w:customStyle="1" w:styleId="39">
    <w:name w:val="明显引用 字符"/>
    <w:basedOn w:val="20"/>
    <w:link w:val="38"/>
    <w:qFormat/>
    <w:uiPriority w:val="30"/>
    <w:rPr>
      <w:b/>
      <w:i/>
      <w:sz w:val="24"/>
    </w:rPr>
  </w:style>
  <w:style w:type="character" w:customStyle="1" w:styleId="40">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1">
    <w:name w:val="明显强调1"/>
    <w:basedOn w:val="20"/>
    <w:qFormat/>
    <w:uiPriority w:val="21"/>
    <w:rPr>
      <w:b/>
      <w:i/>
      <w:sz w:val="24"/>
      <w:szCs w:val="24"/>
      <w:u w:val="single"/>
    </w:rPr>
  </w:style>
  <w:style w:type="character" w:customStyle="1" w:styleId="42">
    <w:name w:val="不明显参考1"/>
    <w:basedOn w:val="20"/>
    <w:qFormat/>
    <w:uiPriority w:val="31"/>
    <w:rPr>
      <w:sz w:val="24"/>
      <w:szCs w:val="24"/>
      <w:u w:val="single"/>
    </w:rPr>
  </w:style>
  <w:style w:type="character" w:customStyle="1" w:styleId="43">
    <w:name w:val="明显参考1"/>
    <w:basedOn w:val="20"/>
    <w:qFormat/>
    <w:uiPriority w:val="32"/>
    <w:rPr>
      <w:b/>
      <w:sz w:val="24"/>
      <w:u w:val="single"/>
    </w:rPr>
  </w:style>
  <w:style w:type="character" w:customStyle="1" w:styleId="44">
    <w:name w:val="书籍标题1"/>
    <w:basedOn w:val="20"/>
    <w:qFormat/>
    <w:uiPriority w:val="33"/>
    <w:rPr>
      <w:rFonts w:asciiTheme="majorHAnsi" w:hAnsiTheme="majorHAnsi" w:eastAsiaTheme="majorEastAsia"/>
      <w:b/>
      <w:i/>
      <w:sz w:val="24"/>
      <w:szCs w:val="24"/>
    </w:rPr>
  </w:style>
  <w:style w:type="paragraph" w:customStyle="1" w:styleId="45">
    <w:name w:val="TOC 标题1"/>
    <w:basedOn w:val="3"/>
    <w:next w:val="1"/>
    <w:semiHidden/>
    <w:unhideWhenUsed/>
    <w:qFormat/>
    <w:uiPriority w:val="39"/>
    <w:pPr>
      <w:outlineLvl w:val="9"/>
    </w:pPr>
    <w:rPr>
      <w:lang w:eastAsia="en-US" w:bidi="en-US"/>
    </w:rPr>
  </w:style>
  <w:style w:type="character" w:customStyle="1" w:styleId="46">
    <w:name w:val="页眉 字符"/>
    <w:basedOn w:val="20"/>
    <w:link w:val="15"/>
    <w:qFormat/>
    <w:uiPriority w:val="99"/>
    <w:rPr>
      <w:rFonts w:ascii="Calibri" w:hAnsi="Calibri" w:eastAsia="宋体"/>
      <w:kern w:val="2"/>
      <w:sz w:val="18"/>
      <w:szCs w:val="18"/>
    </w:rPr>
  </w:style>
  <w:style w:type="character" w:customStyle="1" w:styleId="47">
    <w:name w:val="页脚 字符"/>
    <w:basedOn w:val="20"/>
    <w:link w:val="14"/>
    <w:qFormat/>
    <w:uiPriority w:val="99"/>
    <w:rPr>
      <w:rFonts w:ascii="Calibri" w:hAnsi="Calibri" w:eastAsia="宋体"/>
      <w:kern w:val="2"/>
      <w:sz w:val="18"/>
      <w:szCs w:val="18"/>
    </w:rPr>
  </w:style>
  <w:style w:type="character" w:customStyle="1" w:styleId="48">
    <w:name w:val="批注框文本 字符"/>
    <w:basedOn w:val="20"/>
    <w:link w:val="13"/>
    <w:semiHidden/>
    <w:qFormat/>
    <w:uiPriority w:val="99"/>
    <w:rPr>
      <w:rFonts w:ascii="Times New Roman" w:hAnsi="Times New Roman" w:eastAsia="宋体"/>
      <w:kern w:val="2"/>
      <w:sz w:val="18"/>
      <w:szCs w:val="18"/>
    </w:rPr>
  </w:style>
  <w:style w:type="paragraph" w:customStyle="1" w:styleId="49">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0">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7582</Words>
  <Characters>8006</Characters>
  <Lines>63</Lines>
  <Paragraphs>17</Paragraphs>
  <TotalTime>2</TotalTime>
  <ScaleCrop>false</ScaleCrop>
  <LinksUpToDate>false</LinksUpToDate>
  <CharactersWithSpaces>8053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周而</cp:lastModifiedBy>
  <cp:lastPrinted>2019-12-31T08:02:00Z</cp:lastPrinted>
  <dcterms:modified xsi:type="dcterms:W3CDTF">2026-03-30T10:33:56Z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F68581632A5041B6A04E4DAD9ED4B7DE</vt:lpwstr>
  </property>
  <property fmtid="{D5CDD505-2E9C-101B-9397-08002B2CF9AE}" pid="4" name="KSOSaveFontToCloudKey">
    <vt:lpwstr>728097718_cloud</vt:lpwstr>
  </property>
  <property fmtid="{D5CDD505-2E9C-101B-9397-08002B2CF9AE}" pid="5" name="KSOTemplateDocerSaveRecord">
    <vt:lpwstr>eyJoZGlkIjoiN2VjMGM4YTNmZTY1NDFjMWFjNmVmZmU0NDA2ZTk0ZmMiLCJ1c2VySWQiOiI4NjI1NDMxNDkifQ==</vt:lpwstr>
  </property>
</Properties>
</file>