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eastAsia"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简体" w:hAnsi="方正小标宋简体" w:eastAsia="方正小标宋简体" w:cs="方正小标宋简体"/>
          <w:b/>
          <w:kern w:val="0"/>
          <w:sz w:val="52"/>
          <w:szCs w:val="52"/>
        </w:rPr>
      </w:pPr>
    </w:p>
    <w:p>
      <w:pPr>
        <w:spacing w:line="540" w:lineRule="exact"/>
        <w:jc w:val="center"/>
        <w:rPr>
          <w:rFonts w:hint="eastAsia" w:ascii="方正小标宋简体" w:hAnsi="方正小标宋简体" w:eastAsia="方正小标宋简体" w:cs="方正小标宋简体"/>
          <w:kern w:val="0"/>
          <w:sz w:val="48"/>
          <w:szCs w:val="48"/>
        </w:rPr>
      </w:pPr>
      <w:r>
        <w:rPr>
          <w:rFonts w:hint="eastAsia" w:ascii="方正小标宋简体" w:hAnsi="方正小标宋简体" w:eastAsia="方正小标宋简体" w:cs="方正小标宋简体"/>
          <w:kern w:val="0"/>
          <w:sz w:val="48"/>
          <w:szCs w:val="48"/>
        </w:rPr>
        <w:t>办案和专业技术用房主体及附属设施</w:t>
      </w:r>
      <w:r>
        <w:rPr>
          <w:rFonts w:hint="eastAsia" w:ascii="方正小标宋简体" w:hAnsi="方正小标宋简体" w:eastAsia="方正小标宋简体" w:cs="方正小标宋简体"/>
          <w:kern w:val="0"/>
          <w:sz w:val="48"/>
          <w:szCs w:val="48"/>
          <w:lang w:eastAsia="zh-CN"/>
        </w:rPr>
        <w:t>建设</w:t>
      </w:r>
      <w:r>
        <w:rPr>
          <w:rFonts w:hint="eastAsia" w:ascii="方正小标宋简体" w:hAnsi="方正小标宋简体" w:eastAsia="方正小标宋简体" w:cs="方正小标宋简体"/>
          <w:kern w:val="0"/>
          <w:sz w:val="48"/>
          <w:szCs w:val="48"/>
        </w:rPr>
        <w:t>资金项目支出绩效评价报告</w:t>
      </w: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 2020年度）</w:t>
      </w:r>
    </w:p>
    <w:p>
      <w:pPr>
        <w:spacing w:line="540" w:lineRule="exact"/>
        <w:jc w:val="center"/>
        <w:rPr>
          <w:rFonts w:hint="eastAsia" w:ascii="仿宋_GB2312" w:hAnsi="仿宋_GB2312" w:eastAsia="仿宋_GB2312" w:cs="仿宋_GB2312"/>
          <w:kern w:val="0"/>
          <w:sz w:val="30"/>
          <w:szCs w:val="30"/>
        </w:rPr>
      </w:pPr>
    </w:p>
    <w:p>
      <w:pPr>
        <w:spacing w:line="540" w:lineRule="exact"/>
        <w:jc w:val="center"/>
        <w:rPr>
          <w:rFonts w:hint="eastAsia" w:ascii="仿宋_GB2312" w:hAnsi="仿宋_GB2312" w:eastAsia="仿宋_GB2312" w:cs="仿宋_GB2312"/>
          <w:kern w:val="0"/>
          <w:sz w:val="30"/>
          <w:szCs w:val="30"/>
        </w:rPr>
      </w:pPr>
    </w:p>
    <w:p>
      <w:pPr>
        <w:spacing w:line="540" w:lineRule="exact"/>
        <w:jc w:val="center"/>
        <w:rPr>
          <w:rFonts w:hint="eastAsia" w:ascii="仿宋_GB2312" w:hAnsi="仿宋_GB2312" w:eastAsia="仿宋_GB2312" w:cs="仿宋_GB2312"/>
          <w:kern w:val="0"/>
          <w:sz w:val="30"/>
          <w:szCs w:val="30"/>
        </w:rPr>
      </w:pPr>
    </w:p>
    <w:p>
      <w:pPr>
        <w:spacing w:line="540" w:lineRule="exact"/>
        <w:jc w:val="center"/>
        <w:rPr>
          <w:rFonts w:hint="eastAsia" w:ascii="仿宋_GB2312" w:hAnsi="仿宋_GB2312" w:eastAsia="仿宋_GB2312" w:cs="仿宋_GB2312"/>
          <w:kern w:val="0"/>
          <w:sz w:val="30"/>
          <w:szCs w:val="30"/>
        </w:rPr>
      </w:pPr>
    </w:p>
    <w:p>
      <w:pPr>
        <w:spacing w:line="540" w:lineRule="exact"/>
        <w:rPr>
          <w:rFonts w:hint="eastAsia" w:ascii="仿宋_GB2312" w:hAnsi="仿宋_GB2312" w:eastAsia="仿宋_GB2312" w:cs="仿宋_GB2312"/>
          <w:kern w:val="0"/>
          <w:sz w:val="30"/>
          <w:szCs w:val="30"/>
        </w:rPr>
      </w:pPr>
    </w:p>
    <w:p>
      <w:pPr>
        <w:spacing w:line="700" w:lineRule="exact"/>
        <w:ind w:firstLine="720" w:firstLineChars="200"/>
        <w:jc w:val="center"/>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lang w:val="en-US" w:eastAsia="zh-CN"/>
        </w:rPr>
        <w:t xml:space="preserve">      </w:t>
      </w:r>
      <w:r>
        <w:rPr>
          <w:rFonts w:hint="eastAsia" w:ascii="仿宋_GB2312" w:hAnsi="仿宋_GB2312" w:eastAsia="仿宋_GB2312" w:cs="仿宋_GB2312"/>
          <w:kern w:val="0"/>
          <w:sz w:val="36"/>
          <w:szCs w:val="36"/>
        </w:rPr>
        <w:t>项目名称：办案和专业技术用房主体及附属设施建设</w:t>
      </w:r>
    </w:p>
    <w:p>
      <w:pPr>
        <w:spacing w:line="700" w:lineRule="exact"/>
        <w:ind w:firstLine="720" w:firstLineChars="200"/>
        <w:jc w:val="center"/>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lang w:val="en-US" w:eastAsia="zh-CN"/>
        </w:rPr>
        <w:t xml:space="preserve">  </w:t>
      </w:r>
      <w:r>
        <w:rPr>
          <w:rFonts w:hint="eastAsia" w:ascii="仿宋_GB2312" w:hAnsi="仿宋_GB2312" w:eastAsia="仿宋_GB2312" w:cs="仿宋_GB2312"/>
          <w:kern w:val="0"/>
          <w:sz w:val="36"/>
          <w:szCs w:val="36"/>
        </w:rPr>
        <w:t>实施单位（公章）：塔城地区检察分院</w:t>
      </w:r>
    </w:p>
    <w:p>
      <w:pPr>
        <w:spacing w:line="700" w:lineRule="exact"/>
        <w:ind w:firstLine="1800" w:firstLineChars="500"/>
        <w:jc w:val="both"/>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项目负责人（签章）：李志华</w:t>
      </w:r>
    </w:p>
    <w:p>
      <w:pPr>
        <w:spacing w:line="700" w:lineRule="exact"/>
        <w:ind w:firstLine="1800" w:firstLineChars="500"/>
        <w:jc w:val="both"/>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填报时间：2021年4月1日</w:t>
      </w:r>
    </w:p>
    <w:p>
      <w:pPr>
        <w:spacing w:line="540" w:lineRule="exact"/>
        <w:jc w:val="center"/>
        <w:rPr>
          <w:rFonts w:hAnsi="宋体" w:eastAsia="仿宋_GB2312" w:cs="宋体"/>
          <w:kern w:val="0"/>
          <w:sz w:val="30"/>
          <w:szCs w:val="30"/>
        </w:rPr>
      </w:pPr>
    </w:p>
    <w:p>
      <w:pPr>
        <w:spacing w:line="540" w:lineRule="exact"/>
        <w:jc w:val="center"/>
        <w:rPr>
          <w:rStyle w:val="21"/>
          <w:rFonts w:ascii="黑体" w:hAnsi="黑体" w:eastAsia="黑体"/>
          <w:b w:val="0"/>
          <w:spacing w:val="-4"/>
          <w:sz w:val="32"/>
          <w:szCs w:val="32"/>
        </w:rPr>
      </w:pPr>
    </w:p>
    <w:p>
      <w:pPr>
        <w:spacing w:line="540" w:lineRule="exact"/>
        <w:ind w:firstLine="640"/>
        <w:rPr>
          <w:rStyle w:val="21"/>
          <w:rFonts w:ascii="黑体" w:hAnsi="黑体" w:eastAsia="黑体"/>
          <w:b w:val="0"/>
          <w:spacing w:val="-4"/>
          <w:sz w:val="32"/>
          <w:szCs w:val="32"/>
        </w:rPr>
      </w:pPr>
    </w:p>
    <w:p>
      <w:pPr>
        <w:spacing w:line="540" w:lineRule="exact"/>
        <w:rPr>
          <w:rStyle w:val="21"/>
          <w:rFonts w:ascii="黑体" w:hAnsi="黑体" w:eastAsia="黑体"/>
          <w:b w:val="0"/>
          <w:spacing w:val="-4"/>
          <w:sz w:val="32"/>
          <w:szCs w:val="32"/>
        </w:rPr>
      </w:pPr>
    </w:p>
    <w:p>
      <w:pPr>
        <w:pageBreakBefore w:val="0"/>
        <w:kinsoku/>
        <w:wordWrap/>
        <w:overflowPunct/>
        <w:topLinePunct w:val="0"/>
        <w:autoSpaceDE/>
        <w:autoSpaceDN/>
        <w:bidi w:val="0"/>
        <w:adjustRightInd/>
        <w:snapToGrid/>
        <w:spacing w:line="560" w:lineRule="exact"/>
        <w:ind w:firstLine="643" w:firstLineChars="200"/>
        <w:textAlignment w:val="auto"/>
        <w:rPr>
          <w:rFonts w:ascii="黑体" w:hAnsi="黑体" w:eastAsia="黑体" w:cs="黑体"/>
          <w:b/>
          <w:bCs w:val="0"/>
          <w:sz w:val="32"/>
          <w:szCs w:val="32"/>
        </w:rPr>
      </w:pPr>
      <w:r>
        <w:rPr>
          <w:rFonts w:hint="eastAsia" w:ascii="黑体" w:hAnsi="黑体" w:eastAsia="黑体" w:cs="黑体"/>
          <w:b/>
          <w:bCs w:val="0"/>
          <w:sz w:val="32"/>
          <w:szCs w:val="32"/>
        </w:rPr>
        <w:t>一、基本情况</w:t>
      </w:r>
    </w:p>
    <w:p>
      <w:pPr>
        <w:pageBreakBefore w:val="0"/>
        <w:kinsoku/>
        <w:wordWrap/>
        <w:overflowPunct/>
        <w:topLinePunct w:val="0"/>
        <w:autoSpaceDE/>
        <w:autoSpaceDN/>
        <w:bidi w:val="0"/>
        <w:adjustRightInd/>
        <w:snapToGrid/>
        <w:spacing w:line="560" w:lineRule="exac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1、项目背景</w:t>
      </w:r>
    </w:p>
    <w:p>
      <w:pPr>
        <w:pageBreakBefore w:val="0"/>
        <w:kinsoku/>
        <w:wordWrap/>
        <w:overflowPunct/>
        <w:topLinePunct w:val="0"/>
        <w:autoSpaceDE/>
        <w:autoSpaceDN/>
        <w:bidi w:val="0"/>
        <w:adjustRightInd/>
        <w:snapToGrid/>
        <w:spacing w:line="560" w:lineRule="exac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因原办公</w:t>
      </w:r>
      <w:r>
        <w:rPr>
          <w:rFonts w:hint="eastAsia" w:ascii="仿宋_GB2312" w:hAnsi="仿宋_GB2312" w:eastAsia="仿宋_GB2312" w:cs="仿宋_GB2312"/>
          <w:sz w:val="32"/>
          <w:szCs w:val="32"/>
          <w:lang w:eastAsia="zh-CN"/>
        </w:rPr>
        <w:t>场所</w:t>
      </w:r>
      <w:r>
        <w:rPr>
          <w:rFonts w:hint="eastAsia" w:ascii="仿宋_GB2312" w:hAnsi="仿宋_GB2312" w:eastAsia="仿宋_GB2312" w:cs="仿宋_GB2312"/>
          <w:sz w:val="32"/>
          <w:szCs w:val="32"/>
        </w:rPr>
        <w:t>面积狭小，功能严重不足，院落拥挤，附属设施零乱以及设计不合理，存在多处隐患的尴尬局面，为解决办案工作规范标准实施，技侦工作不受条件制约，信息化建设能够按规范标准实施，科技强检得以落实。在上级检察机关和地委、行署的关心领导下，根据《人民检察院办案用房和专业技术用房建设标准》、《新疆维吾尔自治区检察院行政设施建设草案》、国家发改委和建设部《建设项目经济评价方法和参数》等相关文件依据，经发改委立项，主体于2012年开工建设，其附属设施建设于2017年进行开工建设。</w:t>
      </w:r>
    </w:p>
    <w:p>
      <w:pPr>
        <w:pageBreakBefore w:val="0"/>
        <w:kinsoku/>
        <w:wordWrap/>
        <w:overflowPunct/>
        <w:topLinePunct w:val="0"/>
        <w:autoSpaceDE/>
        <w:autoSpaceDN/>
        <w:bidi w:val="0"/>
        <w:adjustRightInd/>
        <w:snapToGrid/>
        <w:spacing w:line="560" w:lineRule="exact"/>
        <w:ind w:firstLine="581"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项目主要内容</w:t>
      </w:r>
      <w:r>
        <w:rPr>
          <w:rFonts w:hint="eastAsia" w:ascii="仿宋_GB2312" w:hAnsi="仿宋_GB2312" w:eastAsia="仿宋_GB2312" w:cs="仿宋_GB2312"/>
          <w:sz w:val="32"/>
          <w:szCs w:val="32"/>
        </w:rPr>
        <w:t>：办案及专业技术用房主体及附属设施建设为基本建设类项目，主要是为了满足单位日常工作运行需要，更好的履行职能，改善了单位干警办公办案条件和质量，而进行的基础设施建设，主体工程于2012年开工建设，附属设施于2017年开工建设，附属设施建设主要是室外围栏增加部分建设、围栏外硬化工程建设、配套附属设施建设、办案区及控申举报中心建设、配电工程建设。办案及专业技术用房附属主体及附属设施建设项目于2017年9月2017年未完成竣工验收，并送财政投资评审部门进行工程结算，于2018年12月财政投资评审中心完成评审决算。现因消防上还未达标，正在进行整改</w:t>
      </w:r>
    </w:p>
    <w:p>
      <w:pPr>
        <w:pageBreakBefore w:val="0"/>
        <w:kinsoku/>
        <w:wordWrap/>
        <w:overflowPunct/>
        <w:topLinePunct w:val="0"/>
        <w:autoSpaceDE/>
        <w:autoSpaceDN/>
        <w:bidi w:val="0"/>
        <w:adjustRightInd/>
        <w:snapToGrid/>
        <w:spacing w:line="560" w:lineRule="exac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本项目总投资249.64万元，其中：财政本级资金249.64万元。项目实际支出249.60万元， 支出率为99.99%。</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3、资金投入和使用情况</w:t>
      </w:r>
    </w:p>
    <w:p>
      <w:pPr>
        <w:pageBreakBefore w:val="0"/>
        <w:kinsoku/>
        <w:wordWrap/>
        <w:overflowPunct/>
        <w:topLinePunct w:val="0"/>
        <w:autoSpaceDE/>
        <w:autoSpaceDN/>
        <w:bidi w:val="0"/>
        <w:adjustRightInd/>
        <w:snapToGrid/>
        <w:spacing w:line="560" w:lineRule="exac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（1）资金安排</w:t>
      </w:r>
    </w:p>
    <w:p>
      <w:pPr>
        <w:pageBreakBefore w:val="0"/>
        <w:kinsoku/>
        <w:wordWrap/>
        <w:overflowPunct/>
        <w:topLinePunct w:val="0"/>
        <w:autoSpaceDE/>
        <w:autoSpaceDN/>
        <w:bidi w:val="0"/>
        <w:adjustRightInd/>
        <w:snapToGrid/>
        <w:spacing w:line="560" w:lineRule="exac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项目总投资249.64万元，都为本级财力安排资金，用于支付办案和专业技术用房及附属设施建设工程款，资金支付率100%，项目资金管理方面严格按基建资金使用要求进行审批支付，确保资金使用规范。</w:t>
      </w:r>
    </w:p>
    <w:p>
      <w:pPr>
        <w:pageBreakBefore w:val="0"/>
        <w:kinsoku/>
        <w:wordWrap/>
        <w:overflowPunct/>
        <w:topLinePunct w:val="0"/>
        <w:autoSpaceDE/>
        <w:autoSpaceDN/>
        <w:bidi w:val="0"/>
        <w:adjustRightInd/>
        <w:snapToGrid/>
        <w:spacing w:line="560" w:lineRule="exac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（2）预算资金来源及使用情况</w:t>
      </w:r>
      <w:bookmarkStart w:id="0" w:name="page10"/>
      <w:bookmarkEnd w:id="0"/>
    </w:p>
    <w:p>
      <w:pPr>
        <w:pageBreakBefore w:val="0"/>
        <w:kinsoku/>
        <w:wordWrap/>
        <w:overflowPunct/>
        <w:topLinePunct w:val="0"/>
        <w:autoSpaceDE/>
        <w:autoSpaceDN/>
        <w:bidi w:val="0"/>
        <w:adjustRightInd/>
        <w:snapToGrid/>
        <w:spacing w:line="560" w:lineRule="exac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项目预算资金来源于塔地财预[2020]0509号文件中批复的资金，项目资金到位249.64万元，用于支付项目“两房”建设工程款。</w:t>
      </w:r>
      <w:r>
        <w:rPr>
          <w:rFonts w:hint="eastAsia" w:ascii="仿宋_GB2312" w:hAnsi="仿宋_GB2312" w:eastAsia="仿宋_GB2312" w:cs="仿宋_GB2312"/>
          <w:sz w:val="32"/>
          <w:szCs w:val="32"/>
          <w:lang w:eastAsia="zh-CN"/>
        </w:rPr>
        <w:t>截至</w:t>
      </w:r>
      <w:r>
        <w:rPr>
          <w:rFonts w:hint="eastAsia" w:ascii="仿宋_GB2312" w:hAnsi="仿宋_GB2312" w:eastAsia="仿宋_GB2312" w:cs="仿宋_GB2312"/>
          <w:sz w:val="32"/>
          <w:szCs w:val="32"/>
        </w:rPr>
        <w:t>2020年12月31日资金使用了249.60万元，资金使用率为99.99%。</w:t>
      </w:r>
    </w:p>
    <w:p>
      <w:pPr>
        <w:pageBreakBefore w:val="0"/>
        <w:kinsoku/>
        <w:wordWrap/>
        <w:overflowPunct/>
        <w:topLinePunct w:val="0"/>
        <w:autoSpaceDE/>
        <w:autoSpaceDN/>
        <w:bidi w:val="0"/>
        <w:adjustRightInd/>
        <w:snapToGrid/>
        <w:spacing w:line="560" w:lineRule="exact"/>
        <w:ind w:firstLine="581" w:firstLineChars="181"/>
        <w:textAlignment w:val="auto"/>
        <w:rPr>
          <w:rFonts w:hint="eastAsia" w:ascii="楷体" w:hAnsi="楷体" w:eastAsia="楷体" w:cs="楷体"/>
          <w:b/>
          <w:bCs/>
          <w:sz w:val="32"/>
          <w:szCs w:val="32"/>
        </w:rPr>
      </w:pPr>
      <w:r>
        <w:rPr>
          <w:rFonts w:hint="eastAsia" w:ascii="楷体" w:hAnsi="楷体" w:eastAsia="楷体" w:cs="楷体"/>
          <w:b/>
          <w:bCs/>
          <w:sz w:val="32"/>
          <w:szCs w:val="32"/>
        </w:rPr>
        <w:t>（二）项目绩效目标</w:t>
      </w:r>
    </w:p>
    <w:p>
      <w:pPr>
        <w:pageBreakBefore w:val="0"/>
        <w:kinsoku/>
        <w:wordWrap/>
        <w:overflowPunct/>
        <w:topLinePunct w:val="0"/>
        <w:autoSpaceDE/>
        <w:autoSpaceDN/>
        <w:bidi w:val="0"/>
        <w:adjustRightInd/>
        <w:snapToGrid/>
        <w:spacing w:line="560" w:lineRule="exact"/>
        <w:ind w:firstLine="581" w:firstLineChars="18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1、总体目标</w:t>
      </w:r>
    </w:p>
    <w:p>
      <w:pPr>
        <w:pageBreakBefore w:val="0"/>
        <w:kinsoku/>
        <w:wordWrap/>
        <w:overflowPunct/>
        <w:topLinePunct w:val="0"/>
        <w:autoSpaceDE/>
        <w:autoSpaceDN/>
        <w:bidi w:val="0"/>
        <w:adjustRightInd/>
        <w:snapToGrid/>
        <w:spacing w:line="560" w:lineRule="exac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切实从便于工作、便于办案、提高工作质量和效率出发，使我院办公办案环境有较大改善。</w:t>
      </w:r>
    </w:p>
    <w:p>
      <w:pPr>
        <w:pageBreakBefore w:val="0"/>
        <w:kinsoku/>
        <w:wordWrap/>
        <w:overflowPunct/>
        <w:topLinePunct w:val="0"/>
        <w:autoSpaceDE/>
        <w:autoSpaceDN/>
        <w:bidi w:val="0"/>
        <w:adjustRightInd/>
        <w:snapToGrid/>
        <w:spacing w:line="560" w:lineRule="exact"/>
        <w:ind w:firstLine="581" w:firstLineChars="18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2、阶段性目标</w:t>
      </w:r>
    </w:p>
    <w:p>
      <w:pPr>
        <w:pageBreakBefore w:val="0"/>
        <w:kinsoku/>
        <w:wordWrap/>
        <w:overflowPunct/>
        <w:topLinePunct w:val="0"/>
        <w:autoSpaceDE/>
        <w:autoSpaceDN/>
        <w:bidi w:val="0"/>
        <w:adjustRightInd/>
        <w:snapToGrid/>
        <w:spacing w:line="560" w:lineRule="exac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（1）前期准备：根据塔城地区检察分院办案和专业技术用房主体及附属设施建设决算书，严格按基建资金审批支付程序有序开展后续工程款支付工作。</w:t>
      </w:r>
    </w:p>
    <w:p>
      <w:pPr>
        <w:pageBreakBefore w:val="0"/>
        <w:kinsoku/>
        <w:wordWrap/>
        <w:overflowPunct/>
        <w:topLinePunct w:val="0"/>
        <w:autoSpaceDE/>
        <w:autoSpaceDN/>
        <w:bidi w:val="0"/>
        <w:adjustRightInd/>
        <w:snapToGrid/>
        <w:spacing w:line="560" w:lineRule="exac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（2）组织实施：资金一到位，立即</w:t>
      </w:r>
      <w:r>
        <w:rPr>
          <w:rFonts w:hint="eastAsia" w:ascii="仿宋_GB2312" w:hAnsi="仿宋_GB2312" w:eastAsia="仿宋_GB2312" w:cs="仿宋_GB2312"/>
          <w:sz w:val="32"/>
          <w:szCs w:val="32"/>
          <w:lang w:eastAsia="zh-CN"/>
        </w:rPr>
        <w:t>根据</w:t>
      </w:r>
      <w:r>
        <w:rPr>
          <w:rFonts w:hint="eastAsia" w:ascii="仿宋_GB2312" w:hAnsi="仿宋_GB2312" w:eastAsia="仿宋_GB2312" w:cs="仿宋_GB2312"/>
          <w:sz w:val="32"/>
          <w:szCs w:val="32"/>
        </w:rPr>
        <w:t>塔城地区检察分院办案和专业技术用房主体及附属设施建设决算书，按决算价款，及时将工程款结算到建设方。</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3" w:firstLineChars="200"/>
        <w:textAlignment w:val="auto"/>
        <w:rPr>
          <w:rFonts w:ascii="黑体" w:hAnsi="黑体" w:eastAsia="黑体"/>
          <w:b/>
          <w:bCs/>
          <w:sz w:val="32"/>
          <w:szCs w:val="32"/>
        </w:rPr>
      </w:pPr>
      <w:r>
        <w:rPr>
          <w:rFonts w:hint="eastAsia" w:ascii="黑体" w:hAnsi="黑体" w:eastAsia="黑体"/>
          <w:b/>
          <w:bCs/>
          <w:sz w:val="32"/>
          <w:szCs w:val="32"/>
        </w:rPr>
        <w:t>二、绩效评价工作开展情况</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3" w:firstLineChars="2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（一）绩效评价目的、对象和范围</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left="0" w:leftChars="0" w:right="0" w:rightChars="0" w:firstLine="711" w:firstLineChars="200"/>
        <w:jc w:val="both"/>
        <w:textAlignment w:val="auto"/>
        <w:outlineLvl w:val="9"/>
        <w:rPr>
          <w:rFonts w:ascii="仿宋_GB2312" w:hAnsi="仿宋_GB2312" w:eastAsia="仿宋_GB2312" w:cs="仿宋_GB2312"/>
          <w:b/>
          <w:bCs/>
          <w:color w:val="000000"/>
          <w:spacing w:val="17"/>
          <w:kern w:val="2"/>
        </w:rPr>
      </w:pPr>
      <w:r>
        <w:rPr>
          <w:rFonts w:hint="eastAsia" w:ascii="仿宋_GB2312" w:hAnsi="仿宋_GB2312" w:eastAsia="仿宋_GB2312" w:cs="仿宋_GB2312"/>
          <w:b/>
          <w:bCs/>
          <w:color w:val="000000"/>
          <w:spacing w:val="17"/>
          <w:kern w:val="2"/>
        </w:rPr>
        <w:t>1、绩效评价的目的</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开展财政支出项目绩效评价，了解了项目进展、资金使用和项目执行情况，是为了加强了我院办案和专业技术用房主体及附属设施建设工作开展情况，切实从便于工作、便于办案、提高工作质量和效率出发，使我院办公办案环境有较大改善。</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left="0" w:leftChars="0" w:right="0" w:rightChars="0" w:firstLine="711" w:firstLineChars="200"/>
        <w:jc w:val="both"/>
        <w:textAlignment w:val="auto"/>
        <w:outlineLvl w:val="9"/>
        <w:rPr>
          <w:rFonts w:ascii="仿宋_GB2312" w:hAnsi="仿宋_GB2312" w:eastAsia="仿宋_GB2312" w:cs="仿宋_GB2312"/>
          <w:b/>
          <w:bCs/>
          <w:color w:val="000000"/>
          <w:spacing w:val="17"/>
          <w:kern w:val="2"/>
        </w:rPr>
      </w:pPr>
      <w:r>
        <w:rPr>
          <w:rFonts w:hint="eastAsia" w:ascii="仿宋_GB2312" w:hAnsi="仿宋_GB2312" w:eastAsia="仿宋_GB2312" w:cs="仿宋_GB2312"/>
          <w:b/>
          <w:bCs/>
          <w:color w:val="000000"/>
          <w:spacing w:val="17"/>
          <w:kern w:val="2"/>
        </w:rPr>
        <w:t>2、绩效评价的对象</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708" w:firstLineChars="200"/>
        <w:textAlignment w:val="auto"/>
        <w:rPr>
          <w:rFonts w:hint="eastAsia" w:ascii="仿宋_GB2312" w:hAnsi="仿宋_GB2312" w:eastAsia="仿宋_GB2312" w:cs="仿宋_GB2312"/>
          <w:color w:val="000000"/>
          <w:spacing w:val="17"/>
          <w:sz w:val="32"/>
          <w:szCs w:val="32"/>
          <w:lang w:eastAsia="zh-CN"/>
        </w:rPr>
      </w:pPr>
      <w:r>
        <w:rPr>
          <w:rFonts w:hint="eastAsia" w:ascii="仿宋_GB2312" w:hAnsi="仿宋_GB2312" w:eastAsia="仿宋_GB2312" w:cs="仿宋_GB2312"/>
          <w:color w:val="000000"/>
          <w:spacing w:val="17"/>
          <w:sz w:val="32"/>
          <w:szCs w:val="32"/>
        </w:rPr>
        <w:t>绩效评价</w:t>
      </w:r>
      <w:r>
        <w:rPr>
          <w:rFonts w:hint="eastAsia" w:ascii="仿宋_GB2312" w:hAnsi="仿宋_GB2312" w:eastAsia="仿宋_GB2312" w:cs="仿宋_GB2312"/>
          <w:color w:val="000000"/>
          <w:spacing w:val="17"/>
          <w:sz w:val="32"/>
          <w:szCs w:val="32"/>
          <w:lang w:val="en-US" w:eastAsia="zh-CN"/>
        </w:rPr>
        <w:t>对象</w:t>
      </w:r>
      <w:r>
        <w:rPr>
          <w:rFonts w:hint="eastAsia" w:ascii="仿宋_GB2312" w:hAnsi="仿宋_GB2312" w:eastAsia="仿宋_GB2312" w:cs="仿宋_GB2312"/>
          <w:color w:val="000000"/>
          <w:spacing w:val="17"/>
          <w:sz w:val="32"/>
          <w:szCs w:val="32"/>
        </w:rPr>
        <w:t>为塔城地区检察分院办案用房和专业技术用房主体工程建设；塔城地区检察分院办案用房和专业技术用房</w:t>
      </w:r>
      <w:r>
        <w:rPr>
          <w:rFonts w:hint="eastAsia" w:ascii="仿宋_GB2312" w:hAnsi="仿宋_GB2312" w:eastAsia="仿宋_GB2312" w:cs="仿宋_GB2312"/>
          <w:color w:val="000000"/>
          <w:spacing w:val="17"/>
          <w:sz w:val="32"/>
          <w:szCs w:val="32"/>
          <w:lang w:eastAsia="zh-CN"/>
        </w:rPr>
        <w:t>－</w:t>
      </w:r>
      <w:r>
        <w:rPr>
          <w:rFonts w:hint="eastAsia" w:ascii="仿宋_GB2312" w:hAnsi="仿宋_GB2312" w:eastAsia="仿宋_GB2312" w:cs="仿宋_GB2312"/>
          <w:color w:val="000000"/>
          <w:spacing w:val="17"/>
          <w:sz w:val="32"/>
          <w:szCs w:val="32"/>
        </w:rPr>
        <w:t>室外围栏增加部分；塔城地区检察分院办案区及控申举报中心；塔城地区检察分院办案用房和专业技术用房室围栏外硬化工程；塔城地区检察分院办案用房和专业技术用房室配套附属设施建设；伊犁哈萨克自治州人民检察院塔城分院配电工程六个项目</w:t>
      </w:r>
      <w:r>
        <w:rPr>
          <w:rFonts w:hint="eastAsia" w:ascii="仿宋_GB2312" w:hAnsi="仿宋_GB2312" w:eastAsia="仿宋_GB2312" w:cs="仿宋_GB2312"/>
          <w:color w:val="000000"/>
          <w:spacing w:val="17"/>
          <w:sz w:val="32"/>
          <w:szCs w:val="32"/>
          <w:lang w:eastAsia="zh-CN"/>
        </w:rPr>
        <w:t>。</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left="0" w:leftChars="0" w:right="0" w:rightChars="0" w:firstLine="711" w:firstLineChars="200"/>
        <w:jc w:val="both"/>
        <w:textAlignment w:val="auto"/>
        <w:outlineLvl w:val="9"/>
        <w:rPr>
          <w:rFonts w:ascii="仿宋_GB2312" w:hAnsi="仿宋_GB2312" w:eastAsia="仿宋_GB2312" w:cs="仿宋_GB2312"/>
          <w:b/>
          <w:bCs/>
          <w:color w:val="000000"/>
          <w:spacing w:val="17"/>
          <w:kern w:val="2"/>
        </w:rPr>
      </w:pPr>
      <w:r>
        <w:rPr>
          <w:rFonts w:hint="eastAsia" w:ascii="仿宋_GB2312" w:hAnsi="仿宋_GB2312" w:eastAsia="仿宋_GB2312" w:cs="仿宋_GB2312"/>
          <w:b/>
          <w:bCs/>
          <w:color w:val="000000"/>
          <w:spacing w:val="17"/>
          <w:kern w:val="2"/>
        </w:rPr>
        <w:t>3、绩效评价的范围</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根据塔城地区检察分院办案和专业技术用房主体及附属设施建设决算书的决算价款，对建设项目的工程合格率、功能实现率、资金的及时率及干警满意度方面进行评价。</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3" w:firstLineChars="200"/>
        <w:textAlignment w:val="auto"/>
        <w:rPr>
          <w:rFonts w:ascii="仿宋_GB2312"/>
        </w:rPr>
      </w:pPr>
      <w:r>
        <w:rPr>
          <w:rFonts w:hint="eastAsia" w:ascii="楷体_GB2312" w:hAnsi="楷体_GB2312" w:eastAsia="楷体_GB2312" w:cs="楷体_GB2312"/>
          <w:b/>
          <w:bCs/>
          <w:sz w:val="32"/>
          <w:szCs w:val="32"/>
        </w:rPr>
        <w:t>（二）绩效评价原则、评价指标体系（详情见表1）、评价方法、评价标准。</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left="0" w:leftChars="0" w:right="0" w:rightChars="0" w:firstLine="643" w:firstLineChars="200"/>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1、绩效评价原则</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本次项目绩效评价遵循以下基本原则：</w:t>
      </w:r>
    </w:p>
    <w:p>
      <w:pPr>
        <w:pStyle w:val="2"/>
        <w:keepNext w:val="0"/>
        <w:keepLines w:val="0"/>
        <w:pageBreakBefore w:val="0"/>
        <w:kinsoku/>
        <w:wordWrap/>
        <w:overflowPunct/>
        <w:topLinePunct w:val="0"/>
        <w:autoSpaceDE/>
        <w:autoSpaceDN/>
        <w:bidi w:val="0"/>
        <w:adjustRightInd/>
        <w:snapToGrid/>
        <w:spacing w:before="0" w:after="0" w:line="560" w:lineRule="exact"/>
        <w:ind w:left="0" w:leftChars="0" w:right="0" w:rightChars="0" w:firstLine="640" w:firstLineChars="200"/>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（1）科学公正。绩效评价应当运用科学合理的方法，按照规范的程序，对项目绩效进行客观、公正的反映。</w:t>
      </w:r>
    </w:p>
    <w:p>
      <w:pPr>
        <w:pStyle w:val="2"/>
        <w:keepNext w:val="0"/>
        <w:keepLines w:val="0"/>
        <w:pageBreakBefore w:val="0"/>
        <w:kinsoku/>
        <w:wordWrap/>
        <w:overflowPunct/>
        <w:topLinePunct w:val="0"/>
        <w:autoSpaceDE/>
        <w:autoSpaceDN/>
        <w:bidi w:val="0"/>
        <w:adjustRightInd/>
        <w:snapToGrid/>
        <w:spacing w:before="0" w:after="0" w:line="560" w:lineRule="exact"/>
        <w:ind w:left="0" w:leftChars="0" w:right="0" w:rightChars="0" w:firstLine="640" w:firstLineChars="200"/>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keepNext w:val="0"/>
        <w:keepLines w:val="0"/>
        <w:pageBreakBefore w:val="0"/>
        <w:kinsoku/>
        <w:wordWrap/>
        <w:overflowPunct/>
        <w:topLinePunct w:val="0"/>
        <w:autoSpaceDE/>
        <w:autoSpaceDN/>
        <w:bidi w:val="0"/>
        <w:adjustRightInd/>
        <w:snapToGrid/>
        <w:spacing w:before="0" w:after="0" w:line="560" w:lineRule="exact"/>
        <w:ind w:left="0" w:leftChars="0" w:right="0" w:rightChars="0" w:firstLine="640" w:firstLineChars="200"/>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（3）激励约束。绩效评价结果应与预算安排、政策调整、改进管理实质性挂钩，体现奖优罚劣和激励相容导向，有效要安排、低效要压减、无效要问责。</w:t>
      </w:r>
    </w:p>
    <w:p>
      <w:pPr>
        <w:pStyle w:val="2"/>
        <w:keepNext w:val="0"/>
        <w:keepLines w:val="0"/>
        <w:pageBreakBefore w:val="0"/>
        <w:kinsoku/>
        <w:wordWrap/>
        <w:overflowPunct/>
        <w:topLinePunct w:val="0"/>
        <w:autoSpaceDE/>
        <w:autoSpaceDN/>
        <w:bidi w:val="0"/>
        <w:adjustRightInd/>
        <w:snapToGrid/>
        <w:spacing w:before="0" w:after="0" w:line="560" w:lineRule="exact"/>
        <w:ind w:left="0" w:leftChars="0" w:right="0" w:rightChars="0" w:firstLine="640" w:firstLineChars="200"/>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（4）公开透明。绩效评价结果应依法依规公开，并自觉接受社会监督。</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left="0" w:leftChars="0" w:right="0" w:rightChars="0" w:firstLine="643" w:firstLineChars="200"/>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2、评价指标体系</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708" w:firstLineChars="200"/>
        <w:textAlignment w:val="auto"/>
        <w:rPr>
          <w:rFonts w:ascii="宋体" w:hAnsi="宋体" w:cs="宋体"/>
          <w:color w:val="000000"/>
          <w:spacing w:val="17"/>
          <w:sz w:val="32"/>
          <w:szCs w:val="32"/>
        </w:rPr>
      </w:pPr>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w:t>
      </w:r>
      <w:r>
        <w:rPr>
          <w:rFonts w:hint="eastAsia" w:ascii="仿宋_GB2312" w:hAnsi="仿宋_GB2312" w:eastAsia="仿宋_GB2312" w:cs="仿宋_GB2312"/>
          <w:color w:val="000000"/>
          <w:spacing w:val="17"/>
          <w:sz w:val="32"/>
          <w:szCs w:val="32"/>
          <w:lang w:val="en-US" w:eastAsia="zh-CN"/>
        </w:rPr>
        <w:t>决策</w:t>
      </w:r>
      <w:r>
        <w:rPr>
          <w:rFonts w:hint="eastAsia" w:ascii="仿宋_GB2312" w:hAnsi="仿宋_GB2312" w:eastAsia="仿宋_GB2312" w:cs="仿宋_GB2312"/>
          <w:color w:val="000000"/>
          <w:spacing w:val="17"/>
          <w:sz w:val="32"/>
          <w:szCs w:val="32"/>
        </w:rPr>
        <w:t>、项目产出、项目效益、项目</w:t>
      </w:r>
      <w:r>
        <w:rPr>
          <w:rFonts w:hint="eastAsia" w:ascii="仿宋_GB2312" w:hAnsi="仿宋_GB2312" w:eastAsia="仿宋_GB2312" w:cs="仿宋_GB2312"/>
          <w:color w:val="000000"/>
          <w:spacing w:val="17"/>
          <w:sz w:val="32"/>
          <w:szCs w:val="32"/>
          <w:lang w:val="en-US" w:eastAsia="zh-CN"/>
        </w:rPr>
        <w:t>过程</w:t>
      </w:r>
      <w:r>
        <w:rPr>
          <w:rFonts w:hint="eastAsia" w:ascii="仿宋_GB2312" w:hAnsi="仿宋_GB2312" w:eastAsia="仿宋_GB2312" w:cs="仿宋_GB2312"/>
          <w:color w:val="000000"/>
          <w:spacing w:val="17"/>
          <w:sz w:val="32"/>
          <w:szCs w:val="32"/>
        </w:rPr>
        <w:t>指标四个维度，最终形成一个由多个相互联系的指标组成的多层次指标体系。</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确定各个指标相对于项目总体绩效的权重分值。在绩效评价指标体系中，项目决策权重占5分，项目过程权重占5分，项目产出权重值占50分，项目效益权重值占40分。</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keepNext w:val="0"/>
        <w:keepLines w:val="0"/>
        <w:pageBreakBefore w:val="0"/>
        <w:kinsoku/>
        <w:wordWrap/>
        <w:overflowPunct/>
        <w:topLinePunct w:val="0"/>
        <w:autoSpaceDE/>
        <w:autoSpaceDN/>
        <w:bidi w:val="0"/>
        <w:adjustRightInd/>
        <w:snapToGrid/>
        <w:spacing w:before="0" w:after="0" w:line="560" w:lineRule="exact"/>
        <w:ind w:left="0" w:leftChars="0" w:right="0" w:rightChars="0" w:firstLine="708" w:firstLineChars="200"/>
        <w:jc w:val="both"/>
        <w:textAlignment w:val="auto"/>
        <w:rPr>
          <w:rFonts w:ascii="仿宋_GB2312" w:hAnsi="仿宋_GB2312" w:eastAsia="仿宋_GB2312" w:cs="仿宋_GB2312"/>
          <w:b w:val="0"/>
          <w:bCs w:val="0"/>
          <w:color w:val="000000"/>
          <w:spacing w:val="17"/>
          <w:kern w:val="2"/>
        </w:rPr>
      </w:pPr>
      <w:r>
        <w:rPr>
          <w:rFonts w:hint="eastAsia" w:ascii="仿宋_GB2312" w:hAnsi="仿宋_GB2312" w:eastAsia="仿宋_GB2312" w:cs="仿宋_GB2312"/>
          <w:b w:val="0"/>
          <w:bCs w:val="0"/>
          <w:color w:val="000000"/>
          <w:spacing w:val="17"/>
          <w:kern w:val="2"/>
        </w:rPr>
        <w:t>绩效评价总分值100分，根据综合评分结果，评价计分90分</w:t>
      </w:r>
      <w:r>
        <w:rPr>
          <w:rFonts w:hint="eastAsia" w:ascii="仿宋_GB2312" w:hAnsi="仿宋_GB2312" w:eastAsia="仿宋_GB2312" w:cs="仿宋_GB2312"/>
          <w:b w:val="0"/>
          <w:bCs w:val="0"/>
          <w:color w:val="000000"/>
          <w:spacing w:val="17"/>
          <w:kern w:val="2"/>
          <w:lang w:eastAsia="zh-CN"/>
        </w:rPr>
        <w:t>－</w:t>
      </w:r>
      <w:r>
        <w:rPr>
          <w:rFonts w:hint="eastAsia" w:ascii="仿宋_GB2312" w:hAnsi="仿宋_GB2312" w:eastAsia="仿宋_GB2312" w:cs="仿宋_GB2312"/>
          <w:b w:val="0"/>
          <w:bCs w:val="0"/>
          <w:color w:val="000000"/>
          <w:spacing w:val="17"/>
          <w:kern w:val="2"/>
        </w:rPr>
        <w:t>100分（含90分）对应的评分结果级别为优，80-90分（含80分）对应的评分结果级别为良，60-80分（含60分）对应的评分结果级别为中，60分以下对应的评分结果级别为差。</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left="0" w:leftChars="0" w:right="0" w:rightChars="0" w:firstLine="708" w:firstLineChars="200"/>
        <w:jc w:val="both"/>
        <w:textAlignment w:val="auto"/>
        <w:outlineLvl w:val="9"/>
        <w:rPr>
          <w:rFonts w:ascii="仿宋_GB2312" w:hAnsi="仿宋_GB2312" w:eastAsia="仿宋_GB2312" w:cs="仿宋_GB2312"/>
          <w:b w:val="0"/>
          <w:bCs w:val="0"/>
          <w:color w:val="000000"/>
          <w:spacing w:val="17"/>
        </w:rPr>
      </w:pPr>
      <w:r>
        <w:rPr>
          <w:rFonts w:hint="eastAsia" w:ascii="仿宋_GB2312" w:hAnsi="仿宋_GB2312" w:eastAsia="仿宋_GB2312" w:cs="仿宋_GB2312"/>
          <w:b w:val="0"/>
          <w:bCs w:val="0"/>
          <w:color w:val="000000"/>
          <w:spacing w:val="17"/>
        </w:rPr>
        <w:t>具体评价指标体系详情见附件1</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left="0" w:leftChars="0" w:right="0" w:rightChars="0" w:firstLine="643" w:firstLineChars="200"/>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3、绩效评价方法</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（1）比较法</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通过对绩效目标与实施效果、历史与当期情况，综合分析绩效目标实现程度。对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最终验收情况与年度绩效目标对比、预算资金执行情况等相关因素进行比较。</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（2）因素分析法</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通过综合分析影响绩效目标实现、实施效果的内外因素，评价绩效目标实现程度。通过对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的开展情况、项目产出数量、成本控制、资金拨付文件及自评报告等相关资料的收集和审核，综合分析各因素对绩效目标实现的影响。</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left="0" w:leftChars="0" w:right="0" w:rightChars="0" w:firstLine="643" w:firstLineChars="200"/>
        <w:jc w:val="both"/>
        <w:textAlignment w:val="auto"/>
        <w:outlineLvl w:val="9"/>
        <w:rPr>
          <w:rFonts w:hint="eastAsia" w:ascii="仿宋_GB2312" w:hAnsi="仿宋_GB2312" w:eastAsia="仿宋_GB2312" w:cs="仿宋_GB2312"/>
          <w:b/>
          <w:bCs/>
          <w:lang w:val="en-US" w:eastAsia="zh-CN"/>
        </w:rPr>
      </w:pPr>
      <w:r>
        <w:rPr>
          <w:rFonts w:hint="eastAsia" w:ascii="仿宋_GB2312" w:hAnsi="仿宋_GB2312" w:eastAsia="仿宋_GB2312" w:cs="仿宋_GB2312"/>
          <w:b/>
          <w:bCs/>
          <w:lang w:val="en-US" w:eastAsia="zh-CN"/>
        </w:rPr>
        <w:t>4、评价标准</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708" w:firstLineChars="200"/>
        <w:textAlignment w:val="auto"/>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绩效评价标准通常包括计划标准、行业标准、历史标准等，用于对绩效指标完成情况进行比较。本次评价主要采用了计划标准和行业标准。</w:t>
      </w:r>
    </w:p>
    <w:p>
      <w:pPr>
        <w:pStyle w:val="2"/>
        <w:keepNext w:val="0"/>
        <w:keepLines w:val="0"/>
        <w:pageBreakBefore w:val="0"/>
        <w:numPr>
          <w:ilvl w:val="0"/>
          <w:numId w:val="1"/>
        </w:numPr>
        <w:kinsoku/>
        <w:wordWrap/>
        <w:overflowPunct/>
        <w:topLinePunct w:val="0"/>
        <w:autoSpaceDE/>
        <w:autoSpaceDN/>
        <w:bidi w:val="0"/>
        <w:adjustRightInd/>
        <w:snapToGrid/>
        <w:spacing w:before="0" w:after="0" w:line="560" w:lineRule="exact"/>
        <w:ind w:left="0" w:leftChars="0" w:right="0" w:rightChars="0" w:firstLine="711" w:firstLineChars="200"/>
        <w:jc w:val="both"/>
        <w:textAlignment w:val="auto"/>
        <w:rPr>
          <w:rFonts w:hint="eastAsia" w:ascii="楷体" w:hAnsi="楷体" w:eastAsia="楷体" w:cs="楷体"/>
          <w:color w:val="000000"/>
          <w:spacing w:val="17"/>
          <w:sz w:val="32"/>
          <w:szCs w:val="32"/>
          <w:lang w:val="en-US" w:eastAsia="zh-CN"/>
        </w:rPr>
      </w:pPr>
      <w:r>
        <w:rPr>
          <w:rFonts w:hint="eastAsia" w:ascii="楷体" w:hAnsi="楷体" w:eastAsia="楷体" w:cs="楷体"/>
          <w:color w:val="000000"/>
          <w:spacing w:val="17"/>
          <w:sz w:val="32"/>
          <w:szCs w:val="32"/>
          <w:lang w:val="en-US" w:eastAsia="zh-CN"/>
        </w:rPr>
        <w:t>绩效评价工作过程</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708" w:firstLineChars="200"/>
        <w:textAlignment w:val="auto"/>
        <w:rPr>
          <w:rFonts w:hint="default"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前期准备。首先成立评价工作组，开展前期调研；其次明确项目绩效目标，设计绩效评价指标体系并确定绩效评价方法；接着确定现场和非现场评价范围，设计资料清单；最后制定评价实施方案并进行论证。</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708" w:firstLineChars="200"/>
        <w:textAlignment w:val="auto"/>
        <w:rPr>
          <w:rFonts w:hint="default"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组织实施。制定绩效评价工作方案，具体包括项目概况、评价思路、方法手段、组织实施、进度安排等。收集项目立项依据、相关会议纪要、实施方案、财政资金分配方案、支付管理情况等相关评价资料并进行梳理。</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708" w:firstLineChars="200"/>
        <w:textAlignment w:val="auto"/>
      </w:pPr>
      <w:r>
        <w:rPr>
          <w:rFonts w:hint="eastAsia" w:ascii="仿宋_GB2312" w:hAnsi="仿宋_GB2312" w:eastAsia="仿宋_GB2312" w:cs="仿宋_GB2312"/>
          <w:color w:val="000000"/>
          <w:spacing w:val="17"/>
          <w:sz w:val="32"/>
          <w:szCs w:val="32"/>
          <w:lang w:val="en-US" w:eastAsia="zh-CN"/>
        </w:rPr>
        <w:t>分析评价。根据收集梳理的资料围绕项目立项、资金落实、业务管理、财务管理、项目产出、项目效益等内容，对照已确定的绩效评价指标进行详细全面的分析评价，逐项打分并形成绩效评价最终结果。</w:t>
      </w:r>
    </w:p>
    <w:p>
      <w:pPr>
        <w:keepNext w:val="0"/>
        <w:keepLines w:val="0"/>
        <w:pageBreakBefore w:val="0"/>
        <w:numPr>
          <w:ilvl w:val="0"/>
          <w:numId w:val="2"/>
        </w:numPr>
        <w:kinsoku/>
        <w:wordWrap/>
        <w:overflowPunct/>
        <w:topLinePunct w:val="0"/>
        <w:autoSpaceDE/>
        <w:autoSpaceDN/>
        <w:bidi w:val="0"/>
        <w:adjustRightInd/>
        <w:snapToGrid/>
        <w:spacing w:line="560" w:lineRule="exact"/>
        <w:ind w:left="0" w:leftChars="0" w:right="0" w:rightChars="0" w:firstLine="643" w:firstLineChars="200"/>
        <w:textAlignment w:val="auto"/>
        <w:rPr>
          <w:rFonts w:ascii="黑体" w:hAnsi="黑体" w:eastAsia="黑体" w:cs="黑体"/>
          <w:b/>
          <w:bCs/>
          <w:sz w:val="32"/>
          <w:szCs w:val="32"/>
        </w:rPr>
      </w:pPr>
      <w:r>
        <w:rPr>
          <w:rFonts w:hint="eastAsia" w:ascii="黑体" w:hAnsi="黑体" w:eastAsia="黑体" w:cs="黑体"/>
          <w:b/>
          <w:bCs/>
          <w:sz w:val="32"/>
          <w:szCs w:val="32"/>
        </w:rPr>
        <w:t>综合评价情况及评价结论（附相关评分表）</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对办案和专业技术用房主体及附属设施建设项目进行客观评价，最终评分结果：总得分为 89.6分，属于“良”。其中，项目决策类指标权重为5分，得分为 4.8分，得分率为 96%。项目过程类指标权重为5分，得分为4.8 分，得分率为 96%。项目产出类指标权重为50分，得分为41分，得分率为 82%。项目效益类指标权重为40分，得分为39分，得分率为 97.5%。</w:t>
      </w:r>
    </w:p>
    <w:p>
      <w:pPr>
        <w:pStyle w:val="2"/>
        <w:pageBreakBefore w:val="0"/>
        <w:kinsoku/>
        <w:wordWrap/>
        <w:overflowPunct/>
        <w:topLinePunct w:val="0"/>
        <w:autoSpaceDE/>
        <w:autoSpaceDN/>
        <w:bidi w:val="0"/>
        <w:adjustRightInd/>
        <w:snapToGrid/>
        <w:spacing w:before="0" w:after="0" w:line="560" w:lineRule="exact"/>
        <w:textAlignment w:val="auto"/>
        <w:rPr>
          <w:rFonts w:ascii="仿宋_GB2312" w:hAnsi="仿宋_GB2312" w:eastAsia="仿宋_GB2312" w:cs="仿宋_GB2312"/>
          <w:sz w:val="30"/>
          <w:szCs w:val="30"/>
        </w:rPr>
      </w:pPr>
      <w:r>
        <w:rPr>
          <w:rFonts w:hint="eastAsia" w:ascii="仿宋_GB2312" w:hAnsi="仿宋_GB2312" w:eastAsia="仿宋_GB2312" w:cs="仿宋_GB2312"/>
          <w:sz w:val="30"/>
          <w:szCs w:val="30"/>
        </w:rPr>
        <w:t>表1综合评分表</w:t>
      </w:r>
    </w:p>
    <w:p>
      <w:pPr>
        <w:pageBreakBefore w:val="0"/>
        <w:kinsoku/>
        <w:wordWrap/>
        <w:overflowPunct/>
        <w:topLinePunct w:val="0"/>
        <w:autoSpaceDE/>
        <w:autoSpaceDN/>
        <w:bidi w:val="0"/>
        <w:adjustRightInd/>
        <w:snapToGrid/>
        <w:spacing w:line="560" w:lineRule="exact"/>
        <w:textAlignment w:val="auto"/>
      </w:pPr>
    </w:p>
    <w:p>
      <w:pPr>
        <w:pageBreakBefore w:val="0"/>
        <w:kinsoku/>
        <w:wordWrap/>
        <w:overflowPunct/>
        <w:topLinePunct w:val="0"/>
        <w:autoSpaceDE/>
        <w:autoSpaceDN/>
        <w:bidi w:val="0"/>
        <w:adjustRightInd/>
        <w:snapToGrid/>
        <w:spacing w:line="560" w:lineRule="exact"/>
        <w:textAlignment w:val="auto"/>
      </w:pPr>
    </w:p>
    <w:tbl>
      <w:tblPr>
        <w:tblStyle w:val="19"/>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990"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1283"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1707"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727"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104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目标值</w:t>
            </w:r>
          </w:p>
        </w:tc>
        <w:tc>
          <w:tcPr>
            <w:tcW w:w="92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业绩值</w:t>
            </w:r>
          </w:p>
        </w:tc>
        <w:tc>
          <w:tcPr>
            <w:tcW w:w="1215"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得分率</w:t>
            </w:r>
          </w:p>
        </w:tc>
        <w:tc>
          <w:tcPr>
            <w:tcW w:w="960"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决策　</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kern w:val="0"/>
                <w:sz w:val="18"/>
                <w:szCs w:val="18"/>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项目立项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立项依据</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充分性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立项程序</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规范性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绩效目标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绩效目标</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合理性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绩效指标</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明确性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0.8</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80%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资金投入</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预算编制</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科学性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资金分配</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合理性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过程</w:t>
            </w:r>
          </w:p>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kern w:val="0"/>
                <w:sz w:val="18"/>
                <w:szCs w:val="18"/>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资金到位率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0.8</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80%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资金使用</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合规性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组织实施</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管理制度</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健全性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制度执行</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有效性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kern w:val="0"/>
                <w:sz w:val="18"/>
                <w:szCs w:val="18"/>
              </w:rPr>
              <w:t>50分</w:t>
            </w: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产出数量</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实际完成率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12</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12</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12</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产出质量</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质量达标率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5</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50%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产出时效</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完成及时性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4</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4</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4</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产出成本</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成本节约率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24</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24</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20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83.3%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效益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40分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项目效益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实施效益</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（社会效益、经济效益、可持续效益）</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30</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30</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30</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29</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96.6%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满意度</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100%</w:t>
            </w:r>
          </w:p>
        </w:tc>
      </w:tr>
    </w:tbl>
    <w:p>
      <w:pPr>
        <w:pageBreakBefore w:val="0"/>
        <w:kinsoku/>
        <w:wordWrap/>
        <w:overflowPunct/>
        <w:topLinePunct w:val="0"/>
        <w:autoSpaceDE/>
        <w:autoSpaceDN/>
        <w:bidi w:val="0"/>
        <w:adjustRightInd/>
        <w:snapToGrid/>
        <w:spacing w:line="560" w:lineRule="exact"/>
        <w:ind w:firstLine="321" w:firstLineChars="100"/>
        <w:textAlignment w:val="auto"/>
        <w:rPr>
          <w:rFonts w:ascii="黑体" w:hAnsi="黑体" w:eastAsia="黑体"/>
          <w:b/>
          <w:bCs/>
          <w:sz w:val="32"/>
          <w:szCs w:val="32"/>
        </w:rPr>
      </w:pPr>
      <w:r>
        <w:rPr>
          <w:rFonts w:hint="eastAsia" w:ascii="黑体" w:hAnsi="黑体" w:eastAsia="黑体"/>
          <w:b/>
          <w:bCs/>
          <w:sz w:val="32"/>
          <w:szCs w:val="32"/>
        </w:rPr>
        <w:t>四、绩效评价指标分析</w:t>
      </w:r>
    </w:p>
    <w:p>
      <w:pPr>
        <w:pStyle w:val="2"/>
        <w:pageBreakBefore w:val="0"/>
        <w:kinsoku/>
        <w:wordWrap/>
        <w:overflowPunct/>
        <w:topLinePunct w:val="0"/>
        <w:autoSpaceDE/>
        <w:autoSpaceDN/>
        <w:bidi w:val="0"/>
        <w:adjustRightInd/>
        <w:snapToGrid/>
        <w:spacing w:before="0" w:after="0" w:line="560" w:lineRule="exact"/>
        <w:ind w:firstLine="321" w:firstLineChars="100"/>
        <w:jc w:val="both"/>
        <w:textAlignment w:val="auto"/>
        <w:rPr>
          <w:rFonts w:ascii="楷体_GB2312" w:hAnsi="楷体_GB2312" w:eastAsia="楷体_GB2312" w:cs="楷体_GB2312"/>
        </w:rPr>
      </w:pPr>
      <w:r>
        <w:rPr>
          <w:rFonts w:hint="eastAsia" w:ascii="楷体_GB2312" w:hAnsi="楷体_GB2312" w:eastAsia="楷体_GB2312" w:cs="楷体_GB2312"/>
        </w:rPr>
        <w:t>（一）项目决策情况</w:t>
      </w:r>
    </w:p>
    <w:p>
      <w:pPr>
        <w:pStyle w:val="213"/>
        <w:pageBreakBefore w:val="0"/>
        <w:kinsoku/>
        <w:wordWrap/>
        <w:overflowPunct/>
        <w:topLinePunct w:val="0"/>
        <w:autoSpaceDE/>
        <w:autoSpaceDN/>
        <w:bidi w:val="0"/>
        <w:adjustRightInd/>
        <w:snapToGrid/>
        <w:spacing w:line="560" w:lineRule="exact"/>
        <w:ind w:left="210" w:leftChars="100" w:right="210" w:rightChars="100" w:firstLine="708" w:firstLineChars="200"/>
        <w:jc w:val="left"/>
        <w:textAlignment w:val="auto"/>
        <w:rPr>
          <w:rFonts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eastAsia="zh-CN"/>
        </w:rPr>
        <w:t>我单位根据</w:t>
      </w:r>
      <w:r>
        <w:rPr>
          <w:rFonts w:hint="eastAsia" w:ascii="仿宋_GB2312" w:hAnsi="仿宋_GB2312" w:eastAsia="仿宋_GB2312" w:cs="仿宋_GB2312"/>
          <w:color w:val="000000"/>
          <w:spacing w:val="17"/>
          <w:sz w:val="32"/>
          <w:szCs w:val="32"/>
        </w:rPr>
        <w:t>塔地财</w:t>
      </w:r>
      <w:r>
        <w:rPr>
          <w:rFonts w:hint="eastAsia" w:ascii="仿宋_GB2312" w:hAnsi="仿宋_GB2312" w:eastAsia="仿宋_GB2312" w:cs="仿宋_GB2312"/>
          <w:color w:val="000000"/>
          <w:spacing w:val="17"/>
          <w:sz w:val="32"/>
          <w:szCs w:val="32"/>
          <w:lang w:eastAsia="zh-CN"/>
        </w:rPr>
        <w:t>预</w:t>
      </w:r>
      <w:r>
        <w:rPr>
          <w:rFonts w:hint="eastAsia" w:ascii="仿宋_GB2312" w:hAnsi="仿宋_GB2312" w:eastAsia="仿宋_GB2312" w:cs="仿宋_GB2312"/>
          <w:color w:val="000000"/>
          <w:spacing w:val="17"/>
          <w:sz w:val="32"/>
          <w:szCs w:val="32"/>
        </w:rPr>
        <w:t>［20</w:t>
      </w:r>
      <w:r>
        <w:rPr>
          <w:rFonts w:hint="eastAsia" w:ascii="仿宋_GB2312" w:hAnsi="仿宋_GB2312" w:eastAsia="仿宋_GB2312" w:cs="仿宋_GB2312"/>
          <w:color w:val="000000"/>
          <w:spacing w:val="17"/>
          <w:sz w:val="32"/>
          <w:szCs w:val="32"/>
          <w:lang w:val="en-US" w:eastAsia="zh-CN"/>
        </w:rPr>
        <w:t>20</w:t>
      </w:r>
      <w:r>
        <w:rPr>
          <w:rFonts w:hint="eastAsia" w:ascii="仿宋_GB2312" w:hAnsi="仿宋_GB2312" w:eastAsia="仿宋_GB2312" w:cs="仿宋_GB2312"/>
          <w:color w:val="000000"/>
          <w:spacing w:val="17"/>
          <w:sz w:val="32"/>
          <w:szCs w:val="32"/>
        </w:rPr>
        <w:t>］</w:t>
      </w:r>
      <w:r>
        <w:rPr>
          <w:rFonts w:hint="eastAsia" w:ascii="仿宋_GB2312" w:hAnsi="仿宋_GB2312" w:eastAsia="仿宋_GB2312" w:cs="仿宋_GB2312"/>
          <w:color w:val="000000"/>
          <w:spacing w:val="17"/>
          <w:sz w:val="32"/>
          <w:szCs w:val="32"/>
          <w:lang w:val="en-US" w:eastAsia="zh-CN"/>
        </w:rPr>
        <w:t>0509</w:t>
      </w:r>
      <w:r>
        <w:rPr>
          <w:rFonts w:hint="eastAsia" w:ascii="仿宋_GB2312" w:hAnsi="仿宋_GB2312" w:eastAsia="仿宋_GB2312" w:cs="仿宋_GB2312"/>
          <w:color w:val="000000"/>
          <w:spacing w:val="17"/>
          <w:sz w:val="32"/>
          <w:szCs w:val="32"/>
        </w:rPr>
        <w:t>号</w:t>
      </w:r>
      <w:r>
        <w:rPr>
          <w:rFonts w:hint="eastAsia" w:ascii="仿宋_GB2312" w:hAnsi="仿宋_GB2312" w:eastAsia="仿宋_GB2312" w:cs="仿宋_GB2312"/>
          <w:color w:val="000000"/>
          <w:spacing w:val="17"/>
          <w:sz w:val="32"/>
          <w:szCs w:val="32"/>
          <w:lang w:eastAsia="zh-CN"/>
        </w:rPr>
        <w:t>文件设立项目，</w:t>
      </w:r>
      <w:r>
        <w:rPr>
          <w:rFonts w:hint="eastAsia" w:ascii="仿宋_GB2312" w:hAnsi="仿宋_GB2312" w:eastAsia="仿宋_GB2312" w:cs="仿宋_GB2312"/>
          <w:color w:val="000000"/>
          <w:spacing w:val="17"/>
          <w:sz w:val="32"/>
          <w:szCs w:val="32"/>
          <w:lang w:val="en-US" w:eastAsia="zh-CN"/>
        </w:rPr>
        <w:t>项目立项与我单位部门职责范围相符，属于部门履职所需；项目属于基建项目，严格按基建资金使用要求支付资金，下达资金249.64万元，支出249.60万元，执行率为99.99%，其中：1、附属设施建设249.60万元，决策项目分值：5分，我单位经过自评得分：4.8分，得分率为 96%。</w:t>
      </w:r>
    </w:p>
    <w:p>
      <w:pPr>
        <w:pStyle w:val="2"/>
        <w:pageBreakBefore w:val="0"/>
        <w:numPr>
          <w:ilvl w:val="0"/>
          <w:numId w:val="3"/>
        </w:numPr>
        <w:kinsoku/>
        <w:wordWrap/>
        <w:overflowPunct/>
        <w:topLinePunct w:val="0"/>
        <w:autoSpaceDE/>
        <w:autoSpaceDN/>
        <w:bidi w:val="0"/>
        <w:adjustRightInd/>
        <w:snapToGrid/>
        <w:spacing w:before="0" w:after="0" w:line="560" w:lineRule="exact"/>
        <w:ind w:firstLine="321" w:firstLineChars="100"/>
        <w:jc w:val="both"/>
        <w:textAlignment w:val="auto"/>
      </w:pPr>
      <w:r>
        <w:rPr>
          <w:rFonts w:hint="eastAsia" w:ascii="楷体_GB2312" w:hAnsi="楷体_GB2312" w:eastAsia="楷体_GB2312" w:cs="楷体_GB2312"/>
        </w:rPr>
        <w:t>项目过程情况</w:t>
      </w:r>
    </w:p>
    <w:p>
      <w:pPr>
        <w:pStyle w:val="213"/>
        <w:pageBreakBefore w:val="0"/>
        <w:kinsoku/>
        <w:wordWrap/>
        <w:overflowPunct/>
        <w:topLinePunct w:val="0"/>
        <w:autoSpaceDE/>
        <w:autoSpaceDN/>
        <w:bidi w:val="0"/>
        <w:adjustRightInd/>
        <w:snapToGrid/>
        <w:spacing w:line="560" w:lineRule="exact"/>
        <w:ind w:left="210" w:leftChars="100" w:right="210" w:rightChars="100" w:firstLine="711" w:firstLineChars="200"/>
        <w:jc w:val="left"/>
        <w:textAlignment w:val="auto"/>
        <w:rPr>
          <w:rFonts w:ascii="仿宋_GB2312" w:hAnsi="仿宋_GB2312" w:eastAsia="仿宋_GB2312" w:cs="仿宋_GB2312"/>
          <w:b/>
          <w:bCs/>
          <w:color w:val="000000"/>
          <w:spacing w:val="17"/>
          <w:sz w:val="32"/>
          <w:szCs w:val="32"/>
          <w:lang w:val="en-US" w:eastAsia="zh-CN"/>
        </w:rPr>
      </w:pPr>
      <w:r>
        <w:rPr>
          <w:rFonts w:hint="eastAsia" w:ascii="仿宋_GB2312" w:hAnsi="仿宋_GB2312" w:eastAsia="仿宋_GB2312" w:cs="仿宋_GB2312"/>
          <w:b/>
          <w:bCs/>
          <w:color w:val="000000"/>
          <w:spacing w:val="17"/>
          <w:sz w:val="32"/>
          <w:szCs w:val="32"/>
          <w:lang w:val="en-US" w:eastAsia="zh-CN"/>
        </w:rPr>
        <w:t>1.项目管理情况</w:t>
      </w:r>
    </w:p>
    <w:p>
      <w:pPr>
        <w:pStyle w:val="213"/>
        <w:pageBreakBefore w:val="0"/>
        <w:kinsoku/>
        <w:wordWrap/>
        <w:overflowPunct/>
        <w:topLinePunct w:val="0"/>
        <w:autoSpaceDE/>
        <w:autoSpaceDN/>
        <w:bidi w:val="0"/>
        <w:adjustRightInd/>
        <w:snapToGrid/>
        <w:spacing w:line="560" w:lineRule="exact"/>
        <w:ind w:left="210" w:leftChars="100" w:right="210" w:rightChars="100" w:firstLine="708" w:firstLineChars="200"/>
        <w:jc w:val="left"/>
        <w:textAlignment w:val="auto"/>
        <w:rPr>
          <w:rFonts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（1）资金到位率：</w:t>
      </w:r>
    </w:p>
    <w:p>
      <w:pPr>
        <w:pStyle w:val="17"/>
        <w:pageBreakBefore w:val="0"/>
        <w:shd w:val="clear" w:color="auto" w:fill="FFFFFF"/>
        <w:kinsoku/>
        <w:wordWrap/>
        <w:overflowPunct/>
        <w:topLinePunct w:val="0"/>
        <w:autoSpaceDE/>
        <w:autoSpaceDN/>
        <w:bidi w:val="0"/>
        <w:adjustRightInd/>
        <w:snapToGrid/>
        <w:spacing w:before="0" w:beforeAutospacing="0" w:after="0" w:afterAutospacing="0" w:line="560" w:lineRule="exact"/>
        <w:ind w:left="210" w:leftChars="100" w:right="210" w:rightChars="100" w:firstLine="708" w:firstLineChars="200"/>
        <w:jc w:val="both"/>
        <w:textAlignment w:val="auto"/>
        <w:rPr>
          <w:rFonts w:ascii="仿宋_GB2312" w:hAnsi="仿宋_GB2312" w:eastAsia="仿宋_GB2312" w:cs="仿宋_GB2312"/>
          <w:color w:val="000000"/>
          <w:spacing w:val="17"/>
          <w:kern w:val="2"/>
          <w:sz w:val="32"/>
          <w:szCs w:val="32"/>
          <w:lang w:val="zh-TW" w:eastAsia="zh-TW"/>
        </w:rPr>
      </w:pPr>
      <w:r>
        <w:rPr>
          <w:rFonts w:hint="eastAsia" w:ascii="仿宋_GB2312" w:hAnsi="仿宋_GB2312" w:eastAsia="仿宋_GB2312" w:cs="仿宋_GB2312"/>
          <w:color w:val="000000"/>
          <w:spacing w:val="17"/>
          <w:kern w:val="2"/>
          <w:sz w:val="32"/>
          <w:szCs w:val="32"/>
          <w:lang w:val="zh-TW" w:eastAsia="zh-TW"/>
        </w:rPr>
        <w:t>项目资金严格按基建资金管理使用，资金到位率=100%</w:t>
      </w:r>
    </w:p>
    <w:p>
      <w:pPr>
        <w:pStyle w:val="17"/>
        <w:pageBreakBefore w:val="0"/>
        <w:shd w:val="clear" w:color="auto" w:fill="FFFFFF"/>
        <w:kinsoku/>
        <w:wordWrap/>
        <w:overflowPunct/>
        <w:topLinePunct w:val="0"/>
        <w:autoSpaceDE/>
        <w:autoSpaceDN/>
        <w:bidi w:val="0"/>
        <w:adjustRightInd/>
        <w:snapToGrid/>
        <w:spacing w:before="0" w:beforeAutospacing="0" w:after="0" w:afterAutospacing="0" w:line="560" w:lineRule="exact"/>
        <w:ind w:left="210" w:leftChars="100" w:right="210" w:rightChars="100" w:firstLine="708" w:firstLineChars="200"/>
        <w:jc w:val="both"/>
        <w:textAlignment w:val="auto"/>
        <w:rPr>
          <w:rFonts w:ascii="仿宋_GB2312" w:hAnsi="仿宋_GB2312" w:eastAsia="仿宋_GB2312" w:cs="仿宋_GB2312"/>
          <w:color w:val="000000"/>
          <w:spacing w:val="17"/>
          <w:kern w:val="2"/>
          <w:sz w:val="32"/>
          <w:szCs w:val="32"/>
          <w:lang w:val="zh-TW" w:eastAsia="zh-TW"/>
        </w:rPr>
      </w:pPr>
      <w:r>
        <w:rPr>
          <w:rFonts w:hint="eastAsia" w:ascii="仿宋_GB2312" w:hAnsi="仿宋_GB2312" w:eastAsia="仿宋_GB2312" w:cs="仿宋_GB2312"/>
          <w:color w:val="000000"/>
          <w:spacing w:val="17"/>
          <w:kern w:val="2"/>
          <w:sz w:val="32"/>
          <w:szCs w:val="32"/>
          <w:lang w:val="zh-TW" w:eastAsia="zh-TW"/>
        </w:rPr>
        <w:t>实际到位资金：</w:t>
      </w:r>
      <w:r>
        <w:rPr>
          <w:rFonts w:hint="eastAsia" w:ascii="仿宋_GB2312" w:hAnsi="仿宋_GB2312" w:eastAsia="仿宋_GB2312" w:cs="仿宋_GB2312"/>
          <w:color w:val="000000"/>
          <w:spacing w:val="17"/>
          <w:kern w:val="2"/>
          <w:sz w:val="32"/>
          <w:szCs w:val="32"/>
        </w:rPr>
        <w:t>249.64</w:t>
      </w:r>
      <w:r>
        <w:rPr>
          <w:rFonts w:hint="eastAsia" w:ascii="仿宋_GB2312" w:hAnsi="仿宋_GB2312" w:eastAsia="仿宋_GB2312" w:cs="仿宋_GB2312"/>
          <w:color w:val="000000"/>
          <w:spacing w:val="17"/>
          <w:kern w:val="2"/>
          <w:sz w:val="32"/>
          <w:szCs w:val="32"/>
          <w:lang w:val="zh-TW" w:eastAsia="zh-TW"/>
        </w:rPr>
        <w:t>万元。预算资金：</w:t>
      </w:r>
      <w:r>
        <w:rPr>
          <w:rFonts w:hint="eastAsia" w:ascii="仿宋_GB2312" w:hAnsi="仿宋_GB2312" w:eastAsia="仿宋_GB2312" w:cs="仿宋_GB2312"/>
          <w:color w:val="000000"/>
          <w:spacing w:val="17"/>
          <w:kern w:val="2"/>
          <w:sz w:val="32"/>
          <w:szCs w:val="32"/>
        </w:rPr>
        <w:t>249.64</w:t>
      </w:r>
      <w:r>
        <w:rPr>
          <w:rFonts w:hint="eastAsia" w:ascii="仿宋_GB2312" w:hAnsi="仿宋_GB2312" w:eastAsia="仿宋_GB2312" w:cs="仿宋_GB2312"/>
          <w:color w:val="000000"/>
          <w:spacing w:val="17"/>
          <w:kern w:val="2"/>
          <w:sz w:val="32"/>
          <w:szCs w:val="32"/>
          <w:lang w:val="zh-TW" w:eastAsia="zh-TW"/>
        </w:rPr>
        <w:t>万元。</w:t>
      </w:r>
    </w:p>
    <w:p>
      <w:pPr>
        <w:pStyle w:val="213"/>
        <w:pageBreakBefore w:val="0"/>
        <w:kinsoku/>
        <w:wordWrap/>
        <w:overflowPunct/>
        <w:topLinePunct w:val="0"/>
        <w:autoSpaceDE/>
        <w:autoSpaceDN/>
        <w:bidi w:val="0"/>
        <w:adjustRightInd/>
        <w:snapToGrid/>
        <w:spacing w:line="560" w:lineRule="exact"/>
        <w:ind w:left="210" w:leftChars="100" w:right="210" w:rightChars="100" w:firstLine="708" w:firstLineChars="200"/>
        <w:jc w:val="left"/>
        <w:textAlignment w:val="auto"/>
        <w:rPr>
          <w:rFonts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（2）资金执行率：资金执行率99.99%</w:t>
      </w:r>
    </w:p>
    <w:p>
      <w:pPr>
        <w:pStyle w:val="17"/>
        <w:pageBreakBefore w:val="0"/>
        <w:shd w:val="clear" w:color="auto" w:fill="FFFFFF"/>
        <w:kinsoku/>
        <w:wordWrap/>
        <w:overflowPunct/>
        <w:topLinePunct w:val="0"/>
        <w:autoSpaceDE/>
        <w:autoSpaceDN/>
        <w:bidi w:val="0"/>
        <w:adjustRightInd/>
        <w:snapToGrid/>
        <w:spacing w:before="0" w:beforeAutospacing="0" w:after="0" w:afterAutospacing="0" w:line="560" w:lineRule="exact"/>
        <w:ind w:left="210" w:leftChars="100" w:right="210" w:rightChars="100" w:firstLine="708" w:firstLineChars="200"/>
        <w:jc w:val="both"/>
        <w:textAlignment w:val="auto"/>
        <w:rPr>
          <w:rFonts w:ascii="仿宋_GB2312" w:hAnsi="仿宋_GB2312" w:eastAsia="仿宋_GB2312" w:cs="仿宋_GB2312"/>
          <w:color w:val="000000"/>
          <w:spacing w:val="17"/>
          <w:kern w:val="2"/>
          <w:sz w:val="32"/>
          <w:szCs w:val="32"/>
          <w:lang w:val="zh-TW" w:eastAsia="zh-TW"/>
        </w:rPr>
      </w:pPr>
      <w:r>
        <w:rPr>
          <w:rFonts w:hint="eastAsia" w:ascii="仿宋_GB2312" w:hAnsi="仿宋_GB2312" w:eastAsia="仿宋_GB2312" w:cs="仿宋_GB2312"/>
          <w:color w:val="000000"/>
          <w:spacing w:val="17"/>
          <w:kern w:val="2"/>
          <w:sz w:val="32"/>
          <w:szCs w:val="32"/>
          <w:lang w:val="zh-TW" w:eastAsia="zh-TW"/>
        </w:rPr>
        <w:t>实际到位资金：</w:t>
      </w:r>
      <w:r>
        <w:rPr>
          <w:rFonts w:hint="eastAsia" w:ascii="仿宋_GB2312" w:hAnsi="仿宋_GB2312" w:eastAsia="仿宋_GB2312" w:cs="仿宋_GB2312"/>
          <w:color w:val="000000"/>
          <w:spacing w:val="17"/>
          <w:kern w:val="2"/>
          <w:sz w:val="32"/>
          <w:szCs w:val="32"/>
        </w:rPr>
        <w:t>249.64</w:t>
      </w:r>
      <w:r>
        <w:rPr>
          <w:rFonts w:hint="eastAsia" w:ascii="仿宋_GB2312" w:hAnsi="仿宋_GB2312" w:eastAsia="仿宋_GB2312" w:cs="仿宋_GB2312"/>
          <w:color w:val="000000"/>
          <w:spacing w:val="17"/>
          <w:kern w:val="2"/>
          <w:sz w:val="32"/>
          <w:szCs w:val="32"/>
          <w:lang w:val="zh-TW" w:eastAsia="zh-TW"/>
        </w:rPr>
        <w:t>万元。执行资金：</w:t>
      </w:r>
      <w:r>
        <w:rPr>
          <w:rFonts w:hint="eastAsia" w:ascii="仿宋_GB2312" w:hAnsi="仿宋_GB2312" w:eastAsia="仿宋_GB2312" w:cs="仿宋_GB2312"/>
          <w:color w:val="000000"/>
          <w:spacing w:val="17"/>
          <w:kern w:val="2"/>
          <w:sz w:val="32"/>
          <w:szCs w:val="32"/>
        </w:rPr>
        <w:t>249.60</w:t>
      </w:r>
      <w:r>
        <w:rPr>
          <w:rFonts w:hint="eastAsia" w:ascii="仿宋_GB2312" w:hAnsi="仿宋_GB2312" w:eastAsia="仿宋_GB2312" w:cs="仿宋_GB2312"/>
          <w:color w:val="000000"/>
          <w:spacing w:val="17"/>
          <w:kern w:val="2"/>
          <w:sz w:val="32"/>
          <w:szCs w:val="32"/>
          <w:lang w:val="zh-TW" w:eastAsia="zh-TW"/>
        </w:rPr>
        <w:t>万元。</w:t>
      </w:r>
    </w:p>
    <w:p>
      <w:pPr>
        <w:pStyle w:val="17"/>
        <w:pageBreakBefore w:val="0"/>
        <w:shd w:val="clear" w:color="auto" w:fill="FFFFFF"/>
        <w:kinsoku/>
        <w:wordWrap/>
        <w:overflowPunct/>
        <w:topLinePunct w:val="0"/>
        <w:autoSpaceDE/>
        <w:autoSpaceDN/>
        <w:bidi w:val="0"/>
        <w:adjustRightInd/>
        <w:snapToGrid/>
        <w:spacing w:before="0" w:beforeAutospacing="0" w:after="0" w:afterAutospacing="0" w:line="560" w:lineRule="exact"/>
        <w:ind w:left="210" w:leftChars="100" w:right="210" w:rightChars="100" w:firstLine="708" w:firstLineChars="200"/>
        <w:jc w:val="both"/>
        <w:textAlignment w:val="auto"/>
        <w:rPr>
          <w:rFonts w:ascii="仿宋_GB2312" w:hAnsi="仿宋_GB2312" w:eastAsia="仿宋_GB2312" w:cs="仿宋_GB2312"/>
          <w:color w:val="000000"/>
          <w:spacing w:val="17"/>
          <w:kern w:val="2"/>
          <w:sz w:val="32"/>
          <w:szCs w:val="32"/>
        </w:rPr>
      </w:pPr>
      <w:r>
        <w:rPr>
          <w:rFonts w:hint="eastAsia" w:ascii="仿宋_GB2312" w:hAnsi="仿宋_GB2312" w:eastAsia="仿宋_GB2312" w:cs="仿宋_GB2312"/>
          <w:color w:val="000000"/>
          <w:spacing w:val="17"/>
          <w:kern w:val="2"/>
          <w:sz w:val="32"/>
          <w:szCs w:val="32"/>
        </w:rPr>
        <w:t>（3）资金管理情况：</w:t>
      </w:r>
    </w:p>
    <w:p>
      <w:pPr>
        <w:pStyle w:val="17"/>
        <w:pageBreakBefore w:val="0"/>
        <w:shd w:val="clear" w:color="auto" w:fill="FFFFFF"/>
        <w:kinsoku/>
        <w:wordWrap/>
        <w:overflowPunct/>
        <w:topLinePunct w:val="0"/>
        <w:autoSpaceDE/>
        <w:autoSpaceDN/>
        <w:bidi w:val="0"/>
        <w:adjustRightInd/>
        <w:snapToGrid/>
        <w:spacing w:before="0" w:beforeAutospacing="0" w:after="0" w:afterAutospacing="0" w:line="560" w:lineRule="exact"/>
        <w:ind w:left="210" w:leftChars="100" w:right="210" w:rightChars="100" w:firstLine="708" w:firstLineChars="200"/>
        <w:jc w:val="both"/>
        <w:textAlignment w:val="auto"/>
        <w:rPr>
          <w:rFonts w:ascii="仿宋_GB2312" w:hAnsi="仿宋_GB2312" w:eastAsia="仿宋_GB2312" w:cs="仿宋_GB2312"/>
          <w:color w:val="000000"/>
          <w:spacing w:val="17"/>
          <w:kern w:val="2"/>
          <w:sz w:val="32"/>
          <w:szCs w:val="32"/>
          <w:lang w:val="zh-TW" w:eastAsia="zh-TW"/>
        </w:rPr>
      </w:pPr>
      <w:r>
        <w:rPr>
          <w:rFonts w:hint="eastAsia" w:ascii="仿宋_GB2312" w:hAnsi="仿宋_GB2312" w:eastAsia="仿宋_GB2312" w:cs="仿宋_GB2312"/>
          <w:color w:val="000000"/>
          <w:spacing w:val="17"/>
          <w:kern w:val="2"/>
          <w:sz w:val="32"/>
          <w:szCs w:val="32"/>
          <w:lang w:val="zh-TW" w:eastAsia="zh-TW"/>
        </w:rPr>
        <w:t>符合国家财经法规和财务管理制度以及有关专项资金管理办法的规定；资金的拨付有完整的审批程序和手续；符合项目预算批复或合同规定的用途；我单位不存在截留、挤占、挪用、虚列支出等情况。</w:t>
      </w:r>
    </w:p>
    <w:p>
      <w:pPr>
        <w:pStyle w:val="17"/>
        <w:pageBreakBefore w:val="0"/>
        <w:numPr>
          <w:ilvl w:val="0"/>
          <w:numId w:val="4"/>
        </w:numPr>
        <w:shd w:val="clear" w:color="auto" w:fill="FFFFFF"/>
        <w:kinsoku/>
        <w:wordWrap/>
        <w:overflowPunct/>
        <w:topLinePunct w:val="0"/>
        <w:autoSpaceDE/>
        <w:autoSpaceDN/>
        <w:bidi w:val="0"/>
        <w:adjustRightInd/>
        <w:snapToGrid/>
        <w:spacing w:before="0" w:beforeAutospacing="0" w:after="0" w:afterAutospacing="0" w:line="560" w:lineRule="exact"/>
        <w:ind w:left="210" w:leftChars="100" w:right="210" w:rightChars="100" w:firstLine="708" w:firstLineChars="200"/>
        <w:jc w:val="both"/>
        <w:textAlignment w:val="auto"/>
        <w:rPr>
          <w:rFonts w:ascii="仿宋_GB2312" w:hAnsi="仿宋_GB2312" w:eastAsia="仿宋_GB2312" w:cs="仿宋_GB2312"/>
          <w:color w:val="000000"/>
          <w:spacing w:val="17"/>
          <w:kern w:val="2"/>
          <w:sz w:val="32"/>
          <w:szCs w:val="32"/>
        </w:rPr>
      </w:pPr>
      <w:r>
        <w:rPr>
          <w:rFonts w:hint="eastAsia" w:ascii="仿宋_GB2312" w:hAnsi="仿宋_GB2312" w:eastAsia="仿宋_GB2312" w:cs="仿宋_GB2312"/>
          <w:color w:val="000000"/>
          <w:spacing w:val="17"/>
          <w:kern w:val="2"/>
          <w:sz w:val="32"/>
          <w:szCs w:val="32"/>
        </w:rPr>
        <w:t>组织实施情况：</w:t>
      </w:r>
    </w:p>
    <w:p>
      <w:pPr>
        <w:pStyle w:val="17"/>
        <w:pageBreakBefore w:val="0"/>
        <w:shd w:val="clear" w:color="auto" w:fill="FFFFFF"/>
        <w:kinsoku/>
        <w:wordWrap/>
        <w:overflowPunct/>
        <w:topLinePunct w:val="0"/>
        <w:autoSpaceDE/>
        <w:autoSpaceDN/>
        <w:bidi w:val="0"/>
        <w:adjustRightInd/>
        <w:snapToGrid/>
        <w:spacing w:before="0" w:beforeAutospacing="0" w:after="0" w:afterAutospacing="0" w:line="560" w:lineRule="exact"/>
        <w:ind w:left="210" w:leftChars="100" w:right="210" w:rightChars="100" w:firstLine="708" w:firstLineChars="200"/>
        <w:jc w:val="both"/>
        <w:textAlignment w:val="auto"/>
        <w:rPr>
          <w:rFonts w:ascii="仿宋_GB2312" w:hAnsi="仿宋_GB2312" w:eastAsia="仿宋_GB2312" w:cs="仿宋_GB2312"/>
          <w:color w:val="000000"/>
          <w:spacing w:val="17"/>
          <w:kern w:val="2"/>
          <w:sz w:val="32"/>
          <w:szCs w:val="32"/>
          <w:lang w:val="zh-TW"/>
        </w:rPr>
      </w:pPr>
      <w:r>
        <w:rPr>
          <w:rFonts w:hint="eastAsia" w:ascii="仿宋_GB2312" w:hAnsi="仿宋_GB2312" w:eastAsia="仿宋_GB2312" w:cs="仿宋_GB2312"/>
          <w:color w:val="000000"/>
          <w:spacing w:val="17"/>
          <w:kern w:val="2"/>
          <w:sz w:val="32"/>
          <w:szCs w:val="32"/>
          <w:lang w:val="zh-TW" w:eastAsia="zh-TW"/>
        </w:rPr>
        <w:t>己制定相应的财务和业务管理制度；财务和业务管理制度合法、合规、完整。符合相关法律法规和相关管理规定；项目调整及支出调整手续完备</w:t>
      </w:r>
      <w:r>
        <w:rPr>
          <w:rFonts w:hint="eastAsia" w:ascii="仿宋_GB2312" w:hAnsi="仿宋_GB2312" w:eastAsia="仿宋_GB2312" w:cs="仿宋_GB2312"/>
          <w:color w:val="000000"/>
          <w:spacing w:val="17"/>
          <w:kern w:val="2"/>
          <w:sz w:val="32"/>
          <w:szCs w:val="32"/>
          <w:lang w:val="zh-TW"/>
        </w:rPr>
        <w:t>。</w:t>
      </w:r>
    </w:p>
    <w:p>
      <w:pPr>
        <w:pStyle w:val="213"/>
        <w:pageBreakBefore w:val="0"/>
        <w:kinsoku/>
        <w:wordWrap/>
        <w:overflowPunct/>
        <w:topLinePunct w:val="0"/>
        <w:autoSpaceDE/>
        <w:autoSpaceDN/>
        <w:bidi w:val="0"/>
        <w:adjustRightInd/>
        <w:snapToGrid/>
        <w:spacing w:line="560" w:lineRule="exact"/>
        <w:ind w:left="210" w:leftChars="100" w:right="210" w:rightChars="100" w:firstLine="708" w:firstLineChars="200"/>
        <w:jc w:val="left"/>
        <w:textAlignment w:val="auto"/>
        <w:rPr>
          <w:rFonts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过程项目分值：5分，我单位经过自评得分：4.8分，得分率为 96%。</w:t>
      </w:r>
    </w:p>
    <w:p>
      <w:pPr>
        <w:pStyle w:val="18"/>
        <w:pageBreakBefore w:val="0"/>
        <w:numPr>
          <w:ilvl w:val="0"/>
          <w:numId w:val="3"/>
        </w:numPr>
        <w:kinsoku/>
        <w:wordWrap/>
        <w:overflowPunct/>
        <w:topLinePunct w:val="0"/>
        <w:autoSpaceDE/>
        <w:autoSpaceDN/>
        <w:bidi w:val="0"/>
        <w:adjustRightInd/>
        <w:snapToGrid/>
        <w:spacing w:after="0" w:line="560" w:lineRule="exact"/>
        <w:ind w:firstLine="321" w:firstLineChars="1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项目产出</w:t>
      </w:r>
    </w:p>
    <w:p>
      <w:pPr>
        <w:pageBreakBefore w:val="0"/>
        <w:widowControl/>
        <w:kinsoku/>
        <w:wordWrap/>
        <w:overflowPunct/>
        <w:topLinePunct w:val="0"/>
        <w:autoSpaceDE/>
        <w:autoSpaceDN/>
        <w:bidi w:val="0"/>
        <w:adjustRightInd/>
        <w:snapToGrid/>
        <w:spacing w:line="560" w:lineRule="exact"/>
        <w:ind w:firstLine="708" w:firstLineChars="200"/>
        <w:jc w:val="left"/>
        <w:textAlignment w:val="auto"/>
        <w:rPr>
          <w:rFonts w:ascii="仿宋_GB2312" w:hAnsi="仿宋_GB2312" w:eastAsia="仿宋_GB2312" w:cs="仿宋_GB2312"/>
          <w:color w:val="000000"/>
          <w:spacing w:val="17"/>
          <w:sz w:val="32"/>
          <w:szCs w:val="32"/>
          <w:lang w:val="zh-TW"/>
        </w:rPr>
      </w:pPr>
      <w:r>
        <w:rPr>
          <w:rFonts w:hint="eastAsia" w:ascii="仿宋_GB2312" w:hAnsi="仿宋_GB2312" w:eastAsia="仿宋_GB2312" w:cs="仿宋_GB2312"/>
          <w:color w:val="000000"/>
          <w:spacing w:val="17"/>
          <w:sz w:val="32"/>
          <w:szCs w:val="32"/>
          <w:lang w:val="zh-TW" w:eastAsia="zh-TW"/>
        </w:rPr>
        <w:t>数量指标方面：主体及附属工程建设项目数：我单位的建设项目共6个，分别为塔城地区检察分院办案用房和专业技术用房主体工程建设；塔城地区检察分院办案用房和专业技术用房</w:t>
      </w:r>
      <w:r>
        <w:rPr>
          <w:rFonts w:hint="eastAsia" w:ascii="仿宋_GB2312" w:hAnsi="仿宋_GB2312" w:eastAsia="仿宋_GB2312" w:cs="仿宋_GB2312"/>
          <w:color w:val="000000"/>
          <w:spacing w:val="17"/>
          <w:sz w:val="32"/>
          <w:szCs w:val="32"/>
          <w:lang w:val="zh-TW" w:eastAsia="zh-CN"/>
        </w:rPr>
        <w:t>－</w:t>
      </w:r>
      <w:r>
        <w:rPr>
          <w:rFonts w:hint="eastAsia" w:ascii="仿宋_GB2312" w:hAnsi="仿宋_GB2312" w:eastAsia="仿宋_GB2312" w:cs="仿宋_GB2312"/>
          <w:color w:val="000000"/>
          <w:spacing w:val="17"/>
          <w:sz w:val="32"/>
          <w:szCs w:val="32"/>
          <w:lang w:val="zh-TW" w:eastAsia="zh-TW"/>
        </w:rPr>
        <w:t>室外围栏增加部分；塔城地区检察分院办案区及控申举报中心；塔城地区检察分院办案用房和专业技术用房室围栏外硬化工程；塔城地区检察分院办案用房和专业技术用房室配套附属设施建设；伊犁哈萨克自治州人民检察院塔城分院配电工程</w:t>
      </w:r>
      <w:r>
        <w:rPr>
          <w:rFonts w:hint="eastAsia" w:ascii="仿宋_GB2312" w:hAnsi="仿宋_GB2312" w:eastAsia="仿宋_GB2312" w:cs="仿宋_GB2312"/>
          <w:color w:val="000000"/>
          <w:spacing w:val="17"/>
          <w:sz w:val="32"/>
          <w:szCs w:val="32"/>
        </w:rPr>
        <w:t>6个项目</w:t>
      </w:r>
      <w:r>
        <w:rPr>
          <w:rFonts w:hint="eastAsia" w:ascii="仿宋_GB2312" w:hAnsi="仿宋_GB2312" w:eastAsia="仿宋_GB2312" w:cs="仿宋_GB2312"/>
          <w:color w:val="000000"/>
          <w:spacing w:val="17"/>
          <w:sz w:val="32"/>
          <w:szCs w:val="32"/>
          <w:lang w:val="zh-TW" w:eastAsia="zh-TW"/>
        </w:rPr>
        <w:t>。与年初指标值一致</w:t>
      </w:r>
      <w:r>
        <w:rPr>
          <w:rFonts w:hint="eastAsia" w:ascii="仿宋_GB2312" w:hAnsi="仿宋_GB2312" w:eastAsia="仿宋_GB2312" w:cs="仿宋_GB2312"/>
          <w:color w:val="000000"/>
          <w:spacing w:val="17"/>
          <w:sz w:val="32"/>
          <w:szCs w:val="32"/>
          <w:lang w:val="zh-TW"/>
        </w:rPr>
        <w:t>。</w:t>
      </w:r>
    </w:p>
    <w:p>
      <w:pPr>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color w:val="000000"/>
          <w:spacing w:val="17"/>
          <w:sz w:val="32"/>
          <w:szCs w:val="32"/>
          <w:lang w:val="zh-TW" w:eastAsia="zh-TW"/>
        </w:rPr>
      </w:pPr>
      <w:r>
        <w:rPr>
          <w:rStyle w:val="52"/>
          <w:rFonts w:hint="eastAsia"/>
          <w:color w:val="auto"/>
        </w:rPr>
        <w:t>质量指标方面：</w:t>
      </w:r>
      <w:r>
        <w:rPr>
          <w:rFonts w:hint="eastAsia" w:ascii="仿宋_GB2312" w:hAnsi="仿宋_GB2312" w:eastAsia="仿宋_GB2312" w:cs="仿宋_GB2312"/>
          <w:color w:val="000000"/>
          <w:spacing w:val="17"/>
          <w:sz w:val="32"/>
          <w:szCs w:val="32"/>
          <w:lang w:val="zh-TW" w:eastAsia="zh-TW"/>
        </w:rPr>
        <w:t>工程竣工验收合格率：验收合格率=100%。经相关部门验收，我单位6个工程项目均合格。</w:t>
      </w:r>
    </w:p>
    <w:p>
      <w:pPr>
        <w:pageBreakBefore w:val="0"/>
        <w:widowControl/>
        <w:kinsoku/>
        <w:wordWrap/>
        <w:overflowPunct/>
        <w:topLinePunct w:val="0"/>
        <w:autoSpaceDE/>
        <w:autoSpaceDN/>
        <w:bidi w:val="0"/>
        <w:adjustRightInd/>
        <w:snapToGrid/>
        <w:spacing w:line="560" w:lineRule="exact"/>
        <w:ind w:firstLine="708" w:firstLineChars="200"/>
        <w:jc w:val="left"/>
        <w:textAlignment w:val="auto"/>
        <w:rPr>
          <w:rFonts w:ascii="仿宋_GB2312" w:hAnsi="仿宋_GB2312" w:eastAsia="仿宋_GB2312" w:cs="仿宋_GB2312"/>
          <w:color w:val="000000"/>
          <w:spacing w:val="17"/>
          <w:sz w:val="32"/>
          <w:szCs w:val="32"/>
          <w:lang w:val="zh-TW" w:eastAsia="zh-TW"/>
        </w:rPr>
      </w:pPr>
      <w:r>
        <w:rPr>
          <w:rFonts w:hint="eastAsia" w:ascii="仿宋_GB2312" w:hAnsi="仿宋_GB2312" w:eastAsia="仿宋_GB2312" w:cs="仿宋_GB2312"/>
          <w:color w:val="000000"/>
          <w:spacing w:val="17"/>
          <w:sz w:val="32"/>
          <w:szCs w:val="32"/>
        </w:rPr>
        <w:t>时效指标方面：</w:t>
      </w:r>
      <w:r>
        <w:rPr>
          <w:rFonts w:hint="eastAsia" w:ascii="仿宋_GB2312" w:hAnsi="仿宋_GB2312" w:eastAsia="仿宋_GB2312" w:cs="仿宋_GB2312"/>
          <w:color w:val="000000"/>
          <w:spacing w:val="17"/>
          <w:sz w:val="32"/>
          <w:szCs w:val="32"/>
          <w:lang w:val="zh-TW" w:eastAsia="zh-TW"/>
        </w:rPr>
        <w:t>工程款结算及时率：20</w:t>
      </w:r>
      <w:r>
        <w:rPr>
          <w:rFonts w:hint="eastAsia" w:ascii="仿宋_GB2312" w:hAnsi="仿宋_GB2312" w:eastAsia="仿宋_GB2312" w:cs="仿宋_GB2312"/>
          <w:color w:val="000000"/>
          <w:spacing w:val="17"/>
          <w:sz w:val="32"/>
          <w:szCs w:val="32"/>
        </w:rPr>
        <w:t>20</w:t>
      </w:r>
      <w:r>
        <w:rPr>
          <w:rFonts w:hint="eastAsia" w:ascii="仿宋_GB2312" w:hAnsi="仿宋_GB2312" w:eastAsia="仿宋_GB2312" w:cs="仿宋_GB2312"/>
          <w:color w:val="000000"/>
          <w:spacing w:val="17"/>
          <w:sz w:val="32"/>
          <w:szCs w:val="32"/>
          <w:lang w:val="zh-TW" w:eastAsia="zh-TW"/>
        </w:rPr>
        <w:t>年财政下拨</w:t>
      </w:r>
      <w:r>
        <w:rPr>
          <w:rFonts w:hint="eastAsia" w:ascii="仿宋_GB2312" w:hAnsi="仿宋_GB2312" w:eastAsia="仿宋_GB2312" w:cs="仿宋_GB2312"/>
          <w:color w:val="000000"/>
          <w:spacing w:val="17"/>
          <w:sz w:val="32"/>
          <w:szCs w:val="32"/>
        </w:rPr>
        <w:t>249.64</w:t>
      </w:r>
      <w:r>
        <w:rPr>
          <w:rFonts w:hint="eastAsia" w:ascii="仿宋_GB2312" w:hAnsi="仿宋_GB2312" w:eastAsia="仿宋_GB2312" w:cs="仿宋_GB2312"/>
          <w:color w:val="000000"/>
          <w:spacing w:val="17"/>
          <w:sz w:val="32"/>
          <w:szCs w:val="32"/>
          <w:lang w:val="zh-TW" w:eastAsia="zh-TW"/>
        </w:rPr>
        <w:t>万元，于2</w:t>
      </w:r>
      <w:r>
        <w:rPr>
          <w:rFonts w:hint="eastAsia" w:ascii="仿宋_GB2312" w:hAnsi="仿宋_GB2312" w:eastAsia="仿宋_GB2312" w:cs="仿宋_GB2312"/>
          <w:color w:val="000000"/>
          <w:spacing w:val="17"/>
          <w:sz w:val="32"/>
          <w:szCs w:val="32"/>
        </w:rPr>
        <w:t>020</w:t>
      </w:r>
      <w:r>
        <w:rPr>
          <w:rFonts w:hint="eastAsia" w:ascii="仿宋_GB2312" w:hAnsi="仿宋_GB2312" w:eastAsia="仿宋_GB2312" w:cs="仿宋_GB2312"/>
          <w:color w:val="000000"/>
          <w:spacing w:val="17"/>
          <w:sz w:val="32"/>
          <w:szCs w:val="32"/>
          <w:lang w:val="zh-TW" w:eastAsia="zh-TW"/>
        </w:rPr>
        <w:t>年12月31日支出</w:t>
      </w:r>
      <w:r>
        <w:rPr>
          <w:rFonts w:hint="eastAsia" w:ascii="仿宋_GB2312" w:hAnsi="仿宋_GB2312" w:eastAsia="仿宋_GB2312" w:cs="仿宋_GB2312"/>
          <w:color w:val="000000"/>
          <w:spacing w:val="17"/>
          <w:sz w:val="32"/>
          <w:szCs w:val="32"/>
        </w:rPr>
        <w:t>249.60万元，工程款结算及时率</w:t>
      </w:r>
      <w:r>
        <w:rPr>
          <w:rFonts w:hint="eastAsia" w:ascii="仿宋_GB2312" w:hAnsi="仿宋_GB2312" w:eastAsia="仿宋_GB2312" w:cs="仿宋_GB2312"/>
          <w:color w:val="000000"/>
          <w:spacing w:val="17"/>
          <w:sz w:val="32"/>
          <w:szCs w:val="32"/>
          <w:lang w:val="en-US" w:eastAsia="zh-CN"/>
        </w:rPr>
        <w:t>100%</w:t>
      </w:r>
      <w:r>
        <w:rPr>
          <w:rFonts w:hint="eastAsia" w:ascii="仿宋_GB2312" w:hAnsi="仿宋_GB2312" w:eastAsia="仿宋_GB2312" w:cs="仿宋_GB2312"/>
          <w:color w:val="000000"/>
          <w:spacing w:val="17"/>
          <w:sz w:val="32"/>
          <w:szCs w:val="32"/>
          <w:lang w:val="zh-TW" w:eastAsia="zh-TW"/>
        </w:rPr>
        <w:t>。</w:t>
      </w:r>
    </w:p>
    <w:p>
      <w:pPr>
        <w:pageBreakBefore w:val="0"/>
        <w:widowControl/>
        <w:kinsoku/>
        <w:wordWrap/>
        <w:overflowPunct/>
        <w:topLinePunct w:val="0"/>
        <w:autoSpaceDE/>
        <w:autoSpaceDN/>
        <w:bidi w:val="0"/>
        <w:adjustRightInd/>
        <w:snapToGrid/>
        <w:spacing w:line="560" w:lineRule="exact"/>
        <w:ind w:firstLine="708" w:firstLineChars="200"/>
        <w:jc w:val="left"/>
        <w:textAlignment w:val="auto"/>
        <w:rPr>
          <w:rFonts w:ascii="仿宋_GB2312" w:hAnsi="仿宋_GB2312" w:eastAsia="仿宋_GB2312" w:cs="仿宋_GB2312"/>
          <w:color w:val="000000"/>
          <w:spacing w:val="17"/>
          <w:sz w:val="32"/>
          <w:szCs w:val="32"/>
          <w:lang w:val="zh-TW"/>
        </w:rPr>
      </w:pPr>
      <w:r>
        <w:rPr>
          <w:rFonts w:hint="eastAsia" w:ascii="仿宋_GB2312" w:hAnsi="仿宋_GB2312" w:eastAsia="仿宋_GB2312" w:cs="仿宋_GB2312"/>
          <w:color w:val="000000"/>
          <w:spacing w:val="17"/>
          <w:sz w:val="32"/>
          <w:szCs w:val="32"/>
        </w:rPr>
        <w:t>成本指标方面：当年工程计量进度成本</w:t>
      </w:r>
      <w:r>
        <w:rPr>
          <w:rFonts w:hint="eastAsia" w:ascii="仿宋_GB2312" w:hAnsi="仿宋_GB2312" w:eastAsia="仿宋_GB2312" w:cs="仿宋_GB2312"/>
          <w:color w:val="000000"/>
          <w:spacing w:val="17"/>
          <w:sz w:val="32"/>
          <w:szCs w:val="32"/>
          <w:lang w:val="zh-TW"/>
        </w:rPr>
        <w:t>。目标值为</w:t>
      </w:r>
      <w:r>
        <w:rPr>
          <w:rFonts w:hint="eastAsia" w:ascii="仿宋_GB2312" w:hAnsi="仿宋_GB2312" w:eastAsia="仿宋_GB2312" w:cs="仿宋_GB2312"/>
          <w:color w:val="000000"/>
          <w:spacing w:val="17"/>
          <w:sz w:val="32"/>
          <w:szCs w:val="32"/>
          <w:lang w:val="zh-TW" w:eastAsia="zh-TW"/>
        </w:rPr>
        <w:t>≤249.64万元，业绩值：249.60</w:t>
      </w:r>
      <w:r>
        <w:rPr>
          <w:rFonts w:hint="eastAsia" w:ascii="仿宋_GB2312" w:hAnsi="仿宋_GB2312" w:eastAsia="仿宋_GB2312" w:cs="仿宋_GB2312"/>
          <w:color w:val="000000"/>
          <w:spacing w:val="17"/>
          <w:sz w:val="32"/>
          <w:szCs w:val="32"/>
          <w:lang w:val="zh-TW"/>
        </w:rPr>
        <w:t>万元。</w:t>
      </w:r>
    </w:p>
    <w:p>
      <w:pPr>
        <w:pStyle w:val="213"/>
        <w:pageBreakBefore w:val="0"/>
        <w:kinsoku/>
        <w:wordWrap/>
        <w:overflowPunct/>
        <w:topLinePunct w:val="0"/>
        <w:autoSpaceDE/>
        <w:autoSpaceDN/>
        <w:bidi w:val="0"/>
        <w:adjustRightInd/>
        <w:snapToGrid/>
        <w:spacing w:line="560" w:lineRule="exact"/>
        <w:ind w:left="210" w:leftChars="100" w:right="210" w:rightChars="100" w:firstLine="708" w:firstLineChars="200"/>
        <w:jc w:val="left"/>
        <w:textAlignment w:val="auto"/>
      </w:pPr>
      <w:r>
        <w:rPr>
          <w:rFonts w:hint="eastAsia" w:ascii="仿宋_GB2312" w:hAnsi="仿宋_GB2312" w:eastAsia="仿宋_GB2312" w:cs="仿宋_GB2312"/>
          <w:color w:val="000000"/>
          <w:spacing w:val="17"/>
          <w:sz w:val="32"/>
          <w:szCs w:val="32"/>
          <w:lang w:val="en-US" w:eastAsia="zh-CN"/>
        </w:rPr>
        <w:t>项目产出分值：50分，我单位经过自评得分：48.5分，得分率为 97%。</w:t>
      </w:r>
    </w:p>
    <w:p>
      <w:pPr>
        <w:pStyle w:val="18"/>
        <w:pageBreakBefore w:val="0"/>
        <w:numPr>
          <w:ilvl w:val="0"/>
          <w:numId w:val="3"/>
        </w:numPr>
        <w:kinsoku/>
        <w:wordWrap/>
        <w:overflowPunct/>
        <w:topLinePunct w:val="0"/>
        <w:autoSpaceDE/>
        <w:autoSpaceDN/>
        <w:bidi w:val="0"/>
        <w:adjustRightInd/>
        <w:snapToGrid/>
        <w:spacing w:after="0" w:line="560" w:lineRule="exact"/>
        <w:ind w:firstLine="321" w:firstLineChars="1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效益情况</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lang w:val="zh-TW" w:eastAsia="zh-TW"/>
        </w:rPr>
      </w:pPr>
      <w:r>
        <w:rPr>
          <w:rFonts w:hint="eastAsia" w:ascii="仿宋_GB2312" w:hAnsi="仿宋_GB2312" w:eastAsia="仿宋_GB2312" w:cs="仿宋_GB2312"/>
          <w:sz w:val="32"/>
          <w:szCs w:val="32"/>
        </w:rPr>
        <w:t>经济效益指标方面：</w:t>
      </w:r>
      <w:r>
        <w:rPr>
          <w:rFonts w:hint="eastAsia" w:ascii="仿宋_GB2312" w:hAnsi="仿宋_GB2312" w:eastAsia="仿宋_GB2312" w:cs="仿宋_GB2312"/>
          <w:sz w:val="32"/>
          <w:szCs w:val="32"/>
          <w:lang w:val="zh-TW"/>
        </w:rPr>
        <w:t>设计功能实现率</w:t>
      </w:r>
      <w:r>
        <w:rPr>
          <w:rFonts w:hint="eastAsia" w:ascii="仿宋_GB2312" w:hAnsi="仿宋_GB2312" w:eastAsia="仿宋_GB2312" w:cs="仿宋_GB2312"/>
          <w:sz w:val="32"/>
          <w:szCs w:val="32"/>
          <w:lang w:val="zh-TW" w:eastAsia="zh-TW"/>
        </w:rPr>
        <w:t>，</w:t>
      </w:r>
      <w:r>
        <w:rPr>
          <w:rFonts w:hint="eastAsia" w:ascii="仿宋_GB2312" w:hAnsi="仿宋_GB2312" w:eastAsia="仿宋_GB2312" w:cs="仿宋_GB2312"/>
          <w:sz w:val="32"/>
          <w:szCs w:val="32"/>
          <w:lang w:val="zh-TW"/>
        </w:rPr>
        <w:t>项目设计功能得以实现，指标赋分10分，实际得分</w:t>
      </w: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lang w:val="zh-TW"/>
        </w:rPr>
        <w:t>分</w:t>
      </w:r>
      <w:r>
        <w:rPr>
          <w:rFonts w:hint="eastAsia" w:ascii="仿宋_GB2312" w:hAnsi="仿宋_GB2312" w:eastAsia="仿宋_GB2312" w:cs="仿宋_GB2312"/>
          <w:sz w:val="32"/>
          <w:szCs w:val="32"/>
          <w:lang w:val="zh-TW" w:eastAsia="zh-TW"/>
        </w:rPr>
        <w:t>。</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lang w:val="zh-TW"/>
        </w:rPr>
      </w:pPr>
      <w:r>
        <w:rPr>
          <w:rFonts w:hint="eastAsia" w:ascii="仿宋_GB2312" w:hAnsi="仿宋_GB2312" w:eastAsia="仿宋_GB2312" w:cs="仿宋_GB2312"/>
          <w:sz w:val="32"/>
          <w:szCs w:val="32"/>
        </w:rPr>
        <w:t>社会效益指标方面：</w:t>
      </w:r>
      <w:r>
        <w:rPr>
          <w:rFonts w:hint="eastAsia" w:ascii="仿宋_GB2312" w:hAnsi="仿宋_GB2312" w:eastAsia="仿宋_GB2312" w:cs="仿宋_GB2312"/>
          <w:sz w:val="32"/>
          <w:szCs w:val="32"/>
          <w:lang w:val="zh-TW"/>
        </w:rPr>
        <w:t>提高办案和办公工作效率，指标赋分10分，实际得分</w:t>
      </w:r>
      <w:r>
        <w:rPr>
          <w:rFonts w:hint="eastAsia" w:ascii="仿宋_GB2312" w:hAnsi="仿宋_GB2312" w:eastAsia="仿宋_GB2312" w:cs="仿宋_GB2312"/>
          <w:sz w:val="32"/>
          <w:szCs w:val="32"/>
          <w:lang w:val="en-US" w:eastAsia="zh-CN"/>
        </w:rPr>
        <w:t>10</w:t>
      </w:r>
      <w:bookmarkStart w:id="2" w:name="_GoBack"/>
      <w:bookmarkEnd w:id="2"/>
      <w:r>
        <w:rPr>
          <w:rFonts w:hint="eastAsia" w:ascii="仿宋_GB2312" w:hAnsi="仿宋_GB2312" w:eastAsia="仿宋_GB2312" w:cs="仿宋_GB2312"/>
          <w:sz w:val="32"/>
          <w:szCs w:val="32"/>
          <w:lang w:val="zh-TW"/>
        </w:rPr>
        <w:t>分</w:t>
      </w:r>
      <w:r>
        <w:rPr>
          <w:rFonts w:hint="eastAsia" w:ascii="仿宋_GB2312" w:hAnsi="仿宋_GB2312" w:eastAsia="仿宋_GB2312" w:cs="仿宋_GB2312"/>
          <w:sz w:val="32"/>
          <w:szCs w:val="32"/>
          <w:lang w:val="zh-TW" w:eastAsia="zh-TW"/>
        </w:rPr>
        <w:t>。</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lang w:val="zh-TW" w:eastAsia="zh-TW"/>
        </w:rPr>
      </w:pPr>
      <w:r>
        <w:rPr>
          <w:rFonts w:hint="eastAsia" w:ascii="仿宋_GB2312" w:hAnsi="仿宋_GB2312" w:eastAsia="仿宋_GB2312" w:cs="仿宋_GB2312"/>
          <w:sz w:val="32"/>
          <w:szCs w:val="32"/>
        </w:rPr>
        <w:t>可持续影响指标方面：</w:t>
      </w:r>
      <w:r>
        <w:rPr>
          <w:rFonts w:hint="eastAsia" w:ascii="仿宋_GB2312" w:hAnsi="仿宋_GB2312" w:eastAsia="仿宋_GB2312" w:cs="仿宋_GB2312"/>
          <w:sz w:val="32"/>
          <w:szCs w:val="32"/>
          <w:lang w:val="zh-TW"/>
        </w:rPr>
        <w:t>改善办案办公条件，指标赋分10分，实际得分10分</w:t>
      </w:r>
      <w:r>
        <w:rPr>
          <w:rFonts w:hint="eastAsia" w:ascii="仿宋_GB2312" w:hAnsi="仿宋_GB2312" w:eastAsia="仿宋_GB2312" w:cs="仿宋_GB2312"/>
          <w:sz w:val="32"/>
          <w:szCs w:val="32"/>
          <w:lang w:val="zh-TW" w:eastAsia="zh-TW"/>
        </w:rPr>
        <w:t>。</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lang w:val="zh-TW" w:eastAsia="zh-TW"/>
        </w:rPr>
      </w:pPr>
      <w:r>
        <w:rPr>
          <w:rFonts w:hint="eastAsia" w:ascii="仿宋_GB2312" w:hAnsi="仿宋_GB2312" w:eastAsia="仿宋_GB2312" w:cs="仿宋_GB2312"/>
          <w:sz w:val="32"/>
          <w:szCs w:val="32"/>
        </w:rPr>
        <w:t>满意度指标方面：干警满意度，</w:t>
      </w:r>
      <w:r>
        <w:rPr>
          <w:rFonts w:hint="eastAsia" w:ascii="仿宋_GB2312" w:hAnsi="仿宋_GB2312" w:eastAsia="仿宋_GB2312" w:cs="仿宋_GB2312"/>
          <w:sz w:val="32"/>
          <w:szCs w:val="32"/>
          <w:lang w:val="zh-TW"/>
        </w:rPr>
        <w:t>指标赋分</w:t>
      </w:r>
      <w:r>
        <w:rPr>
          <w:rFonts w:hint="eastAsia" w:ascii="仿宋_GB2312" w:hAnsi="仿宋_GB2312" w:eastAsia="仿宋_GB2312" w:cs="仿宋_GB2312"/>
          <w:sz w:val="32"/>
          <w:szCs w:val="32"/>
        </w:rPr>
        <w:t>10分，</w:t>
      </w:r>
      <w:r>
        <w:rPr>
          <w:rFonts w:hint="eastAsia" w:ascii="仿宋_GB2312" w:hAnsi="仿宋_GB2312" w:eastAsia="仿宋_GB2312" w:cs="仿宋_GB2312"/>
          <w:sz w:val="32"/>
          <w:szCs w:val="32"/>
          <w:lang w:val="zh-TW"/>
        </w:rPr>
        <w:t>实际得分10分</w:t>
      </w:r>
      <w:r>
        <w:rPr>
          <w:rFonts w:hint="eastAsia" w:ascii="仿宋_GB2312" w:hAnsi="仿宋_GB2312" w:eastAsia="仿宋_GB2312" w:cs="仿宋_GB2312"/>
          <w:sz w:val="32"/>
          <w:szCs w:val="32"/>
          <w:lang w:val="zh-TW" w:eastAsia="zh-TW"/>
        </w:rPr>
        <w:t>。</w:t>
      </w:r>
    </w:p>
    <w:p>
      <w:pPr>
        <w:pStyle w:val="213"/>
        <w:pageBreakBefore w:val="0"/>
        <w:kinsoku/>
        <w:wordWrap/>
        <w:overflowPunct/>
        <w:topLinePunct w:val="0"/>
        <w:autoSpaceDE/>
        <w:autoSpaceDN/>
        <w:bidi w:val="0"/>
        <w:adjustRightInd/>
        <w:snapToGrid/>
        <w:spacing w:line="560" w:lineRule="exact"/>
        <w:ind w:left="210" w:leftChars="100" w:right="210" w:rightChars="100" w:firstLine="708" w:firstLineChars="200"/>
        <w:jc w:val="left"/>
        <w:textAlignment w:val="auto"/>
      </w:pPr>
      <w:r>
        <w:rPr>
          <w:rFonts w:hint="eastAsia" w:ascii="仿宋_GB2312" w:hAnsi="仿宋_GB2312" w:eastAsia="仿宋_GB2312" w:cs="仿宋_GB2312"/>
          <w:color w:val="000000"/>
          <w:spacing w:val="17"/>
          <w:sz w:val="32"/>
          <w:szCs w:val="32"/>
          <w:lang w:val="en-US" w:eastAsia="zh-CN"/>
        </w:rPr>
        <w:t>项目效益分值：40分，我单位经过自评得分：39分，得分率为 97.5%。</w:t>
      </w:r>
    </w:p>
    <w:p>
      <w:pPr>
        <w:pageBreakBefore w:val="0"/>
        <w:kinsoku/>
        <w:wordWrap/>
        <w:overflowPunct/>
        <w:topLinePunct w:val="0"/>
        <w:autoSpaceDE/>
        <w:autoSpaceDN/>
        <w:bidi w:val="0"/>
        <w:adjustRightInd/>
        <w:snapToGrid/>
        <w:spacing w:line="560" w:lineRule="exact"/>
        <w:ind w:firstLine="641"/>
        <w:textAlignment w:val="auto"/>
        <w:rPr>
          <w:rStyle w:val="52"/>
          <w:b/>
          <w:bCs/>
          <w:color w:val="auto"/>
        </w:rPr>
      </w:pPr>
      <w:r>
        <w:rPr>
          <w:rFonts w:hint="eastAsia" w:ascii="黑体" w:hAnsi="黑体" w:eastAsia="黑体"/>
          <w:b/>
          <w:bCs/>
          <w:sz w:val="32"/>
          <w:szCs w:val="32"/>
        </w:rPr>
        <w:t>五、主要经验及做法、存在的问题及原因分析</w:t>
      </w:r>
    </w:p>
    <w:p>
      <w:pPr>
        <w:pageBreakBefore w:val="0"/>
        <w:kinsoku/>
        <w:wordWrap/>
        <w:overflowPunct/>
        <w:topLinePunct w:val="0"/>
        <w:autoSpaceDE/>
        <w:autoSpaceDN/>
        <w:bidi w:val="0"/>
        <w:adjustRightInd/>
        <w:snapToGrid/>
        <w:spacing w:line="56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（一）主要经验及做法</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pageBreakBefore w:val="0"/>
        <w:numPr>
          <w:ilvl w:val="0"/>
          <w:numId w:val="5"/>
        </w:numPr>
        <w:kinsoku/>
        <w:wordWrap/>
        <w:overflowPunct/>
        <w:topLinePunct w:val="0"/>
        <w:autoSpaceDE/>
        <w:autoSpaceDN/>
        <w:bidi w:val="0"/>
        <w:adjustRightInd/>
        <w:snapToGrid/>
        <w:spacing w:line="560" w:lineRule="exac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存在的问题及原因分析</w:t>
      </w:r>
    </w:p>
    <w:p>
      <w:pPr>
        <w:pStyle w:val="2"/>
        <w:pageBreakBefore w:val="0"/>
        <w:numPr>
          <w:ilvl w:val="0"/>
          <w:numId w:val="0"/>
        </w:numPr>
        <w:kinsoku/>
        <w:wordWrap/>
        <w:overflowPunct/>
        <w:topLinePunct w:val="0"/>
        <w:autoSpaceDE/>
        <w:autoSpaceDN/>
        <w:bidi w:val="0"/>
        <w:adjustRightInd/>
        <w:snapToGrid/>
        <w:spacing w:before="0" w:after="0" w:line="560" w:lineRule="exact"/>
        <w:ind w:firstLine="643" w:firstLineChars="200"/>
        <w:jc w:val="both"/>
        <w:textAlignment w:val="auto"/>
        <w:rPr>
          <w:rFonts w:ascii="仿宋_GB2312" w:hAnsi="仿宋_GB2312" w:eastAsia="仿宋_GB2312" w:cs="仿宋_GB2312"/>
          <w:b/>
          <w:bCs/>
          <w:kern w:val="2"/>
        </w:rPr>
      </w:pPr>
      <w:r>
        <w:rPr>
          <w:rFonts w:hint="eastAsia" w:ascii="仿宋_GB2312" w:hAnsi="仿宋_GB2312" w:eastAsia="仿宋_GB2312" w:cs="仿宋_GB2312"/>
          <w:b/>
          <w:bCs/>
          <w:kern w:val="2"/>
        </w:rPr>
        <w:t>1、</w:t>
      </w:r>
      <w:r>
        <w:rPr>
          <w:rFonts w:hint="eastAsia" w:ascii="仿宋_GB2312" w:hAnsi="仿宋_GB2312" w:eastAsia="仿宋_GB2312" w:cs="仿宋_GB2312"/>
          <w:b/>
          <w:bCs/>
          <w:kern w:val="2"/>
          <w:lang w:eastAsia="zh-CN"/>
        </w:rPr>
        <w:t>存在的问题</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加强项目实施管理。采取开展调研、中期评估等有效管理措施，促进各项目顺利实施。</w:t>
      </w:r>
    </w:p>
    <w:p>
      <w:pPr>
        <w:pageBreakBefore w:val="0"/>
        <w:kinsoku/>
        <w:wordWrap/>
        <w:overflowPunct/>
        <w:topLinePunct w:val="0"/>
        <w:autoSpaceDE/>
        <w:autoSpaceDN/>
        <w:bidi w:val="0"/>
        <w:adjustRightInd/>
        <w:snapToGrid/>
        <w:spacing w:line="560" w:lineRule="exact"/>
        <w:ind w:firstLine="640" w:firstLineChars="200"/>
        <w:textAlignment w:val="auto"/>
      </w:pPr>
      <w:r>
        <w:rPr>
          <w:rFonts w:hint="eastAsia" w:ascii="仿宋_GB2312" w:hAnsi="仿宋_GB2312" w:eastAsia="仿宋_GB2312" w:cs="仿宋_GB2312"/>
          <w:sz w:val="32"/>
          <w:szCs w:val="32"/>
        </w:rPr>
        <w:t>2、原因分析工作过程中，我们严格规范财务和稽查考核制度，严格审批程序。本项目资金审批严格依据相关制度执行。通过严格规范的工作程序，确保资金专款专用。</w:t>
      </w:r>
    </w:p>
    <w:p>
      <w:pPr>
        <w:pageBreakBefore w:val="0"/>
        <w:numPr>
          <w:ilvl w:val="0"/>
          <w:numId w:val="6"/>
        </w:numPr>
        <w:kinsoku/>
        <w:wordWrap/>
        <w:overflowPunct/>
        <w:topLinePunct w:val="0"/>
        <w:autoSpaceDE/>
        <w:autoSpaceDN/>
        <w:bidi w:val="0"/>
        <w:adjustRightInd/>
        <w:snapToGrid/>
        <w:spacing w:line="560" w:lineRule="exact"/>
        <w:ind w:firstLine="641"/>
        <w:textAlignment w:val="auto"/>
        <w:rPr>
          <w:rFonts w:ascii="黑体" w:hAnsi="黑体" w:eastAsia="黑体"/>
          <w:b/>
          <w:bCs/>
          <w:sz w:val="32"/>
          <w:szCs w:val="32"/>
        </w:rPr>
      </w:pPr>
      <w:r>
        <w:rPr>
          <w:rFonts w:hint="eastAsia" w:ascii="黑体" w:hAnsi="黑体" w:eastAsia="黑体"/>
          <w:b/>
          <w:bCs/>
          <w:sz w:val="32"/>
          <w:szCs w:val="32"/>
        </w:rPr>
        <w:t>有关建议</w:t>
      </w:r>
    </w:p>
    <w:p>
      <w:pPr>
        <w:pageBreakBefore w:val="0"/>
        <w:numPr>
          <w:ilvl w:val="0"/>
          <w:numId w:val="7"/>
        </w:numPr>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pPr>
        <w:pageBreakBefore w:val="0"/>
        <w:numPr>
          <w:ilvl w:val="0"/>
          <w:numId w:val="7"/>
        </w:numPr>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财政和项目实施单位严格实行“三专”管理，即设专户、建专帐、定专人。同时，资金拨付除坚持按项目计划、工程进度和质量分阶段验收拨款外，还坚持部门联审制，项目单位先做事、后</w:t>
      </w:r>
      <w:r>
        <w:rPr>
          <w:rFonts w:hint="eastAsia" w:ascii="仿宋_GB2312" w:hAnsi="仿宋_GB2312" w:eastAsia="仿宋_GB2312" w:cs="仿宋_GB2312"/>
          <w:sz w:val="32"/>
          <w:szCs w:val="32"/>
          <w:lang w:eastAsia="zh-CN"/>
        </w:rPr>
        <w:t>报账</w:t>
      </w:r>
      <w:r>
        <w:rPr>
          <w:rFonts w:hint="eastAsia" w:ascii="仿宋_GB2312" w:hAnsi="仿宋_GB2312" w:eastAsia="仿宋_GB2312" w:cs="仿宋_GB2312"/>
          <w:sz w:val="32"/>
          <w:szCs w:val="32"/>
        </w:rPr>
        <w:t>，从而确保专项资金专款专用，有效地防止了截留、挤占和挪用。</w:t>
      </w:r>
    </w:p>
    <w:p>
      <w:pPr>
        <w:pageBreakBefore w:val="0"/>
        <w:numPr>
          <w:ilvl w:val="0"/>
          <w:numId w:val="6"/>
        </w:numPr>
        <w:kinsoku/>
        <w:wordWrap/>
        <w:overflowPunct/>
        <w:topLinePunct w:val="0"/>
        <w:autoSpaceDE/>
        <w:autoSpaceDN/>
        <w:bidi w:val="0"/>
        <w:adjustRightInd/>
        <w:snapToGrid/>
        <w:spacing w:line="560" w:lineRule="exact"/>
        <w:ind w:firstLine="641"/>
        <w:textAlignment w:val="auto"/>
        <w:rPr>
          <w:rFonts w:ascii="黑体" w:hAnsi="黑体" w:eastAsia="黑体"/>
          <w:b/>
          <w:bCs/>
          <w:sz w:val="32"/>
          <w:szCs w:val="32"/>
        </w:rPr>
      </w:pPr>
      <w:r>
        <w:rPr>
          <w:rFonts w:hint="eastAsia" w:ascii="黑体" w:hAnsi="黑体" w:eastAsia="黑体"/>
          <w:b/>
          <w:bCs/>
          <w:sz w:val="32"/>
          <w:szCs w:val="32"/>
        </w:rPr>
        <w:t>其他需要说</w:t>
      </w:r>
      <w:bookmarkStart w:id="1" w:name="page8"/>
      <w:bookmarkEnd w:id="1"/>
      <w:r>
        <w:rPr>
          <w:rFonts w:hint="eastAsia" w:ascii="黑体" w:hAnsi="黑体" w:eastAsia="黑体"/>
          <w:b/>
          <w:bCs/>
          <w:sz w:val="32"/>
          <w:szCs w:val="32"/>
        </w:rPr>
        <w:t>明的问题</w:t>
      </w:r>
    </w:p>
    <w:p>
      <w:pPr>
        <w:pStyle w:val="2"/>
        <w:pageBreakBefore w:val="0"/>
        <w:kinsoku/>
        <w:wordWrap/>
        <w:overflowPunct/>
        <w:topLinePunct w:val="0"/>
        <w:autoSpaceDE/>
        <w:autoSpaceDN/>
        <w:bidi w:val="0"/>
        <w:adjustRightInd/>
        <w:snapToGrid/>
        <w:spacing w:before="0" w:after="0" w:line="560" w:lineRule="exact"/>
        <w:ind w:firstLine="640" w:firstLineChars="200"/>
        <w:jc w:val="left"/>
        <w:textAlignment w:val="auto"/>
        <w:sectPr>
          <w:footerReference r:id="rId3" w:type="default"/>
          <w:pgSz w:w="11906" w:h="16838"/>
          <w:pgMar w:top="1440" w:right="1558" w:bottom="1440" w:left="1800" w:header="851" w:footer="992" w:gutter="0"/>
          <w:cols w:space="425" w:num="1"/>
          <w:docGrid w:type="lines" w:linePitch="312" w:charSpace="0"/>
        </w:sectPr>
      </w:pPr>
      <w:r>
        <w:rPr>
          <w:rFonts w:hint="eastAsia" w:ascii="仿宋_GB2312" w:hAnsi="仿宋_GB2312" w:eastAsia="仿宋_GB2312" w:cs="仿宋_GB2312"/>
          <w:b w:val="0"/>
          <w:bCs w:val="0"/>
          <w:kern w:val="2"/>
        </w:rPr>
        <w:t>无。</w:t>
      </w:r>
    </w:p>
    <w:p>
      <w:pPr>
        <w:pageBreakBefore w:val="0"/>
        <w:kinsoku/>
        <w:wordWrap/>
        <w:overflowPunct/>
        <w:topLinePunct w:val="0"/>
        <w:autoSpaceDE/>
        <w:autoSpaceDN/>
        <w:bidi w:val="0"/>
        <w:adjustRightInd/>
        <w:snapToGrid/>
        <w:spacing w:line="560" w:lineRule="exact"/>
        <w:textAlignment w:val="auto"/>
        <w:rPr>
          <w:rFonts w:ascii="仿宋_GB2312"/>
          <w:bCs/>
          <w:sz w:val="32"/>
          <w:szCs w:val="32"/>
        </w:rPr>
      </w:pPr>
      <w:r>
        <w:rPr>
          <w:rFonts w:hint="eastAsia" w:ascii="仿宋_GB2312"/>
          <w:bCs/>
          <w:sz w:val="32"/>
          <w:szCs w:val="32"/>
        </w:rPr>
        <w:t>附件1</w:t>
      </w:r>
    </w:p>
    <w:tbl>
      <w:tblPr>
        <w:tblStyle w:val="19"/>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76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235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指标解释</w:t>
            </w:r>
          </w:p>
        </w:tc>
        <w:tc>
          <w:tcPr>
            <w:tcW w:w="5188"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指标说明</w:t>
            </w:r>
          </w:p>
        </w:tc>
        <w:tc>
          <w:tcPr>
            <w:tcW w:w="130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136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39"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决策　</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tc>
        <w:tc>
          <w:tcPr>
            <w:tcW w:w="767"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项目立项　</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立项依据</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充分性</w:t>
            </w:r>
          </w:p>
        </w:tc>
        <w:tc>
          <w:tcPr>
            <w:tcW w:w="2353" w:type="dxa"/>
            <w:shd w:val="clear" w:color="auto" w:fill="FFFFF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项目立项是否符合法律法规、相关政策、发展规划以及部门职责，用以反映和考核项目立项依据情况。</w:t>
            </w:r>
          </w:p>
        </w:tc>
        <w:tc>
          <w:tcPr>
            <w:tcW w:w="5188" w:type="dxa"/>
            <w:shd w:val="clear" w:color="auto" w:fill="FFFFFF"/>
            <w:vAlign w:val="center"/>
          </w:tcPr>
          <w:p>
            <w:pPr>
              <w:pageBreakBefore w:val="0"/>
              <w:widowControl/>
              <w:kinsoku/>
              <w:wordWrap/>
              <w:overflowPunct/>
              <w:topLinePunct w:val="0"/>
              <w:autoSpaceDE/>
              <w:autoSpaceDN/>
              <w:bidi w:val="0"/>
              <w:adjustRightInd/>
              <w:snapToGrid/>
              <w:spacing w:line="560" w:lineRule="exact"/>
              <w:jc w:val="left"/>
              <w:textAlignment w:val="auto"/>
              <w:rPr>
                <w:rFonts w:ascii="宋体" w:hAnsi="宋体" w:cs="宋体"/>
                <w:color w:val="000000"/>
                <w:kern w:val="0"/>
                <w:sz w:val="18"/>
                <w:szCs w:val="18"/>
              </w:rPr>
            </w:pPr>
            <w:r>
              <w:rPr>
                <w:rFonts w:hint="eastAsia" w:ascii="宋体" w:hAnsi="宋体" w:cs="宋体"/>
                <w:color w:val="000000"/>
                <w:kern w:val="0"/>
                <w:sz w:val="18"/>
                <w:szCs w:val="18"/>
              </w:rPr>
              <w:t>评价要点：</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①项目立项是否符合国家法律法规、国民经济发展规划和相关政策；</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②项目立项是否符合行业发展规划和政策要求；</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③项目立项是否与部门职责范围相符，属于部门履职所需；</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④项目是否属于公共财政支持范围，是否符合中央、地方事权支出责任划分原则；</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⑤项目是否与相关部门同类项目或部门内部相关项目重复。</w:t>
            </w:r>
          </w:p>
        </w:tc>
        <w:tc>
          <w:tcPr>
            <w:tcW w:w="130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left"/>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136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left"/>
              <w:textAlignment w:val="auto"/>
              <w:rPr>
                <w:rFonts w:ascii="宋体" w:hAnsi="宋体" w:cs="宋体"/>
                <w:color w:val="000000"/>
                <w:kern w:val="0"/>
                <w:sz w:val="18"/>
                <w:szCs w:val="18"/>
              </w:rPr>
            </w:pPr>
            <w:r>
              <w:rPr>
                <w:rFonts w:hint="eastAsia" w:ascii="宋体" w:hAnsi="宋体" w:cs="宋体"/>
                <w:color w:val="000000"/>
                <w:kern w:val="0"/>
                <w:sz w:val="18"/>
                <w:szCs w:val="18"/>
              </w:rPr>
              <w:t>0.3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39"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767"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立项程序</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规范性</w:t>
            </w:r>
          </w:p>
        </w:tc>
        <w:tc>
          <w:tcPr>
            <w:tcW w:w="2353" w:type="dxa"/>
            <w:shd w:val="clear" w:color="auto" w:fill="FFFFF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项目申请、设立过程是否符合相关要求，用以反映和考核项目立项的规范情况。</w:t>
            </w:r>
          </w:p>
        </w:tc>
        <w:tc>
          <w:tcPr>
            <w:tcW w:w="5188" w:type="dxa"/>
            <w:shd w:val="clear" w:color="auto" w:fill="FFFFFF"/>
            <w:vAlign w:val="center"/>
          </w:tcPr>
          <w:p>
            <w:pPr>
              <w:pageBreakBefore w:val="0"/>
              <w:widowControl/>
              <w:kinsoku/>
              <w:wordWrap/>
              <w:overflowPunct/>
              <w:topLinePunct w:val="0"/>
              <w:autoSpaceDE/>
              <w:autoSpaceDN/>
              <w:bidi w:val="0"/>
              <w:adjustRightInd/>
              <w:snapToGrid/>
              <w:spacing w:line="560" w:lineRule="exact"/>
              <w:jc w:val="left"/>
              <w:textAlignment w:val="auto"/>
              <w:rPr>
                <w:rFonts w:ascii="宋体" w:hAnsi="宋体" w:cs="宋体"/>
                <w:color w:val="000000"/>
                <w:kern w:val="0"/>
                <w:sz w:val="18"/>
                <w:szCs w:val="18"/>
              </w:rPr>
            </w:pPr>
            <w:r>
              <w:rPr>
                <w:rFonts w:hint="eastAsia" w:ascii="宋体" w:hAnsi="宋体" w:cs="宋体"/>
                <w:color w:val="000000"/>
                <w:kern w:val="0"/>
                <w:sz w:val="18"/>
                <w:szCs w:val="18"/>
              </w:rPr>
              <w:t>评价要点：</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①项目是否按照规定的程序申请设立；</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②审批文件、材料是否符合相关要求；</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③事前是否已经过必要的可行性研究、专家论证、风险评估、绩效评估、集体决策。</w:t>
            </w:r>
          </w:p>
        </w:tc>
        <w:tc>
          <w:tcPr>
            <w:tcW w:w="130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left"/>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136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left"/>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39"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76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绩效目标　</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绩效目标</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合理性</w:t>
            </w:r>
          </w:p>
        </w:tc>
        <w:tc>
          <w:tcPr>
            <w:tcW w:w="2353"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项目所设定的绩效目标是否依据充分，是否符合客观实际，用以反映和考核项目绩效目标与项目实施的相符情况。</w:t>
            </w:r>
          </w:p>
        </w:tc>
        <w:tc>
          <w:tcPr>
            <w:tcW w:w="5188"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left"/>
              <w:textAlignment w:val="auto"/>
              <w:rPr>
                <w:rFonts w:ascii="宋体" w:hAnsi="宋体" w:cs="宋体"/>
                <w:color w:val="000000"/>
                <w:kern w:val="0"/>
                <w:sz w:val="18"/>
                <w:szCs w:val="18"/>
              </w:rPr>
            </w:pPr>
            <w:r>
              <w:rPr>
                <w:rFonts w:hint="eastAsia" w:ascii="宋体" w:hAnsi="宋体" w:cs="宋体"/>
                <w:color w:val="000000"/>
                <w:kern w:val="0"/>
                <w:sz w:val="18"/>
                <w:szCs w:val="18"/>
              </w:rPr>
              <w:t>评价要点：</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（如未设定预算绩效目标，也可考核其他工作任务目标）</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①项目是否有绩效目标；</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②项目绩效目标与实际工作内容是否具有相关性；</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③项目预期产出效益和效果是否符合正常的业绩水平；</w:t>
            </w:r>
          </w:p>
          <w:p>
            <w:pPr>
              <w:pageBreakBefore w:val="0"/>
              <w:widowControl/>
              <w:kinsoku/>
              <w:wordWrap/>
              <w:overflowPunct/>
              <w:topLinePunct w:val="0"/>
              <w:autoSpaceDE/>
              <w:autoSpaceDN/>
              <w:bidi w:val="0"/>
              <w:adjustRightInd/>
              <w:snapToGrid/>
              <w:spacing w:line="560" w:lineRule="exact"/>
              <w:jc w:val="left"/>
              <w:textAlignment w:val="auto"/>
              <w:rPr>
                <w:rFonts w:ascii="宋体" w:hAnsi="宋体" w:cs="宋体"/>
                <w:color w:val="000000"/>
                <w:kern w:val="0"/>
                <w:sz w:val="18"/>
                <w:szCs w:val="18"/>
              </w:rPr>
            </w:pPr>
            <w:r>
              <w:rPr>
                <w:rFonts w:hint="eastAsia" w:ascii="宋体" w:hAnsi="宋体" w:cs="宋体"/>
                <w:color w:val="000000"/>
                <w:kern w:val="0"/>
                <w:sz w:val="18"/>
                <w:szCs w:val="18"/>
              </w:rPr>
              <w:t>④是否与预算确定的项目投资额或资金量相匹配。</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left"/>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left"/>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39"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决策　</w:t>
            </w:r>
          </w:p>
        </w:tc>
        <w:tc>
          <w:tcPr>
            <w:tcW w:w="76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绩效目标</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绩效指标</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明确性</w:t>
            </w:r>
          </w:p>
        </w:tc>
        <w:tc>
          <w:tcPr>
            <w:tcW w:w="2353"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依据绩效目标设定的绩效指标是否清晰、细化、可衡量等，用以反映和考核项目绩效目标的明细化情况。</w:t>
            </w:r>
          </w:p>
        </w:tc>
        <w:tc>
          <w:tcPr>
            <w:tcW w:w="5188"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评价要点：</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①是否将项目绩效目标细化分解为具体的绩效指标；</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②是否通过清晰、可衡量的指标值予以体现；</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③是否与项目目标任务数或计划数相对应。</w:t>
            </w:r>
            <w:r>
              <w:rPr>
                <w:rFonts w:hint="eastAsia" w:ascii="宋体" w:hAnsi="宋体" w:cs="宋体"/>
                <w:color w:val="000000"/>
                <w:kern w:val="0"/>
                <w:sz w:val="18"/>
                <w:szCs w:val="18"/>
              </w:rPr>
              <w:br w:type="textWrapping"/>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39"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767"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资金投入</w:t>
            </w:r>
          </w:p>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预算编制</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科学性</w:t>
            </w:r>
          </w:p>
        </w:tc>
        <w:tc>
          <w:tcPr>
            <w:tcW w:w="2353" w:type="dxa"/>
            <w:shd w:val="clear" w:color="auto" w:fill="FFFFF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项目预算编制是否经过科学论证、有明确标准，资金额度与年度目标是否相适应，用以反映和考核项目预算编制的科学性、合理性情况。</w:t>
            </w:r>
          </w:p>
        </w:tc>
        <w:tc>
          <w:tcPr>
            <w:tcW w:w="5188" w:type="dxa"/>
            <w:shd w:val="clear" w:color="auto" w:fill="FFFFF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评价要点：</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①预算编制是否经过科学论证；</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②预算内容与项目内容是否匹配；</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③预算额度测算依据是否充分，是否按照标准编制；</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④预算确定的项目投资额或资金量是否与工作任务相匹配。</w:t>
            </w:r>
          </w:p>
        </w:tc>
        <w:tc>
          <w:tcPr>
            <w:tcW w:w="1300" w:type="dxa"/>
            <w:shd w:val="clear" w:color="auto" w:fill="FFFFF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363" w:type="dxa"/>
            <w:shd w:val="clear" w:color="auto" w:fill="FFFFF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9"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767"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资金分配</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合理性</w:t>
            </w:r>
          </w:p>
        </w:tc>
        <w:tc>
          <w:tcPr>
            <w:tcW w:w="2353" w:type="dxa"/>
            <w:shd w:val="clear" w:color="auto" w:fill="FFFFF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项目预算资金分配是否有测算依据，与补助单位或地方实际是否相适应，用以反映和考核项目预算资金分配的科学性、合理性情况。</w:t>
            </w:r>
          </w:p>
        </w:tc>
        <w:tc>
          <w:tcPr>
            <w:tcW w:w="5188" w:type="dxa"/>
            <w:shd w:val="clear" w:color="auto" w:fill="FFFFF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评价要点：</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①预算资金分配依据是否充分；</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②资金分配额度是否合理，与项目单位或地方实际是否相适应。</w:t>
            </w:r>
          </w:p>
        </w:tc>
        <w:tc>
          <w:tcPr>
            <w:tcW w:w="1300" w:type="dxa"/>
            <w:shd w:val="clear" w:color="auto" w:fill="FFFFF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363" w:type="dxa"/>
            <w:shd w:val="clear" w:color="auto" w:fill="FFFFF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39" w:type="dxa"/>
            <w:vMerge w:val="restart"/>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过程</w:t>
            </w:r>
          </w:p>
        </w:tc>
        <w:tc>
          <w:tcPr>
            <w:tcW w:w="767"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资金管理</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资金到位率</w:t>
            </w:r>
          </w:p>
        </w:tc>
        <w:tc>
          <w:tcPr>
            <w:tcW w:w="2353"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实际到位资金与预算资金的比率，用以反映和考核资金落实情况对项目实施的总体保障程度。</w:t>
            </w:r>
          </w:p>
        </w:tc>
        <w:tc>
          <w:tcPr>
            <w:tcW w:w="5188"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资金到位率=（实际到位资金/预算资金）×100%。</w:t>
            </w:r>
          </w:p>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实际到位资金：一定时期（本年度或项目期）内落实到具体项目的资金。</w:t>
            </w:r>
          </w:p>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预算资金：一定时期（本年度或项目期）内预算安排到具体项目的资金。</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39"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767"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2353" w:type="dxa"/>
            <w:shd w:val="clear" w:color="auto" w:fill="FFFFF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项目预算资金是否按照计划执行，用以反映或考核项目预算执行情况。</w:t>
            </w:r>
          </w:p>
        </w:tc>
        <w:tc>
          <w:tcPr>
            <w:tcW w:w="5188" w:type="dxa"/>
            <w:shd w:val="clear" w:color="auto" w:fill="FFFFF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预算执行率=（实际支出资金/实际到位资金）×100%。</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实际支出资金：一定时期（本年度或项目期）内项目实际拨付的资金。</w:t>
            </w:r>
          </w:p>
        </w:tc>
        <w:tc>
          <w:tcPr>
            <w:tcW w:w="1300" w:type="dxa"/>
            <w:shd w:val="clear" w:color="auto" w:fill="FFFFF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363" w:type="dxa"/>
            <w:shd w:val="clear" w:color="auto" w:fill="FFFFF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过程　</w:t>
            </w:r>
          </w:p>
        </w:tc>
        <w:tc>
          <w:tcPr>
            <w:tcW w:w="76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资金管理</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资金使用</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合规性</w:t>
            </w:r>
          </w:p>
        </w:tc>
        <w:tc>
          <w:tcPr>
            <w:tcW w:w="2353"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项目资金使用是否符合相关的财务管理制度规定，用以反映和考核项目资金的规范运行情况。</w:t>
            </w:r>
          </w:p>
        </w:tc>
        <w:tc>
          <w:tcPr>
            <w:tcW w:w="5188"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评价要点：</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①是否符合国家财经法规和财务管理制度以及有关专项资金管理办法的规定；</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②资金的拨付是否有完整的审批程序和手续；</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③是否符合项目预算批复或合同规定的用途；</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④是否存在截留、挤占、挪用、虚列支出等情况。</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39"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767"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组织实施</w:t>
            </w:r>
          </w:p>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管理制度</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健全性</w:t>
            </w:r>
          </w:p>
        </w:tc>
        <w:tc>
          <w:tcPr>
            <w:tcW w:w="2353"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项目实施单位的财务和业务管理制度是否健全，用以反映和考核财务和业务管理制度对项目顺利实施的保障情况。</w:t>
            </w:r>
          </w:p>
        </w:tc>
        <w:tc>
          <w:tcPr>
            <w:tcW w:w="5188"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评价要点：</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①是否已制定或具有相应的财务和业务管理制度；</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②财务和业务管理制度是否合法、合规、完整。</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9"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767"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制度执行</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有效性</w:t>
            </w:r>
          </w:p>
        </w:tc>
        <w:tc>
          <w:tcPr>
            <w:tcW w:w="2353"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项目实施是否符合相关管理规定，用以反映和考核相关管理制度的有效执行情况。</w:t>
            </w:r>
          </w:p>
        </w:tc>
        <w:tc>
          <w:tcPr>
            <w:tcW w:w="5188"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评价要点：</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①是否遵守相关法律法规和相关管理规定；</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②项目调整及支出调整手续是否完备；</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③项目合同书、验收报告、技术鉴定等资料是否齐全并及时归档；</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④项目实施的人员条件、场地设备、信息支撑等是否落实到位。</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0.8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3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w:t>
            </w:r>
          </w:p>
        </w:tc>
        <w:tc>
          <w:tcPr>
            <w:tcW w:w="76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产出数量</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实际完成率</w:t>
            </w:r>
          </w:p>
        </w:tc>
        <w:tc>
          <w:tcPr>
            <w:tcW w:w="2353"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项目实施的实际产出数与计划产出数的比率，用以反映和考核项目产出数量目标的实现程度。</w:t>
            </w:r>
          </w:p>
        </w:tc>
        <w:tc>
          <w:tcPr>
            <w:tcW w:w="5188"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实际完成率=（实际产出数/计划产出数）×100%。</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实际产出数：一定时期（本年度或项目期）内项目实际产出的产品或提供的服务数量。</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计划产出数：项目绩效目标确定的在一定时期（本年度或项目期）内计划产出的产品或提供的服务数量。</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9"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w:t>
            </w:r>
          </w:p>
        </w:tc>
        <w:tc>
          <w:tcPr>
            <w:tcW w:w="76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产出质量</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质量达标率</w:t>
            </w:r>
          </w:p>
        </w:tc>
        <w:tc>
          <w:tcPr>
            <w:tcW w:w="2353"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项目完成的质量达标产出数与实际产出数的比率，用以反映和考核项目产出质量目标的实现程度。</w:t>
            </w:r>
          </w:p>
        </w:tc>
        <w:tc>
          <w:tcPr>
            <w:tcW w:w="5188"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质量达标率=（质量达标产出数/实际产出数）×100%。</w:t>
            </w:r>
          </w:p>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39"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767" w:type="dxa"/>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产出时效</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完成及时性</w:t>
            </w:r>
          </w:p>
        </w:tc>
        <w:tc>
          <w:tcPr>
            <w:tcW w:w="2353"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项目实际完成时间与计划完成时间的比较，用以反映和考核项目产出时效目标的实现程度。</w:t>
            </w:r>
          </w:p>
        </w:tc>
        <w:tc>
          <w:tcPr>
            <w:tcW w:w="5188"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实际完成时间：项目实施单位完成该项目实际所耗用的时间。</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计划完成时间：按照项目实施计划或相关规定完成该项目所需的时间。</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76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产出成本</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成本节约率</w:t>
            </w:r>
          </w:p>
        </w:tc>
        <w:tc>
          <w:tcPr>
            <w:tcW w:w="2353"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完成项目计划工作目标的实际节约成本与计划成本的比率，用以反映和考核项目的成本节约程度。</w:t>
            </w:r>
          </w:p>
        </w:tc>
        <w:tc>
          <w:tcPr>
            <w:tcW w:w="5188"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成本节约率=[（计划成本</w:t>
            </w:r>
            <w:r>
              <w:rPr>
                <w:rFonts w:hint="eastAsia" w:ascii="宋体" w:hAnsi="宋体" w:cs="宋体"/>
                <w:color w:val="000000"/>
                <w:kern w:val="0"/>
                <w:sz w:val="18"/>
                <w:szCs w:val="18"/>
                <w:lang w:eastAsia="zh-CN"/>
              </w:rPr>
              <w:t>－</w:t>
            </w:r>
            <w:r>
              <w:rPr>
                <w:rFonts w:hint="eastAsia" w:ascii="宋体" w:hAnsi="宋体" w:cs="宋体"/>
                <w:color w:val="000000"/>
                <w:kern w:val="0"/>
                <w:sz w:val="18"/>
                <w:szCs w:val="18"/>
              </w:rPr>
              <w:t>实际成本）/计划成本]×100%。</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实际成本：项目实施单位如期、保质、保量完成既定工作目标实际所耗费的支出。</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计划成本：项目实施单位为完成工作目标计划安排的支出，一般以项目预算为参考。</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20</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14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9"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效益　</w:t>
            </w:r>
          </w:p>
        </w:tc>
        <w:tc>
          <w:tcPr>
            <w:tcW w:w="767"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项目效益　</w:t>
            </w: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实施效益</w:t>
            </w:r>
          </w:p>
        </w:tc>
        <w:tc>
          <w:tcPr>
            <w:tcW w:w="235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left"/>
              <w:textAlignment w:val="auto"/>
              <w:rPr>
                <w:rFonts w:ascii="宋体" w:hAnsi="宋体" w:cs="宋体"/>
                <w:color w:val="000000"/>
                <w:kern w:val="0"/>
                <w:sz w:val="18"/>
                <w:szCs w:val="18"/>
              </w:rPr>
            </w:pPr>
            <w:r>
              <w:rPr>
                <w:rFonts w:hint="eastAsia" w:ascii="宋体" w:hAnsi="宋体" w:cs="宋体"/>
                <w:color w:val="000000"/>
                <w:kern w:val="0"/>
                <w:sz w:val="18"/>
                <w:szCs w:val="18"/>
              </w:rPr>
              <w:t>项目实施所产生的效益。</w:t>
            </w:r>
          </w:p>
        </w:tc>
        <w:tc>
          <w:tcPr>
            <w:tcW w:w="5188" w:type="dxa"/>
            <w:shd w:val="clear" w:color="auto" w:fill="FFFFF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项目实施所产生的社会效益、经济效益、生态效益、可持续影响等。可根据项目实际情况有选择地设置和细化。</w:t>
            </w:r>
          </w:p>
        </w:tc>
        <w:tc>
          <w:tcPr>
            <w:tcW w:w="1300" w:type="dxa"/>
            <w:shd w:val="clear" w:color="auto" w:fill="FFFFF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20</w:t>
            </w:r>
          </w:p>
        </w:tc>
        <w:tc>
          <w:tcPr>
            <w:tcW w:w="1363" w:type="dxa"/>
            <w:shd w:val="clear" w:color="auto" w:fill="FFFFF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19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39"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767"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7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满意度</w:t>
            </w:r>
          </w:p>
        </w:tc>
        <w:tc>
          <w:tcPr>
            <w:tcW w:w="2353"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社会公众或服务对象对项目实施效果的满意程度。</w:t>
            </w:r>
          </w:p>
        </w:tc>
        <w:tc>
          <w:tcPr>
            <w:tcW w:w="5188"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社会公众或服务对象是指因该项目实施而受到影响的部门（单位）、群体或个人。一般采取社会调查的方式。</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20</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color w:val="000000"/>
                <w:kern w:val="0"/>
                <w:sz w:val="18"/>
                <w:szCs w:val="18"/>
              </w:rPr>
            </w:pPr>
            <w:r>
              <w:rPr>
                <w:rFonts w:hint="eastAsia" w:ascii="宋体" w:hAnsi="宋体" w:cs="宋体"/>
                <w:color w:val="000000"/>
                <w:kern w:val="0"/>
                <w:sz w:val="18"/>
                <w:szCs w:val="18"/>
              </w:rPr>
              <w:t>20</w:t>
            </w:r>
          </w:p>
        </w:tc>
      </w:tr>
    </w:tbl>
    <w:p>
      <w:pPr>
        <w:pStyle w:val="2"/>
      </w:pPr>
    </w:p>
    <w:p/>
    <w:p>
      <w:pPr>
        <w:pStyle w:val="2"/>
      </w:pPr>
    </w:p>
    <w:p/>
    <w:p>
      <w:pPr>
        <w:pStyle w:val="2"/>
      </w:pPr>
    </w:p>
    <w:p/>
    <w:p>
      <w:pPr>
        <w:pStyle w:val="2"/>
      </w:pPr>
    </w:p>
    <w:p/>
    <w:p>
      <w:pPr>
        <w:pStyle w:val="2"/>
      </w:pPr>
    </w:p>
    <w:p>
      <w:pPr>
        <w:widowControl/>
        <w:jc w:val="center"/>
        <w:textAlignment w:val="center"/>
        <w:rPr>
          <w:rFonts w:hint="eastAsia" w:ascii="宋体" w:hAnsi="宋体" w:cs="宋体"/>
          <w:b/>
          <w:bCs/>
          <w:color w:val="000000"/>
          <w:kern w:val="0"/>
          <w:sz w:val="32"/>
          <w:szCs w:val="32"/>
        </w:rPr>
        <w:sectPr>
          <w:pgSz w:w="16838" w:h="11906" w:orient="landscape"/>
          <w:pgMar w:top="1800" w:right="1440" w:bottom="1558" w:left="1440" w:header="851" w:footer="992" w:gutter="0"/>
          <w:cols w:space="425" w:num="1"/>
          <w:docGrid w:type="lines" w:linePitch="312" w:charSpace="0"/>
        </w:sectPr>
      </w:pPr>
    </w:p>
    <w:tbl>
      <w:tblPr>
        <w:tblStyle w:val="19"/>
        <w:tblW w:w="7512" w:type="dxa"/>
        <w:tblInd w:w="96" w:type="dxa"/>
        <w:tblLayout w:type="fixed"/>
        <w:tblCellMar>
          <w:top w:w="0" w:type="dxa"/>
          <w:left w:w="108" w:type="dxa"/>
          <w:bottom w:w="0" w:type="dxa"/>
          <w:right w:w="108" w:type="dxa"/>
        </w:tblCellMar>
      </w:tblPr>
      <w:tblGrid>
        <w:gridCol w:w="577"/>
        <w:gridCol w:w="578"/>
        <w:gridCol w:w="577"/>
        <w:gridCol w:w="577"/>
        <w:gridCol w:w="577"/>
        <w:gridCol w:w="577"/>
        <w:gridCol w:w="1666"/>
        <w:gridCol w:w="1020"/>
        <w:gridCol w:w="341"/>
        <w:gridCol w:w="1022"/>
      </w:tblGrid>
      <w:tr>
        <w:tblPrEx>
          <w:tblCellMar>
            <w:top w:w="0" w:type="dxa"/>
            <w:left w:w="108" w:type="dxa"/>
            <w:bottom w:w="0" w:type="dxa"/>
            <w:right w:w="108" w:type="dxa"/>
          </w:tblCellMar>
        </w:tblPrEx>
        <w:trPr>
          <w:trHeight w:val="409" w:hRule="atLeast"/>
        </w:trPr>
        <w:tc>
          <w:tcPr>
            <w:tcW w:w="7512"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宋体" w:hAnsi="宋体" w:cs="宋体"/>
                <w:b/>
                <w:bCs/>
                <w:color w:val="000000"/>
                <w:sz w:val="32"/>
                <w:szCs w:val="32"/>
              </w:rPr>
            </w:pPr>
            <w:r>
              <w:rPr>
                <w:rFonts w:hint="eastAsia" w:ascii="宋体" w:hAnsi="宋体" w:eastAsia="宋体" w:cs="宋体"/>
                <w:b/>
                <w:i w:val="0"/>
                <w:color w:val="000000"/>
                <w:kern w:val="0"/>
                <w:sz w:val="44"/>
                <w:szCs w:val="44"/>
                <w:u w:val="none"/>
                <w:lang w:val="en-US" w:eastAsia="zh-CN" w:bidi="ar"/>
              </w:rPr>
              <w:t>项目支出绩效自评表</w:t>
            </w:r>
          </w:p>
        </w:tc>
      </w:tr>
      <w:tr>
        <w:trPr>
          <w:trHeight w:val="409" w:hRule="atLeast"/>
        </w:trPr>
        <w:tc>
          <w:tcPr>
            <w:tcW w:w="7512"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宋体" w:hAnsi="宋体" w:cs="宋体"/>
                <w:color w:val="000000"/>
                <w:sz w:val="32"/>
                <w:szCs w:val="32"/>
              </w:rPr>
            </w:pPr>
            <w:r>
              <w:rPr>
                <w:rFonts w:hint="eastAsia" w:ascii="宋体" w:hAnsi="宋体" w:eastAsia="宋体" w:cs="宋体"/>
                <w:i w:val="0"/>
                <w:color w:val="000000"/>
                <w:kern w:val="0"/>
                <w:sz w:val="32"/>
                <w:szCs w:val="32"/>
                <w:u w:val="none"/>
                <w:lang w:val="en-US" w:eastAsia="zh-CN" w:bidi="ar"/>
              </w:rPr>
              <w:t>（   2020 年度）</w:t>
            </w:r>
          </w:p>
        </w:tc>
      </w:tr>
      <w:tr>
        <w:trPr>
          <w:trHeight w:val="270" w:hRule="atLeast"/>
        </w:trPr>
        <w:tc>
          <w:tcPr>
            <w:tcW w:w="7512" w:type="dxa"/>
            <w:gridSpan w:val="10"/>
            <w:tcBorders>
              <w:top w:val="nil"/>
              <w:left w:val="nil"/>
              <w:bottom w:val="nil"/>
              <w:right w:val="nil"/>
            </w:tcBorders>
            <w:shd w:val="clear" w:color="auto" w:fill="auto"/>
            <w:vAlign w:val="center"/>
          </w:tcPr>
          <w:p>
            <w:pPr>
              <w:jc w:val="center"/>
              <w:rPr>
                <w:rFonts w:ascii="宋体" w:hAnsi="宋体" w:cs="宋体"/>
                <w:color w:val="000000"/>
                <w:sz w:val="22"/>
                <w:szCs w:val="22"/>
              </w:rPr>
            </w:pPr>
          </w:p>
        </w:tc>
      </w:tr>
      <w:tr>
        <w:tblPrEx>
          <w:tblCellMar>
            <w:top w:w="0" w:type="dxa"/>
            <w:left w:w="108" w:type="dxa"/>
            <w:bottom w:w="0" w:type="dxa"/>
            <w:right w:w="108" w:type="dxa"/>
          </w:tblCellMar>
        </w:tblPrEx>
        <w:trPr>
          <w:trHeight w:val="270" w:hRule="atLeast"/>
        </w:trPr>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项目名称</w:t>
            </w:r>
          </w:p>
        </w:tc>
        <w:tc>
          <w:tcPr>
            <w:tcW w:w="635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塔城地区检察分院“两房”主体及附属工程建设</w:t>
            </w:r>
          </w:p>
        </w:tc>
      </w:tr>
      <w:tr>
        <w:tblPrEx>
          <w:tblCellMar>
            <w:top w:w="0" w:type="dxa"/>
            <w:left w:w="108" w:type="dxa"/>
            <w:bottom w:w="0" w:type="dxa"/>
            <w:right w:w="108" w:type="dxa"/>
          </w:tblCellMar>
        </w:tblPrEx>
        <w:trPr>
          <w:trHeight w:val="270" w:hRule="atLeast"/>
        </w:trPr>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主管部门</w:t>
            </w:r>
          </w:p>
        </w:tc>
        <w:tc>
          <w:tcPr>
            <w:tcW w:w="39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3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实施单位</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伊犁哈萨克自治州人民检察院塔城分院</w:t>
            </w:r>
          </w:p>
        </w:tc>
      </w:tr>
      <w:tr>
        <w:trPr>
          <w:trHeight w:val="392" w:hRule="atLeast"/>
        </w:trPr>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项目资金</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ascii="Arial" w:hAnsi="Arial" w:cs="Arial"/>
                <w:color w:val="000000"/>
                <w:sz w:val="20"/>
                <w:szCs w:val="20"/>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bottom"/>
          </w:tcP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年初预算数</w:t>
            </w:r>
          </w:p>
        </w:tc>
        <w:tc>
          <w:tcPr>
            <w:tcW w:w="2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全年预算数</w:t>
            </w:r>
          </w:p>
        </w:tc>
        <w:tc>
          <w:tcPr>
            <w:tcW w:w="13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全年执行数</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执行率</w:t>
            </w:r>
          </w:p>
        </w:tc>
      </w:tr>
      <w:tr>
        <w:tblPrEx>
          <w:tblCellMar>
            <w:top w:w="0" w:type="dxa"/>
            <w:left w:w="108" w:type="dxa"/>
            <w:bottom w:w="0" w:type="dxa"/>
            <w:right w:w="108" w:type="dxa"/>
          </w:tblCellMar>
        </w:tblPrEx>
        <w:trPr>
          <w:trHeight w:val="270" w:hRule="atLeast"/>
        </w:trPr>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（万元）</w:t>
            </w:r>
          </w:p>
        </w:tc>
        <w:tc>
          <w:tcPr>
            <w:tcW w:w="1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年度资金总额</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249.64</w:t>
            </w:r>
          </w:p>
        </w:tc>
        <w:tc>
          <w:tcPr>
            <w:tcW w:w="2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249.64</w:t>
            </w:r>
          </w:p>
        </w:tc>
        <w:tc>
          <w:tcPr>
            <w:tcW w:w="13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249.6</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99.99%</w:t>
            </w:r>
          </w:p>
        </w:tc>
      </w:tr>
      <w:tr>
        <w:tblPrEx>
          <w:tblCellMar>
            <w:top w:w="0" w:type="dxa"/>
            <w:left w:w="108" w:type="dxa"/>
            <w:bottom w:w="0" w:type="dxa"/>
            <w:right w:w="108" w:type="dxa"/>
          </w:tblCellMar>
        </w:tblPrEx>
        <w:trPr>
          <w:trHeight w:val="433" w:hRule="atLeast"/>
        </w:trPr>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其中：当年财政拨款</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249.64</w:t>
            </w:r>
          </w:p>
        </w:tc>
        <w:tc>
          <w:tcPr>
            <w:tcW w:w="2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249.64</w:t>
            </w:r>
          </w:p>
        </w:tc>
        <w:tc>
          <w:tcPr>
            <w:tcW w:w="13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249.60</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w:t>
            </w:r>
          </w:p>
        </w:tc>
      </w:tr>
      <w:tr>
        <w:tblPrEx>
          <w:tblCellMar>
            <w:top w:w="0" w:type="dxa"/>
            <w:left w:w="108" w:type="dxa"/>
            <w:bottom w:w="0" w:type="dxa"/>
            <w:right w:w="108" w:type="dxa"/>
          </w:tblCellMar>
        </w:tblPrEx>
        <w:trPr>
          <w:trHeight w:val="433" w:hRule="atLeast"/>
        </w:trPr>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 xml:space="preserve">      上年结转资金</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p>
        </w:tc>
        <w:tc>
          <w:tcPr>
            <w:tcW w:w="2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0</w:t>
            </w:r>
          </w:p>
        </w:tc>
        <w:tc>
          <w:tcPr>
            <w:tcW w:w="13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0</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w:t>
            </w:r>
          </w:p>
        </w:tc>
      </w:tr>
      <w:tr>
        <w:tblPrEx>
          <w:tblCellMar>
            <w:top w:w="0" w:type="dxa"/>
            <w:left w:w="108" w:type="dxa"/>
            <w:bottom w:w="0" w:type="dxa"/>
            <w:right w:w="108" w:type="dxa"/>
          </w:tblCellMar>
        </w:tblPrEx>
        <w:trPr>
          <w:trHeight w:val="270" w:hRule="atLeast"/>
        </w:trPr>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 xml:space="preserve">  其他资金</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0</w:t>
            </w:r>
          </w:p>
        </w:tc>
        <w:tc>
          <w:tcPr>
            <w:tcW w:w="2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0</w:t>
            </w:r>
          </w:p>
        </w:tc>
        <w:tc>
          <w:tcPr>
            <w:tcW w:w="13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0</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w:t>
            </w:r>
          </w:p>
        </w:tc>
      </w:tr>
      <w:tr>
        <w:tblPrEx>
          <w:tblCellMar>
            <w:top w:w="0" w:type="dxa"/>
            <w:left w:w="108" w:type="dxa"/>
            <w:bottom w:w="0" w:type="dxa"/>
            <w:right w:w="108" w:type="dxa"/>
          </w:tblCellMar>
        </w:tblPrEx>
        <w:trPr>
          <w:trHeight w:val="433" w:hRule="atLeast"/>
        </w:trPr>
        <w:tc>
          <w:tcPr>
            <w:tcW w:w="5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年度总体目标</w:t>
            </w:r>
          </w:p>
        </w:tc>
        <w:tc>
          <w:tcPr>
            <w:tcW w:w="455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预期目标</w:t>
            </w:r>
          </w:p>
        </w:tc>
        <w:tc>
          <w:tcPr>
            <w:tcW w:w="23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实际完成情况</w:t>
            </w:r>
          </w:p>
        </w:tc>
      </w:tr>
      <w:tr>
        <w:trPr>
          <w:trHeight w:val="1250" w:hRule="atLeast"/>
        </w:trPr>
        <w:tc>
          <w:tcPr>
            <w:tcW w:w="5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455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1、贯彻落实反恐维稳“组合拳”工作部署，坚决精准严厉打击暴恐犯罪，持续开展扫黑除恶斗争，充分发挥批捕、起诉等职能作用，全力维护社会稳定和长治久安。</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2、精准服务打好“三大攻坚战”，推进重大风险防范化解，服务精准脱贫攻坚战，服务污染防治攻坚战 。</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3、办理公益诉讼案件，维护社会公共利益，做好生态环境与资源保护，食品和药品安全，国有土地出让，国有财产保护工作。</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4、刑罚变更执行监督，纠正减刑假释暂予监外执行不当。</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5、强化信访工作，维护当事人合法权益，维护社会公平正义。</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6、开展“法治进校园”活动，提升未成年人自我保护意识和明辨是非的能力。</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7、打造“智慧检察院”，助推互联网、大数据、智能化与检察工作深度融合。</w:t>
            </w:r>
          </w:p>
        </w:tc>
        <w:tc>
          <w:tcPr>
            <w:tcW w:w="23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1、贯彻落实反恐维稳“组合拳”工作部署，坚决精准严厉打击暴恐犯罪，持续开展扫黑除恶斗争，充分发挥批捕、起诉等职能作用，全力维护社会稳定和长治久安。</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2、精准服务打好“三大攻坚战”，推进重大风险防范化解，服务精准脱贫攻坚战，服务污染防治攻坚战 。</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3、办理公益诉讼案件，维护社会公共利益，做好生态环境与资源保护，食品和药品安全，国有土地出让，国有财产保护工作。</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4、刑罚变更执行监督，纠正减刑假释暂予监外执行不当。</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5、强化信访工作，维护当事人合法权益，维护社会公平正义。</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6、开展“法治进校园”活动，提升未成年人自我保护意识和明辨是非的能力。</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7、打造“智慧检察院”，助推互联网、大数据、智能化与检察工作深度融合。</w:t>
            </w:r>
          </w:p>
        </w:tc>
      </w:tr>
      <w:tr>
        <w:tblPrEx>
          <w:tblCellMar>
            <w:top w:w="0" w:type="dxa"/>
            <w:left w:w="108" w:type="dxa"/>
            <w:bottom w:w="0" w:type="dxa"/>
            <w:right w:w="108" w:type="dxa"/>
          </w:tblCellMar>
        </w:tblPrEx>
        <w:trPr>
          <w:trHeight w:val="412" w:hRule="atLeast"/>
        </w:trPr>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5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一级指标</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二级指标</w:t>
            </w:r>
          </w:p>
        </w:tc>
        <w:tc>
          <w:tcPr>
            <w:tcW w:w="17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三级指标</w:t>
            </w:r>
          </w:p>
        </w:tc>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年度指标值</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实际完成值</w:t>
            </w:r>
          </w:p>
        </w:tc>
        <w:tc>
          <w:tcPr>
            <w:tcW w:w="13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偏差原因分析及改进措施</w:t>
            </w:r>
          </w:p>
        </w:tc>
      </w:tr>
      <w:tr>
        <w:tblPrEx>
          <w:tblCellMar>
            <w:top w:w="0" w:type="dxa"/>
            <w:left w:w="108" w:type="dxa"/>
            <w:bottom w:w="0" w:type="dxa"/>
            <w:right w:w="108" w:type="dxa"/>
          </w:tblCellMar>
        </w:tblPrEx>
        <w:trPr>
          <w:trHeight w:val="312" w:hRule="atLeast"/>
        </w:trPr>
        <w:tc>
          <w:tcPr>
            <w:tcW w:w="5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年度绩效指标完成情况</w:t>
            </w:r>
          </w:p>
        </w:tc>
        <w:tc>
          <w:tcPr>
            <w:tcW w:w="5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产出指标</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数量指标</w:t>
            </w:r>
          </w:p>
        </w:tc>
        <w:tc>
          <w:tcPr>
            <w:tcW w:w="17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主体及附属设施工程建设项目数</w:t>
            </w:r>
          </w:p>
        </w:tc>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6个</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6个</w:t>
            </w:r>
          </w:p>
        </w:tc>
        <w:tc>
          <w:tcPr>
            <w:tcW w:w="13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640" w:hRule="atLeast"/>
        </w:trPr>
        <w:tc>
          <w:tcPr>
            <w:tcW w:w="5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5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质量指标</w:t>
            </w:r>
          </w:p>
        </w:tc>
        <w:tc>
          <w:tcPr>
            <w:tcW w:w="17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工程竣工验收合格率</w:t>
            </w:r>
          </w:p>
        </w:tc>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100%</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100%</w:t>
            </w:r>
          </w:p>
        </w:tc>
        <w:tc>
          <w:tcPr>
            <w:tcW w:w="13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640" w:hRule="atLeast"/>
        </w:trPr>
        <w:tc>
          <w:tcPr>
            <w:tcW w:w="5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5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时效指标</w:t>
            </w:r>
          </w:p>
        </w:tc>
        <w:tc>
          <w:tcPr>
            <w:tcW w:w="17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工程款结算及时率</w:t>
            </w:r>
          </w:p>
        </w:tc>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100%</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100%</w:t>
            </w:r>
          </w:p>
        </w:tc>
        <w:tc>
          <w:tcPr>
            <w:tcW w:w="13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640" w:hRule="atLeast"/>
        </w:trPr>
        <w:tc>
          <w:tcPr>
            <w:tcW w:w="5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5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成本指标</w:t>
            </w:r>
          </w:p>
        </w:tc>
        <w:tc>
          <w:tcPr>
            <w:tcW w:w="17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当年工程计量进度成本</w:t>
            </w:r>
          </w:p>
        </w:tc>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≤249.64万元</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249.60万元</w:t>
            </w:r>
          </w:p>
        </w:tc>
        <w:tc>
          <w:tcPr>
            <w:tcW w:w="13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当年工程资金未能全额支付。</w:t>
            </w:r>
          </w:p>
        </w:tc>
      </w:tr>
      <w:tr>
        <w:tblPrEx>
          <w:tblCellMar>
            <w:top w:w="0" w:type="dxa"/>
            <w:left w:w="108" w:type="dxa"/>
            <w:bottom w:w="0" w:type="dxa"/>
            <w:right w:w="108" w:type="dxa"/>
          </w:tblCellMar>
        </w:tblPrEx>
        <w:trPr>
          <w:trHeight w:val="640" w:hRule="atLeast"/>
        </w:trPr>
        <w:tc>
          <w:tcPr>
            <w:tcW w:w="5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5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效益指标</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经济效益指标</w:t>
            </w:r>
          </w:p>
        </w:tc>
        <w:tc>
          <w:tcPr>
            <w:tcW w:w="17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设计功能实现率</w:t>
            </w:r>
          </w:p>
        </w:tc>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100%</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80%</w:t>
            </w:r>
          </w:p>
        </w:tc>
        <w:tc>
          <w:tcPr>
            <w:tcW w:w="13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部分设计功能未能实现，质量上也出现一些问题。</w:t>
            </w:r>
          </w:p>
        </w:tc>
      </w:tr>
      <w:tr>
        <w:trPr>
          <w:trHeight w:val="640" w:hRule="atLeast"/>
        </w:trPr>
        <w:tc>
          <w:tcPr>
            <w:tcW w:w="5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5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社会效益指标</w:t>
            </w:r>
          </w:p>
        </w:tc>
        <w:tc>
          <w:tcPr>
            <w:tcW w:w="17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提高办案和办公工作效率</w:t>
            </w:r>
          </w:p>
        </w:tc>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有所提高</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有所提高</w:t>
            </w:r>
          </w:p>
        </w:tc>
        <w:tc>
          <w:tcPr>
            <w:tcW w:w="13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640" w:hRule="atLeast"/>
        </w:trPr>
        <w:tc>
          <w:tcPr>
            <w:tcW w:w="5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5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可持续影响指标</w:t>
            </w:r>
          </w:p>
        </w:tc>
        <w:tc>
          <w:tcPr>
            <w:tcW w:w="17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改善办公办案环境</w:t>
            </w:r>
          </w:p>
        </w:tc>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明显改善</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明显改善</w:t>
            </w:r>
          </w:p>
        </w:tc>
        <w:tc>
          <w:tcPr>
            <w:tcW w:w="13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640" w:hRule="atLeast"/>
        </w:trPr>
        <w:tc>
          <w:tcPr>
            <w:tcW w:w="5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5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满意度指标</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服务对象满意度指标</w:t>
            </w:r>
          </w:p>
        </w:tc>
        <w:tc>
          <w:tcPr>
            <w:tcW w:w="17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干警满意度</w:t>
            </w:r>
          </w:p>
        </w:tc>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≥85%</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90%</w:t>
            </w:r>
          </w:p>
        </w:tc>
        <w:tc>
          <w:tcPr>
            <w:tcW w:w="13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bl>
    <w:p/>
    <w:p>
      <w:pPr>
        <w:spacing w:line="540" w:lineRule="exact"/>
        <w:rPr>
          <w:rStyle w:val="21"/>
          <w:rFonts w:ascii="仿宋" w:hAnsi="仿宋" w:eastAsia="仿宋"/>
          <w:b w:val="0"/>
          <w:spacing w:val="-4"/>
          <w:sz w:val="32"/>
          <w:szCs w:val="32"/>
        </w:rPr>
      </w:pPr>
    </w:p>
    <w:sectPr>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Arial Unicode MS"/>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4"/>
          <w:jc w:val="center"/>
        </w:pPr>
        <w:r>
          <w:fldChar w:fldCharType="begin"/>
        </w:r>
        <w:r>
          <w:instrText xml:space="preserve">PAGE   \* MERGEFORMAT</w:instrText>
        </w:r>
        <w:r>
          <w:fldChar w:fldCharType="separate"/>
        </w:r>
        <w:r>
          <w:rPr>
            <w:lang w:val="zh-CN"/>
          </w:rPr>
          <w:t>21</w:t>
        </w:r>
        <w:r>
          <w:fldChar w:fldCharType="end"/>
        </w:r>
      </w:p>
    </w:sdtContent>
  </w:sdt>
  <w:p>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AFBDEB0"/>
    <w:multiLevelType w:val="singleLevel"/>
    <w:tmpl w:val="DAFBDEB0"/>
    <w:lvl w:ilvl="0" w:tentative="0">
      <w:start w:val="4"/>
      <w:numFmt w:val="decimal"/>
      <w:suff w:val="nothing"/>
      <w:lvlText w:val="（%1）"/>
      <w:lvlJc w:val="left"/>
      <w:rPr>
        <w:rFonts w:cs="Times New Roman"/>
      </w:rPr>
    </w:lvl>
  </w:abstractNum>
  <w:abstractNum w:abstractNumId="2">
    <w:nsid w:val="FF4BB6DE"/>
    <w:multiLevelType w:val="singleLevel"/>
    <w:tmpl w:val="FF4BB6DE"/>
    <w:lvl w:ilvl="0" w:tentative="0">
      <w:start w:val="1"/>
      <w:numFmt w:val="decimal"/>
      <w:suff w:val="nothing"/>
      <w:lvlText w:val="%1、"/>
      <w:lvlJc w:val="left"/>
    </w:lvl>
  </w:abstractNum>
  <w:abstractNum w:abstractNumId="3">
    <w:nsid w:val="FF9379A8"/>
    <w:multiLevelType w:val="singleLevel"/>
    <w:tmpl w:val="FF9379A8"/>
    <w:lvl w:ilvl="0" w:tentative="0">
      <w:start w:val="2"/>
      <w:numFmt w:val="chineseCounting"/>
      <w:suff w:val="nothing"/>
      <w:lvlText w:val="（%1）"/>
      <w:lvlJc w:val="left"/>
      <w:rPr>
        <w:rFonts w:hint="eastAsia"/>
      </w:rPr>
    </w:lvl>
  </w:abstractNum>
  <w:abstractNum w:abstractNumId="4">
    <w:nsid w:val="116B29BF"/>
    <w:multiLevelType w:val="singleLevel"/>
    <w:tmpl w:val="116B29BF"/>
    <w:lvl w:ilvl="0" w:tentative="0">
      <w:start w:val="3"/>
      <w:numFmt w:val="chineseCounting"/>
      <w:suff w:val="nothing"/>
      <w:lvlText w:val="%1、"/>
      <w:lvlJc w:val="left"/>
      <w:rPr>
        <w:rFonts w:hint="eastAsia"/>
      </w:rPr>
    </w:lvl>
  </w:abstractNum>
  <w:abstractNum w:abstractNumId="5">
    <w:nsid w:val="27813159"/>
    <w:multiLevelType w:val="singleLevel"/>
    <w:tmpl w:val="27813159"/>
    <w:lvl w:ilvl="0" w:tentative="0">
      <w:start w:val="3"/>
      <w:numFmt w:val="chineseCounting"/>
      <w:suff w:val="nothing"/>
      <w:lvlText w:val="（%1）"/>
      <w:lvlJc w:val="left"/>
      <w:rPr>
        <w:rFonts w:hint="eastAsia"/>
      </w:rPr>
    </w:lvl>
  </w:abstractNum>
  <w:abstractNum w:abstractNumId="6">
    <w:nsid w:val="6FAA0AB1"/>
    <w:multiLevelType w:val="singleLevel"/>
    <w:tmpl w:val="6FAA0AB1"/>
    <w:lvl w:ilvl="0" w:tentative="0">
      <w:start w:val="2"/>
      <w:numFmt w:val="chineseCounting"/>
      <w:suff w:val="nothing"/>
      <w:lvlText w:val="（%1）"/>
      <w:lvlJc w:val="left"/>
      <w:rPr>
        <w:rFonts w:hint="eastAsia"/>
      </w:rPr>
    </w:lvl>
  </w:abstractNum>
  <w:num w:numId="1">
    <w:abstractNumId w:val="5"/>
  </w:num>
  <w:num w:numId="2">
    <w:abstractNumId w:val="4"/>
  </w:num>
  <w:num w:numId="3">
    <w:abstractNumId w:val="6"/>
  </w:num>
  <w:num w:numId="4">
    <w:abstractNumId w:val="1"/>
  </w:num>
  <w:num w:numId="5">
    <w:abstractNumId w:val="3"/>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56465"/>
    <w:rsid w:val="000E50F0"/>
    <w:rsid w:val="000E586C"/>
    <w:rsid w:val="00121AE4"/>
    <w:rsid w:val="00146AAD"/>
    <w:rsid w:val="001B3A40"/>
    <w:rsid w:val="003C18BC"/>
    <w:rsid w:val="004366A8"/>
    <w:rsid w:val="00464900"/>
    <w:rsid w:val="00502BA7"/>
    <w:rsid w:val="005162F1"/>
    <w:rsid w:val="00535153"/>
    <w:rsid w:val="00554F82"/>
    <w:rsid w:val="0056390D"/>
    <w:rsid w:val="005719B0"/>
    <w:rsid w:val="005D10D6"/>
    <w:rsid w:val="007806A5"/>
    <w:rsid w:val="007A1589"/>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DF7C45"/>
    <w:rsid w:val="00E31565"/>
    <w:rsid w:val="00E46C51"/>
    <w:rsid w:val="00E769FE"/>
    <w:rsid w:val="00EA2CBE"/>
    <w:rsid w:val="00F32FEE"/>
    <w:rsid w:val="00F71278"/>
    <w:rsid w:val="00F8352E"/>
    <w:rsid w:val="00FB10BB"/>
    <w:rsid w:val="051A56F5"/>
    <w:rsid w:val="066D6EAA"/>
    <w:rsid w:val="08C662D4"/>
    <w:rsid w:val="09BD4D95"/>
    <w:rsid w:val="0F8D41CB"/>
    <w:rsid w:val="11C75270"/>
    <w:rsid w:val="12637CC3"/>
    <w:rsid w:val="12E657C5"/>
    <w:rsid w:val="155F57B3"/>
    <w:rsid w:val="167C7687"/>
    <w:rsid w:val="168B3546"/>
    <w:rsid w:val="1A2374E0"/>
    <w:rsid w:val="1C317CE2"/>
    <w:rsid w:val="1DD45808"/>
    <w:rsid w:val="1DED42AC"/>
    <w:rsid w:val="1EE70B24"/>
    <w:rsid w:val="1F455F54"/>
    <w:rsid w:val="20005763"/>
    <w:rsid w:val="20FB313D"/>
    <w:rsid w:val="220B4804"/>
    <w:rsid w:val="282475E3"/>
    <w:rsid w:val="2C054FED"/>
    <w:rsid w:val="2C6100C1"/>
    <w:rsid w:val="30C319FA"/>
    <w:rsid w:val="3264220D"/>
    <w:rsid w:val="3963178C"/>
    <w:rsid w:val="41CC2676"/>
    <w:rsid w:val="44351B70"/>
    <w:rsid w:val="46B21672"/>
    <w:rsid w:val="4D754399"/>
    <w:rsid w:val="4F552460"/>
    <w:rsid w:val="4FCC6863"/>
    <w:rsid w:val="500A214A"/>
    <w:rsid w:val="522D604D"/>
    <w:rsid w:val="5297585E"/>
    <w:rsid w:val="52AD7D6F"/>
    <w:rsid w:val="5549519D"/>
    <w:rsid w:val="5557596B"/>
    <w:rsid w:val="59A4749E"/>
    <w:rsid w:val="5B596DFC"/>
    <w:rsid w:val="5DF03945"/>
    <w:rsid w:val="637C2815"/>
    <w:rsid w:val="7A353D0B"/>
    <w:rsid w:val="7D3A5E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5"/>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6"/>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7"/>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8"/>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9"/>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30"/>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1"/>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2"/>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3"/>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0">
    <w:name w:val="Default Paragraph Font"/>
    <w:semiHidden/>
    <w:unhideWhenUsed/>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4"/>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Body Text"/>
    <w:basedOn w:val="1"/>
    <w:qFormat/>
    <w:uiPriority w:val="0"/>
    <w:pPr>
      <w:spacing w:after="120"/>
    </w:pPr>
  </w:style>
  <w:style w:type="paragraph" w:styleId="13">
    <w:name w:val="Balloon Text"/>
    <w:basedOn w:val="1"/>
    <w:link w:val="50"/>
    <w:semiHidden/>
    <w:unhideWhenUsed/>
    <w:qFormat/>
    <w:uiPriority w:val="99"/>
    <w:rPr>
      <w:sz w:val="18"/>
      <w:szCs w:val="18"/>
    </w:rPr>
  </w:style>
  <w:style w:type="paragraph" w:styleId="14">
    <w:name w:val="footer"/>
    <w:basedOn w:val="1"/>
    <w:link w:val="49"/>
    <w:unhideWhenUsed/>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48"/>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Subtitle"/>
    <w:basedOn w:val="1"/>
    <w:next w:val="1"/>
    <w:link w:val="35"/>
    <w:qFormat/>
    <w:uiPriority w:val="11"/>
    <w:pPr>
      <w:widowControl/>
      <w:spacing w:after="60"/>
      <w:jc w:val="center"/>
      <w:outlineLvl w:val="1"/>
    </w:pPr>
    <w:rPr>
      <w:rFonts w:asciiTheme="majorHAnsi" w:hAnsiTheme="majorHAnsi" w:eastAsiaTheme="majorEastAsia"/>
      <w:kern w:val="0"/>
      <w:sz w:val="24"/>
    </w:rPr>
  </w:style>
  <w:style w:type="paragraph" w:styleId="1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8">
    <w:name w:val="Body Text First Indent"/>
    <w:basedOn w:val="12"/>
    <w:qFormat/>
    <w:uiPriority w:val="0"/>
    <w:pPr>
      <w:spacing w:after="0"/>
      <w:ind w:firstLine="200" w:firstLineChars="200"/>
    </w:pPr>
  </w:style>
  <w:style w:type="character" w:styleId="21">
    <w:name w:val="Strong"/>
    <w:basedOn w:val="20"/>
    <w:qFormat/>
    <w:uiPriority w:val="0"/>
    <w:rPr>
      <w:b/>
      <w:bCs/>
    </w:rPr>
  </w:style>
  <w:style w:type="character" w:styleId="22">
    <w:name w:val="FollowedHyperlink"/>
    <w:basedOn w:val="20"/>
    <w:semiHidden/>
    <w:unhideWhenUsed/>
    <w:qFormat/>
    <w:uiPriority w:val="99"/>
    <w:rPr>
      <w:color w:val="000000"/>
      <w:u w:val="none"/>
    </w:rPr>
  </w:style>
  <w:style w:type="character" w:styleId="23">
    <w:name w:val="Emphasis"/>
    <w:basedOn w:val="20"/>
    <w:qFormat/>
    <w:uiPriority w:val="20"/>
    <w:rPr>
      <w:rFonts w:asciiTheme="minorHAnsi" w:hAnsiTheme="minorHAnsi"/>
      <w:b/>
      <w:i/>
      <w:iCs/>
    </w:rPr>
  </w:style>
  <w:style w:type="character" w:styleId="24">
    <w:name w:val="Hyperlink"/>
    <w:basedOn w:val="20"/>
    <w:semiHidden/>
    <w:unhideWhenUsed/>
    <w:qFormat/>
    <w:uiPriority w:val="99"/>
    <w:rPr>
      <w:color w:val="000000"/>
      <w:u w:val="none"/>
    </w:rPr>
  </w:style>
  <w:style w:type="character" w:customStyle="1" w:styleId="25">
    <w:name w:val="标题 1 Char"/>
    <w:basedOn w:val="20"/>
    <w:link w:val="3"/>
    <w:qFormat/>
    <w:uiPriority w:val="9"/>
    <w:rPr>
      <w:rFonts w:asciiTheme="majorHAnsi" w:hAnsiTheme="majorHAnsi" w:eastAsiaTheme="majorEastAsia"/>
      <w:b/>
      <w:bCs/>
      <w:kern w:val="32"/>
      <w:sz w:val="32"/>
      <w:szCs w:val="32"/>
    </w:rPr>
  </w:style>
  <w:style w:type="character" w:customStyle="1" w:styleId="26">
    <w:name w:val="标题 2 Char"/>
    <w:basedOn w:val="20"/>
    <w:link w:val="4"/>
    <w:semiHidden/>
    <w:qFormat/>
    <w:uiPriority w:val="9"/>
    <w:rPr>
      <w:rFonts w:asciiTheme="majorHAnsi" w:hAnsiTheme="majorHAnsi" w:eastAsiaTheme="majorEastAsia"/>
      <w:b/>
      <w:bCs/>
      <w:i/>
      <w:iCs/>
      <w:sz w:val="28"/>
      <w:szCs w:val="28"/>
    </w:rPr>
  </w:style>
  <w:style w:type="character" w:customStyle="1" w:styleId="27">
    <w:name w:val="标题 3 Char"/>
    <w:basedOn w:val="20"/>
    <w:link w:val="5"/>
    <w:semiHidden/>
    <w:qFormat/>
    <w:uiPriority w:val="9"/>
    <w:rPr>
      <w:rFonts w:asciiTheme="majorHAnsi" w:hAnsiTheme="majorHAnsi" w:eastAsiaTheme="majorEastAsia"/>
      <w:b/>
      <w:bCs/>
      <w:sz w:val="26"/>
      <w:szCs w:val="26"/>
    </w:rPr>
  </w:style>
  <w:style w:type="character" w:customStyle="1" w:styleId="28">
    <w:name w:val="标题 4 Char"/>
    <w:basedOn w:val="20"/>
    <w:link w:val="6"/>
    <w:semiHidden/>
    <w:qFormat/>
    <w:uiPriority w:val="9"/>
    <w:rPr>
      <w:b/>
      <w:bCs/>
      <w:sz w:val="28"/>
      <w:szCs w:val="28"/>
    </w:rPr>
  </w:style>
  <w:style w:type="character" w:customStyle="1" w:styleId="29">
    <w:name w:val="标题 5 Char"/>
    <w:basedOn w:val="20"/>
    <w:link w:val="7"/>
    <w:semiHidden/>
    <w:qFormat/>
    <w:uiPriority w:val="9"/>
    <w:rPr>
      <w:b/>
      <w:bCs/>
      <w:i/>
      <w:iCs/>
      <w:sz w:val="26"/>
      <w:szCs w:val="26"/>
    </w:rPr>
  </w:style>
  <w:style w:type="character" w:customStyle="1" w:styleId="30">
    <w:name w:val="标题 6 Char"/>
    <w:basedOn w:val="20"/>
    <w:link w:val="8"/>
    <w:semiHidden/>
    <w:qFormat/>
    <w:uiPriority w:val="9"/>
    <w:rPr>
      <w:b/>
      <w:bCs/>
    </w:rPr>
  </w:style>
  <w:style w:type="character" w:customStyle="1" w:styleId="31">
    <w:name w:val="标题 7 Char"/>
    <w:basedOn w:val="20"/>
    <w:link w:val="9"/>
    <w:semiHidden/>
    <w:qFormat/>
    <w:uiPriority w:val="9"/>
    <w:rPr>
      <w:sz w:val="24"/>
      <w:szCs w:val="24"/>
    </w:rPr>
  </w:style>
  <w:style w:type="character" w:customStyle="1" w:styleId="32">
    <w:name w:val="标题 8 Char"/>
    <w:basedOn w:val="20"/>
    <w:link w:val="10"/>
    <w:semiHidden/>
    <w:qFormat/>
    <w:uiPriority w:val="9"/>
    <w:rPr>
      <w:i/>
      <w:iCs/>
      <w:sz w:val="24"/>
      <w:szCs w:val="24"/>
    </w:rPr>
  </w:style>
  <w:style w:type="character" w:customStyle="1" w:styleId="33">
    <w:name w:val="标题 9 Char"/>
    <w:basedOn w:val="20"/>
    <w:link w:val="11"/>
    <w:semiHidden/>
    <w:qFormat/>
    <w:uiPriority w:val="9"/>
    <w:rPr>
      <w:rFonts w:asciiTheme="majorHAnsi" w:hAnsiTheme="majorHAnsi" w:eastAsiaTheme="majorEastAsia"/>
    </w:rPr>
  </w:style>
  <w:style w:type="character" w:customStyle="1" w:styleId="34">
    <w:name w:val="标题 Char"/>
    <w:basedOn w:val="20"/>
    <w:link w:val="2"/>
    <w:qFormat/>
    <w:uiPriority w:val="10"/>
    <w:rPr>
      <w:rFonts w:asciiTheme="majorHAnsi" w:hAnsiTheme="majorHAnsi" w:eastAsiaTheme="majorEastAsia"/>
      <w:b/>
      <w:bCs/>
      <w:kern w:val="28"/>
      <w:sz w:val="32"/>
      <w:szCs w:val="32"/>
    </w:rPr>
  </w:style>
  <w:style w:type="character" w:customStyle="1" w:styleId="35">
    <w:name w:val="副标题 Char"/>
    <w:basedOn w:val="20"/>
    <w:link w:val="16"/>
    <w:qFormat/>
    <w:uiPriority w:val="11"/>
    <w:rPr>
      <w:rFonts w:asciiTheme="majorHAnsi" w:hAnsiTheme="majorHAnsi" w:eastAsiaTheme="majorEastAsia"/>
      <w:sz w:val="24"/>
      <w:szCs w:val="24"/>
    </w:rPr>
  </w:style>
  <w:style w:type="paragraph" w:styleId="36">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7">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8">
    <w:name w:val="Quote"/>
    <w:basedOn w:val="1"/>
    <w:next w:val="1"/>
    <w:link w:val="39"/>
    <w:qFormat/>
    <w:uiPriority w:val="29"/>
    <w:pPr>
      <w:widowControl/>
      <w:jc w:val="left"/>
    </w:pPr>
    <w:rPr>
      <w:rFonts w:asciiTheme="minorHAnsi" w:hAnsiTheme="minorHAnsi" w:eastAsiaTheme="minorEastAsia"/>
      <w:i/>
      <w:kern w:val="0"/>
      <w:sz w:val="24"/>
    </w:rPr>
  </w:style>
  <w:style w:type="character" w:customStyle="1" w:styleId="39">
    <w:name w:val="引用 Char"/>
    <w:basedOn w:val="20"/>
    <w:link w:val="38"/>
    <w:qFormat/>
    <w:uiPriority w:val="29"/>
    <w:rPr>
      <w:i/>
      <w:sz w:val="24"/>
      <w:szCs w:val="24"/>
    </w:rPr>
  </w:style>
  <w:style w:type="paragraph" w:styleId="40">
    <w:name w:val="Intense Quote"/>
    <w:basedOn w:val="1"/>
    <w:next w:val="1"/>
    <w:link w:val="41"/>
    <w:qFormat/>
    <w:uiPriority w:val="30"/>
    <w:pPr>
      <w:widowControl/>
      <w:ind w:left="720" w:right="720"/>
      <w:jc w:val="left"/>
    </w:pPr>
    <w:rPr>
      <w:rFonts w:asciiTheme="minorHAnsi" w:hAnsiTheme="minorHAnsi" w:eastAsiaTheme="minorEastAsia"/>
      <w:b/>
      <w:i/>
      <w:kern w:val="0"/>
      <w:sz w:val="24"/>
      <w:szCs w:val="22"/>
    </w:rPr>
  </w:style>
  <w:style w:type="character" w:customStyle="1" w:styleId="41">
    <w:name w:val="明显引用 Char"/>
    <w:basedOn w:val="20"/>
    <w:link w:val="40"/>
    <w:qFormat/>
    <w:uiPriority w:val="30"/>
    <w:rPr>
      <w:b/>
      <w:i/>
      <w:sz w:val="24"/>
    </w:rPr>
  </w:style>
  <w:style w:type="character" w:customStyle="1" w:styleId="42">
    <w:name w:val="不明显强调1"/>
    <w:qFormat/>
    <w:uiPriority w:val="19"/>
    <w:rPr>
      <w:i/>
      <w:color w:val="585858" w:themeColor="text1" w:themeTint="A6"/>
    </w:rPr>
  </w:style>
  <w:style w:type="character" w:customStyle="1" w:styleId="43">
    <w:name w:val="明显强调1"/>
    <w:basedOn w:val="20"/>
    <w:qFormat/>
    <w:uiPriority w:val="21"/>
    <w:rPr>
      <w:b/>
      <w:i/>
      <w:sz w:val="24"/>
      <w:szCs w:val="24"/>
      <w:u w:val="single"/>
    </w:rPr>
  </w:style>
  <w:style w:type="character" w:customStyle="1" w:styleId="44">
    <w:name w:val="不明显参考1"/>
    <w:basedOn w:val="20"/>
    <w:qFormat/>
    <w:uiPriority w:val="31"/>
    <w:rPr>
      <w:sz w:val="24"/>
      <w:szCs w:val="24"/>
      <w:u w:val="single"/>
    </w:rPr>
  </w:style>
  <w:style w:type="character" w:customStyle="1" w:styleId="45">
    <w:name w:val="明显参考1"/>
    <w:basedOn w:val="20"/>
    <w:qFormat/>
    <w:uiPriority w:val="32"/>
    <w:rPr>
      <w:b/>
      <w:sz w:val="24"/>
      <w:u w:val="single"/>
    </w:rPr>
  </w:style>
  <w:style w:type="character" w:customStyle="1" w:styleId="46">
    <w:name w:val="书籍标题1"/>
    <w:basedOn w:val="20"/>
    <w:qFormat/>
    <w:uiPriority w:val="33"/>
    <w:rPr>
      <w:rFonts w:asciiTheme="majorHAnsi" w:hAnsiTheme="majorHAnsi" w:eastAsiaTheme="majorEastAsia"/>
      <w:b/>
      <w:i/>
      <w:sz w:val="24"/>
      <w:szCs w:val="24"/>
    </w:rPr>
  </w:style>
  <w:style w:type="paragraph" w:customStyle="1" w:styleId="47">
    <w:name w:val="TOC 标题1"/>
    <w:basedOn w:val="3"/>
    <w:next w:val="1"/>
    <w:semiHidden/>
    <w:unhideWhenUsed/>
    <w:qFormat/>
    <w:uiPriority w:val="39"/>
    <w:pPr>
      <w:outlineLvl w:val="9"/>
    </w:pPr>
    <w:rPr>
      <w:lang w:eastAsia="en-US" w:bidi="en-US"/>
    </w:rPr>
  </w:style>
  <w:style w:type="character" w:customStyle="1" w:styleId="48">
    <w:name w:val="页眉 Char"/>
    <w:basedOn w:val="20"/>
    <w:link w:val="15"/>
    <w:qFormat/>
    <w:uiPriority w:val="99"/>
    <w:rPr>
      <w:rFonts w:ascii="Calibri" w:hAnsi="Calibri" w:eastAsia="宋体"/>
      <w:kern w:val="2"/>
      <w:sz w:val="18"/>
      <w:szCs w:val="18"/>
    </w:rPr>
  </w:style>
  <w:style w:type="character" w:customStyle="1" w:styleId="49">
    <w:name w:val="页脚 Char"/>
    <w:basedOn w:val="20"/>
    <w:link w:val="14"/>
    <w:qFormat/>
    <w:uiPriority w:val="99"/>
    <w:rPr>
      <w:rFonts w:ascii="Calibri" w:hAnsi="Calibri" w:eastAsia="宋体"/>
      <w:kern w:val="2"/>
      <w:sz w:val="18"/>
      <w:szCs w:val="18"/>
    </w:rPr>
  </w:style>
  <w:style w:type="character" w:customStyle="1" w:styleId="50">
    <w:name w:val="批注框文本 Char"/>
    <w:basedOn w:val="20"/>
    <w:link w:val="13"/>
    <w:semiHidden/>
    <w:qFormat/>
    <w:uiPriority w:val="99"/>
    <w:rPr>
      <w:rFonts w:ascii="Times New Roman" w:hAnsi="Times New Roman" w:eastAsia="宋体"/>
      <w:kern w:val="2"/>
      <w:sz w:val="18"/>
      <w:szCs w:val="18"/>
    </w:rPr>
  </w:style>
  <w:style w:type="paragraph" w:customStyle="1" w:styleId="51">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2">
    <w:name w:val="fontstyle01"/>
    <w:qFormat/>
    <w:uiPriority w:val="0"/>
    <w:rPr>
      <w:rFonts w:ascii="仿宋_GB2312" w:hAnsi="仿宋_GB2312" w:eastAsia="仿宋_GB2312" w:cs="仿宋_GB2312"/>
      <w:color w:val="000000"/>
      <w:sz w:val="32"/>
      <w:szCs w:val="32"/>
    </w:rPr>
  </w:style>
  <w:style w:type="character" w:customStyle="1" w:styleId="53">
    <w:name w:val="disable_btn"/>
    <w:basedOn w:val="20"/>
    <w:qFormat/>
    <w:uiPriority w:val="0"/>
  </w:style>
  <w:style w:type="character" w:customStyle="1" w:styleId="54">
    <w:name w:val="active"/>
    <w:basedOn w:val="20"/>
    <w:qFormat/>
    <w:uiPriority w:val="0"/>
    <w:rPr>
      <w:color w:val="00FF00"/>
      <w:shd w:val="clear" w:color="auto" w:fill="000000"/>
    </w:rPr>
  </w:style>
  <w:style w:type="character" w:customStyle="1" w:styleId="55">
    <w:name w:val="show_btn"/>
    <w:basedOn w:val="20"/>
    <w:qFormat/>
    <w:uiPriority w:val="0"/>
  </w:style>
  <w:style w:type="character" w:customStyle="1" w:styleId="56">
    <w:name w:val="setlegend_btn"/>
    <w:basedOn w:val="20"/>
    <w:qFormat/>
    <w:uiPriority w:val="0"/>
  </w:style>
  <w:style w:type="character" w:customStyle="1" w:styleId="57">
    <w:name w:val="quarterav_btn"/>
    <w:basedOn w:val="20"/>
    <w:qFormat/>
    <w:uiPriority w:val="0"/>
  </w:style>
  <w:style w:type="character" w:customStyle="1" w:styleId="58">
    <w:name w:val="template_btn"/>
    <w:basedOn w:val="20"/>
    <w:qFormat/>
    <w:uiPriority w:val="0"/>
  </w:style>
  <w:style w:type="character" w:customStyle="1" w:styleId="59">
    <w:name w:val="certificate_btn"/>
    <w:basedOn w:val="20"/>
    <w:qFormat/>
    <w:uiPriority w:val="0"/>
  </w:style>
  <w:style w:type="character" w:customStyle="1" w:styleId="60">
    <w:name w:val="fistpage_btn"/>
    <w:basedOn w:val="20"/>
    <w:qFormat/>
    <w:uiPriority w:val="0"/>
  </w:style>
  <w:style w:type="character" w:customStyle="1" w:styleId="61">
    <w:name w:val="adddown_btn"/>
    <w:basedOn w:val="20"/>
    <w:qFormat/>
    <w:uiPriority w:val="0"/>
  </w:style>
  <w:style w:type="character" w:customStyle="1" w:styleId="62">
    <w:name w:val="combinecertificate_btn"/>
    <w:basedOn w:val="20"/>
    <w:qFormat/>
    <w:uiPriority w:val="0"/>
  </w:style>
  <w:style w:type="character" w:customStyle="1" w:styleId="63">
    <w:name w:val="toaudit_btn"/>
    <w:basedOn w:val="20"/>
    <w:qFormat/>
    <w:uiPriority w:val="0"/>
  </w:style>
  <w:style w:type="character" w:customStyle="1" w:styleId="64">
    <w:name w:val="auditinfo_btn"/>
    <w:basedOn w:val="20"/>
    <w:qFormat/>
    <w:uiPriority w:val="0"/>
  </w:style>
  <w:style w:type="character" w:customStyle="1" w:styleId="65">
    <w:name w:val="cleartozero_btn"/>
    <w:basedOn w:val="20"/>
    <w:qFormat/>
    <w:uiPriority w:val="0"/>
  </w:style>
  <w:style w:type="character" w:customStyle="1" w:styleId="66">
    <w:name w:val="norootaccount_btn"/>
    <w:basedOn w:val="20"/>
    <w:qFormat/>
    <w:uiPriority w:val="0"/>
  </w:style>
  <w:style w:type="character" w:customStyle="1" w:styleId="67">
    <w:name w:val="jianrow_btn"/>
    <w:basedOn w:val="20"/>
    <w:qFormat/>
    <w:uiPriority w:val="0"/>
  </w:style>
  <w:style w:type="character" w:customStyle="1" w:styleId="68">
    <w:name w:val="volumereceipt_btn"/>
    <w:basedOn w:val="20"/>
    <w:qFormat/>
    <w:uiPriority w:val="0"/>
  </w:style>
  <w:style w:type="character" w:customStyle="1" w:styleId="69">
    <w:name w:val="redoreceive_btn"/>
    <w:basedOn w:val="20"/>
    <w:qFormat/>
    <w:uiPriority w:val="0"/>
  </w:style>
  <w:style w:type="character" w:customStyle="1" w:styleId="70">
    <w:name w:val="login_btn"/>
    <w:basedOn w:val="20"/>
    <w:qFormat/>
    <w:uiPriority w:val="0"/>
  </w:style>
  <w:style w:type="character" w:customStyle="1" w:styleId="71">
    <w:name w:val="sendmassage_btn"/>
    <w:basedOn w:val="20"/>
    <w:qFormat/>
    <w:uiPriority w:val="0"/>
  </w:style>
  <w:style w:type="character" w:customStyle="1" w:styleId="72">
    <w:name w:val="off_btn"/>
    <w:basedOn w:val="20"/>
    <w:qFormat/>
    <w:uiPriority w:val="0"/>
  </w:style>
  <w:style w:type="character" w:customStyle="1" w:styleId="73">
    <w:name w:val="advancedquery_btn"/>
    <w:basedOn w:val="20"/>
    <w:qFormat/>
    <w:uiPriority w:val="0"/>
  </w:style>
  <w:style w:type="character" w:customStyle="1" w:styleId="74">
    <w:name w:val="d_in_btn"/>
    <w:basedOn w:val="20"/>
    <w:qFormat/>
    <w:uiPriority w:val="0"/>
  </w:style>
  <w:style w:type="character" w:customStyle="1" w:styleId="75">
    <w:name w:val="screening_btn"/>
    <w:basedOn w:val="20"/>
    <w:qFormat/>
    <w:uiPriority w:val="0"/>
  </w:style>
  <w:style w:type="character" w:customStyle="1" w:styleId="76">
    <w:name w:val="certificatelist_btn"/>
    <w:basedOn w:val="20"/>
    <w:qFormat/>
    <w:uiPriority w:val="0"/>
  </w:style>
  <w:style w:type="character" w:customStyle="1" w:styleId="77">
    <w:name w:val="liquidation_btn"/>
    <w:basedOn w:val="20"/>
    <w:uiPriority w:val="0"/>
  </w:style>
  <w:style w:type="character" w:customStyle="1" w:styleId="78">
    <w:name w:val="hedui_btn"/>
    <w:basedOn w:val="20"/>
    <w:qFormat/>
    <w:uiPriority w:val="0"/>
  </w:style>
  <w:style w:type="character" w:customStyle="1" w:styleId="79">
    <w:name w:val="rootaccount_btn"/>
    <w:basedOn w:val="20"/>
    <w:qFormat/>
    <w:uiPriority w:val="0"/>
  </w:style>
  <w:style w:type="character" w:customStyle="1" w:styleId="80">
    <w:name w:val="orderset_btn"/>
    <w:basedOn w:val="20"/>
    <w:qFormat/>
    <w:uiPriority w:val="0"/>
  </w:style>
  <w:style w:type="character" w:customStyle="1" w:styleId="81">
    <w:name w:val="receiptshow_btn"/>
    <w:basedOn w:val="20"/>
    <w:qFormat/>
    <w:uiPriority w:val="0"/>
  </w:style>
  <w:style w:type="character" w:customStyle="1" w:styleId="82">
    <w:name w:val="onlyread_btn"/>
    <w:basedOn w:val="20"/>
    <w:qFormat/>
    <w:uiPriority w:val="0"/>
  </w:style>
  <w:style w:type="character" w:customStyle="1" w:styleId="83">
    <w:name w:val="d_out_btn"/>
    <w:basedOn w:val="20"/>
    <w:uiPriority w:val="0"/>
  </w:style>
  <w:style w:type="character" w:customStyle="1" w:styleId="84">
    <w:name w:val="renode_btn"/>
    <w:basedOn w:val="20"/>
    <w:qFormat/>
    <w:uiPriority w:val="0"/>
  </w:style>
  <w:style w:type="character" w:customStyle="1" w:styleId="85">
    <w:name w:val="ui-icon6"/>
    <w:basedOn w:val="20"/>
    <w:qFormat/>
    <w:uiPriority w:val="0"/>
  </w:style>
  <w:style w:type="character" w:customStyle="1" w:styleId="86">
    <w:name w:val="add_btn"/>
    <w:basedOn w:val="20"/>
    <w:qFormat/>
    <w:uiPriority w:val="0"/>
  </w:style>
  <w:style w:type="character" w:customStyle="1" w:styleId="87">
    <w:name w:val="rmond_btn"/>
    <w:basedOn w:val="20"/>
    <w:uiPriority w:val="0"/>
  </w:style>
  <w:style w:type="character" w:customStyle="1" w:styleId="88">
    <w:name w:val="sendsalaries_btn"/>
    <w:basedOn w:val="20"/>
    <w:uiPriority w:val="0"/>
  </w:style>
  <w:style w:type="character" w:customStyle="1" w:styleId="89">
    <w:name w:val="endpage_btn"/>
    <w:basedOn w:val="20"/>
    <w:qFormat/>
    <w:uiPriority w:val="0"/>
  </w:style>
  <w:style w:type="character" w:customStyle="1" w:styleId="90">
    <w:name w:val="excel_btn"/>
    <w:basedOn w:val="20"/>
    <w:qFormat/>
    <w:uiPriority w:val="0"/>
  </w:style>
  <w:style w:type="character" w:customStyle="1" w:styleId="91">
    <w:name w:val="flip_btn"/>
    <w:basedOn w:val="20"/>
    <w:qFormat/>
    <w:uiPriority w:val="0"/>
  </w:style>
  <w:style w:type="character" w:customStyle="1" w:styleId="92">
    <w:name w:val="goback_retired_btn"/>
    <w:basedOn w:val="20"/>
    <w:qFormat/>
    <w:uiPriority w:val="0"/>
  </w:style>
  <w:style w:type="character" w:customStyle="1" w:styleId="93">
    <w:name w:val="ordercorresponding_btn"/>
    <w:basedOn w:val="20"/>
    <w:uiPriority w:val="0"/>
  </w:style>
  <w:style w:type="character" w:customStyle="1" w:styleId="94">
    <w:name w:val="induction_btn"/>
    <w:basedOn w:val="20"/>
    <w:qFormat/>
    <w:uiPriority w:val="0"/>
  </w:style>
  <w:style w:type="character" w:customStyle="1" w:styleId="95">
    <w:name w:val="rechuanchu_btn"/>
    <w:basedOn w:val="20"/>
    <w:uiPriority w:val="0"/>
  </w:style>
  <w:style w:type="character" w:customStyle="1" w:styleId="96">
    <w:name w:val="split_btn"/>
    <w:basedOn w:val="20"/>
    <w:uiPriority w:val="0"/>
  </w:style>
  <w:style w:type="character" w:customStyle="1" w:styleId="97">
    <w:name w:val="adjust_btn"/>
    <w:basedOn w:val="20"/>
    <w:qFormat/>
    <w:uiPriority w:val="0"/>
  </w:style>
  <w:style w:type="character" w:customStyle="1" w:styleId="98">
    <w:name w:val="salaryview_btn"/>
    <w:basedOn w:val="20"/>
    <w:qFormat/>
    <w:uiPriority w:val="0"/>
  </w:style>
  <w:style w:type="character" w:customStyle="1" w:styleId="99">
    <w:name w:val="reduce_btn"/>
    <w:basedOn w:val="20"/>
    <w:qFormat/>
    <w:uiPriority w:val="0"/>
  </w:style>
  <w:style w:type="character" w:customStyle="1" w:styleId="100">
    <w:name w:val="summary_btn"/>
    <w:basedOn w:val="20"/>
    <w:uiPriority w:val="0"/>
  </w:style>
  <w:style w:type="character" w:customStyle="1" w:styleId="101">
    <w:name w:val="fullshow_btn"/>
    <w:basedOn w:val="20"/>
    <w:uiPriority w:val="0"/>
  </w:style>
  <w:style w:type="character" w:customStyle="1" w:styleId="102">
    <w:name w:val="undoarchive_btn"/>
    <w:basedOn w:val="20"/>
    <w:qFormat/>
    <w:uiPriority w:val="0"/>
  </w:style>
  <w:style w:type="character" w:customStyle="1" w:styleId="103">
    <w:name w:val="generation_btn"/>
    <w:basedOn w:val="20"/>
    <w:uiPriority w:val="0"/>
  </w:style>
  <w:style w:type="character" w:customStyle="1" w:styleId="104">
    <w:name w:val="monthav_btn"/>
    <w:basedOn w:val="20"/>
    <w:qFormat/>
    <w:uiPriority w:val="0"/>
  </w:style>
  <w:style w:type="character" w:customStyle="1" w:styleId="105">
    <w:name w:val="bdgamt_btn"/>
    <w:basedOn w:val="20"/>
    <w:qFormat/>
    <w:uiPriority w:val="0"/>
  </w:style>
  <w:style w:type="character" w:customStyle="1" w:styleId="106">
    <w:name w:val="clear_btn"/>
    <w:basedOn w:val="20"/>
    <w:uiPriority w:val="0"/>
  </w:style>
  <w:style w:type="character" w:customStyle="1" w:styleId="107">
    <w:name w:val="mod_btn"/>
    <w:basedOn w:val="20"/>
    <w:qFormat/>
    <w:uiPriority w:val="0"/>
  </w:style>
  <w:style w:type="character" w:customStyle="1" w:styleId="108">
    <w:name w:val="query_btn"/>
    <w:basedOn w:val="20"/>
    <w:uiPriority w:val="0"/>
  </w:style>
  <w:style w:type="character" w:customStyle="1" w:styleId="109">
    <w:name w:val="hidden_btn"/>
    <w:basedOn w:val="20"/>
    <w:uiPriority w:val="0"/>
  </w:style>
  <w:style w:type="character" w:customStyle="1" w:styleId="110">
    <w:name w:val="del_btn"/>
    <w:basedOn w:val="20"/>
    <w:qFormat/>
    <w:uiPriority w:val="0"/>
  </w:style>
  <w:style w:type="character" w:customStyle="1" w:styleId="111">
    <w:name w:val="return_btn"/>
    <w:basedOn w:val="20"/>
    <w:qFormat/>
    <w:uiPriority w:val="0"/>
  </w:style>
  <w:style w:type="character" w:customStyle="1" w:styleId="112">
    <w:name w:val="checkno_btn"/>
    <w:basedOn w:val="20"/>
    <w:qFormat/>
    <w:uiPriority w:val="0"/>
  </w:style>
  <w:style w:type="character" w:customStyle="1" w:styleId="113">
    <w:name w:val="cumulative_btn"/>
    <w:basedOn w:val="20"/>
    <w:uiPriority w:val="0"/>
  </w:style>
  <w:style w:type="character" w:customStyle="1" w:styleId="114">
    <w:name w:val="yeard_btn"/>
    <w:basedOn w:val="20"/>
    <w:qFormat/>
    <w:uiPriority w:val="0"/>
  </w:style>
  <w:style w:type="character" w:customStyle="1" w:styleId="115">
    <w:name w:val="noliquidation_btn"/>
    <w:basedOn w:val="20"/>
    <w:qFormat/>
    <w:uiPriority w:val="0"/>
  </w:style>
  <w:style w:type="character" w:customStyle="1" w:styleId="116">
    <w:name w:val="notoaudit_btn"/>
    <w:basedOn w:val="20"/>
    <w:uiPriority w:val="0"/>
  </w:style>
  <w:style w:type="character" w:customStyle="1" w:styleId="117">
    <w:name w:val="returnhigher_btn"/>
    <w:basedOn w:val="20"/>
    <w:qFormat/>
    <w:uiPriority w:val="0"/>
  </w:style>
  <w:style w:type="character" w:customStyle="1" w:styleId="118">
    <w:name w:val="totrace_btn"/>
    <w:basedOn w:val="20"/>
    <w:qFormat/>
    <w:uiPriority w:val="0"/>
  </w:style>
  <w:style w:type="character" w:customStyle="1" w:styleId="119">
    <w:name w:val="documents_btn"/>
    <w:basedOn w:val="20"/>
    <w:uiPriority w:val="0"/>
  </w:style>
  <w:style w:type="character" w:customStyle="1" w:styleId="120">
    <w:name w:val="goaudit_btn"/>
    <w:basedOn w:val="20"/>
    <w:qFormat/>
    <w:uiPriority w:val="0"/>
  </w:style>
  <w:style w:type="character" w:customStyle="1" w:styleId="121">
    <w:name w:val="returnlastpage_btn"/>
    <w:basedOn w:val="20"/>
    <w:uiPriority w:val="0"/>
  </w:style>
  <w:style w:type="character" w:customStyle="1" w:styleId="122">
    <w:name w:val="nogoaudit_btn"/>
    <w:basedOn w:val="20"/>
    <w:qFormat/>
    <w:uiPriority w:val="0"/>
  </w:style>
  <w:style w:type="character" w:customStyle="1" w:styleId="123">
    <w:name w:val="setprint_btn"/>
    <w:basedOn w:val="20"/>
    <w:qFormat/>
    <w:uiPriority w:val="0"/>
  </w:style>
  <w:style w:type="character" w:customStyle="1" w:styleId="124">
    <w:name w:val="generationdaily_btn"/>
    <w:basedOn w:val="20"/>
    <w:qFormat/>
    <w:uiPriority w:val="0"/>
  </w:style>
  <w:style w:type="character" w:customStyle="1" w:styleId="125">
    <w:name w:val="print_btn"/>
    <w:basedOn w:val="20"/>
    <w:qFormat/>
    <w:uiPriority w:val="0"/>
  </w:style>
  <w:style w:type="character" w:customStyle="1" w:styleId="126">
    <w:name w:val="nogeneration_btn"/>
    <w:basedOn w:val="20"/>
    <w:uiPriority w:val="0"/>
  </w:style>
  <w:style w:type="character" w:customStyle="1" w:styleId="127">
    <w:name w:val="noreturn_btn"/>
    <w:basedOn w:val="20"/>
    <w:uiPriority w:val="0"/>
  </w:style>
  <w:style w:type="character" w:customStyle="1" w:styleId="128">
    <w:name w:val="accredit_btn"/>
    <w:basedOn w:val="20"/>
    <w:qFormat/>
    <w:uiPriority w:val="0"/>
  </w:style>
  <w:style w:type="character" w:customStyle="1" w:styleId="129">
    <w:name w:val="close_btn"/>
    <w:basedOn w:val="20"/>
    <w:uiPriority w:val="0"/>
  </w:style>
  <w:style w:type="character" w:customStyle="1" w:styleId="130">
    <w:name w:val="save_btn"/>
    <w:basedOn w:val="20"/>
    <w:qFormat/>
    <w:uiPriority w:val="0"/>
  </w:style>
  <w:style w:type="character" w:customStyle="1" w:styleId="131">
    <w:name w:val="save_btn1"/>
    <w:basedOn w:val="20"/>
    <w:uiPriority w:val="0"/>
  </w:style>
  <w:style w:type="character" w:customStyle="1" w:styleId="132">
    <w:name w:val="noprint_btn"/>
    <w:basedOn w:val="20"/>
    <w:uiPriority w:val="0"/>
  </w:style>
  <w:style w:type="character" w:customStyle="1" w:styleId="133">
    <w:name w:val="copyplay_btn"/>
    <w:basedOn w:val="20"/>
    <w:qFormat/>
    <w:uiPriority w:val="0"/>
  </w:style>
  <w:style w:type="character" w:customStyle="1" w:styleId="134">
    <w:name w:val="prepage_btn"/>
    <w:basedOn w:val="20"/>
    <w:uiPriority w:val="0"/>
  </w:style>
  <w:style w:type="character" w:customStyle="1" w:styleId="135">
    <w:name w:val="newprint_btn"/>
    <w:basedOn w:val="20"/>
    <w:uiPriority w:val="0"/>
  </w:style>
  <w:style w:type="character" w:customStyle="1" w:styleId="136">
    <w:name w:val="issuing_btn"/>
    <w:basedOn w:val="20"/>
    <w:uiPriority w:val="0"/>
  </w:style>
  <w:style w:type="character" w:customStyle="1" w:styleId="137">
    <w:name w:val="source_btn"/>
    <w:basedOn w:val="20"/>
    <w:uiPriority w:val="0"/>
  </w:style>
  <w:style w:type="character" w:customStyle="1" w:styleId="138">
    <w:name w:val="addbatch_btn"/>
    <w:basedOn w:val="20"/>
    <w:uiPriority w:val="0"/>
  </w:style>
  <w:style w:type="character" w:customStyle="1" w:styleId="139">
    <w:name w:val="switch_btn"/>
    <w:basedOn w:val="20"/>
    <w:uiPriority w:val="0"/>
  </w:style>
  <w:style w:type="character" w:customStyle="1" w:styleId="140">
    <w:name w:val="hilite"/>
    <w:basedOn w:val="20"/>
    <w:uiPriority w:val="0"/>
    <w:rPr>
      <w:color w:val="FFFFFF"/>
      <w:shd w:val="clear" w:color="auto" w:fill="666677"/>
    </w:rPr>
  </w:style>
  <w:style w:type="character" w:customStyle="1" w:styleId="141">
    <w:name w:val="neededdone_btn"/>
    <w:basedOn w:val="20"/>
    <w:uiPriority w:val="0"/>
  </w:style>
  <w:style w:type="character" w:customStyle="1" w:styleId="142">
    <w:name w:val="cancel_btn"/>
    <w:basedOn w:val="20"/>
    <w:qFormat/>
    <w:uiPriority w:val="0"/>
  </w:style>
  <w:style w:type="character" w:customStyle="1" w:styleId="143">
    <w:name w:val="insertrow_btn"/>
    <w:basedOn w:val="20"/>
    <w:uiPriority w:val="0"/>
  </w:style>
  <w:style w:type="character" w:customStyle="1" w:styleId="144">
    <w:name w:val="generationandgoon_btn"/>
    <w:basedOn w:val="20"/>
    <w:qFormat/>
    <w:uiPriority w:val="0"/>
  </w:style>
  <w:style w:type="character" w:customStyle="1" w:styleId="145">
    <w:name w:val="vchshow_btn"/>
    <w:basedOn w:val="20"/>
    <w:uiPriority w:val="0"/>
  </w:style>
  <w:style w:type="character" w:customStyle="1" w:styleId="146">
    <w:name w:val="inductionsalary_btn"/>
    <w:basedOn w:val="20"/>
    <w:uiPriority w:val="0"/>
  </w:style>
  <w:style w:type="character" w:customStyle="1" w:styleId="147">
    <w:name w:val="receipt_btn"/>
    <w:basedOn w:val="20"/>
    <w:uiPriority w:val="0"/>
  </w:style>
  <w:style w:type="character" w:customStyle="1" w:styleId="148">
    <w:name w:val="cancelissuing_btn"/>
    <w:basedOn w:val="20"/>
    <w:uiPriority w:val="0"/>
  </w:style>
  <w:style w:type="character" w:customStyle="1" w:styleId="149">
    <w:name w:val="tobottom_btn"/>
    <w:basedOn w:val="20"/>
    <w:uiPriority w:val="0"/>
  </w:style>
  <w:style w:type="character" w:customStyle="1" w:styleId="150">
    <w:name w:val="detail_btn"/>
    <w:basedOn w:val="20"/>
    <w:uiPriority w:val="0"/>
  </w:style>
  <w:style w:type="character" w:customStyle="1" w:styleId="151">
    <w:name w:val="cancellogin_btn"/>
    <w:basedOn w:val="20"/>
    <w:uiPriority w:val="0"/>
  </w:style>
  <w:style w:type="character" w:customStyle="1" w:styleId="152">
    <w:name w:val="adjustorder_btn"/>
    <w:basedOn w:val="20"/>
    <w:uiPriority w:val="0"/>
  </w:style>
  <w:style w:type="character" w:customStyle="1" w:styleId="153">
    <w:name w:val="mond_btn"/>
    <w:basedOn w:val="20"/>
    <w:uiPriority w:val="0"/>
  </w:style>
  <w:style w:type="character" w:customStyle="1" w:styleId="154">
    <w:name w:val="ismodify_btn"/>
    <w:basedOn w:val="20"/>
    <w:uiPriority w:val="0"/>
  </w:style>
  <w:style w:type="character" w:customStyle="1" w:styleId="155">
    <w:name w:val="ryeard_btn"/>
    <w:basedOn w:val="20"/>
    <w:qFormat/>
    <w:uiPriority w:val="0"/>
  </w:style>
  <w:style w:type="character" w:customStyle="1" w:styleId="156">
    <w:name w:val="view_btn"/>
    <w:basedOn w:val="20"/>
    <w:uiPriority w:val="0"/>
  </w:style>
  <w:style w:type="character" w:customStyle="1" w:styleId="157">
    <w:name w:val="queryele_btn"/>
    <w:basedOn w:val="20"/>
    <w:qFormat/>
    <w:uiPriority w:val="0"/>
  </w:style>
  <w:style w:type="character" w:customStyle="1" w:styleId="158">
    <w:name w:val="nextpage_btn"/>
    <w:basedOn w:val="20"/>
    <w:uiPriority w:val="0"/>
  </w:style>
  <w:style w:type="character" w:customStyle="1" w:styleId="159">
    <w:name w:val="viewsub_btn"/>
    <w:basedOn w:val="20"/>
    <w:uiPriority w:val="0"/>
  </w:style>
  <w:style w:type="character" w:customStyle="1" w:styleId="160">
    <w:name w:val="assetmaintenance_btn"/>
    <w:basedOn w:val="20"/>
    <w:uiPriority w:val="0"/>
  </w:style>
  <w:style w:type="character" w:customStyle="1" w:styleId="161">
    <w:name w:val="adjustbatch_btn"/>
    <w:basedOn w:val="20"/>
    <w:uiPriority w:val="0"/>
  </w:style>
  <w:style w:type="character" w:customStyle="1" w:styleId="162">
    <w:name w:val="drop_btn"/>
    <w:basedOn w:val="20"/>
    <w:uiPriority w:val="0"/>
  </w:style>
  <w:style w:type="character" w:customStyle="1" w:styleId="163">
    <w:name w:val="restore_btn"/>
    <w:basedOn w:val="20"/>
    <w:uiPriority w:val="0"/>
  </w:style>
  <w:style w:type="character" w:customStyle="1" w:styleId="164">
    <w:name w:val="distribution_btn"/>
    <w:basedOn w:val="20"/>
    <w:uiPriority w:val="0"/>
  </w:style>
  <w:style w:type="character" w:customStyle="1" w:styleId="165">
    <w:name w:val="datapermission_btn"/>
    <w:basedOn w:val="20"/>
    <w:uiPriority w:val="0"/>
  </w:style>
  <w:style w:type="character" w:customStyle="1" w:styleId="166">
    <w:name w:val="enabled_btn"/>
    <w:basedOn w:val="20"/>
    <w:uiPriority w:val="0"/>
  </w:style>
  <w:style w:type="character" w:customStyle="1" w:styleId="167">
    <w:name w:val="addsame_btn"/>
    <w:basedOn w:val="20"/>
    <w:uiPriority w:val="0"/>
  </w:style>
  <w:style w:type="character" w:customStyle="1" w:styleId="168">
    <w:name w:val="changenote_btn"/>
    <w:basedOn w:val="20"/>
    <w:qFormat/>
    <w:uiPriority w:val="0"/>
  </w:style>
  <w:style w:type="character" w:customStyle="1" w:styleId="169">
    <w:name w:val="notetypedef_btn"/>
    <w:basedOn w:val="20"/>
    <w:uiPriority w:val="0"/>
  </w:style>
  <w:style w:type="character" w:customStyle="1" w:styleId="170">
    <w:name w:val="chuanchu_btn"/>
    <w:basedOn w:val="20"/>
    <w:uiPriority w:val="0"/>
  </w:style>
  <w:style w:type="character" w:customStyle="1" w:styleId="171">
    <w:name w:val="archive_btn"/>
    <w:basedOn w:val="20"/>
    <w:uiPriority w:val="0"/>
  </w:style>
  <w:style w:type="character" w:customStyle="1" w:styleId="172">
    <w:name w:val="ok_btn"/>
    <w:basedOn w:val="20"/>
    <w:uiPriority w:val="0"/>
  </w:style>
  <w:style w:type="character" w:customStyle="1" w:styleId="173">
    <w:name w:val="extend_btn"/>
    <w:basedOn w:val="20"/>
    <w:uiPriority w:val="0"/>
  </w:style>
  <w:style w:type="character" w:customStyle="1" w:styleId="174">
    <w:name w:val="grading_btn"/>
    <w:basedOn w:val="20"/>
    <w:uiPriority w:val="0"/>
  </w:style>
  <w:style w:type="character" w:customStyle="1" w:styleId="175">
    <w:name w:val="extend0_btn"/>
    <w:basedOn w:val="20"/>
    <w:uiPriority w:val="0"/>
  </w:style>
  <w:style w:type="character" w:customStyle="1" w:styleId="176">
    <w:name w:val="certification_btn"/>
    <w:basedOn w:val="20"/>
    <w:uiPriority w:val="0"/>
  </w:style>
  <w:style w:type="character" w:customStyle="1" w:styleId="177">
    <w:name w:val="singlekill_btn"/>
    <w:basedOn w:val="20"/>
    <w:uiPriority w:val="0"/>
  </w:style>
  <w:style w:type="character" w:customStyle="1" w:styleId="178">
    <w:name w:val="jointquery_btn"/>
    <w:basedOn w:val="20"/>
    <w:qFormat/>
    <w:uiPriority w:val="0"/>
  </w:style>
  <w:style w:type="character" w:customStyle="1" w:styleId="179">
    <w:name w:val="currentissue_btn"/>
    <w:basedOn w:val="20"/>
    <w:uiPriority w:val="0"/>
  </w:style>
  <w:style w:type="character" w:customStyle="1" w:styleId="180">
    <w:name w:val="borrowingonecolumn_btn"/>
    <w:basedOn w:val="20"/>
    <w:uiPriority w:val="0"/>
  </w:style>
  <w:style w:type="character" w:customStyle="1" w:styleId="181">
    <w:name w:val="borrowingtwocolumn_btn"/>
    <w:basedOn w:val="20"/>
    <w:uiPriority w:val="0"/>
  </w:style>
  <w:style w:type="character" w:customStyle="1" w:styleId="182">
    <w:name w:val="state_btn"/>
    <w:basedOn w:val="20"/>
    <w:uiPriority w:val="0"/>
  </w:style>
  <w:style w:type="character" w:customStyle="1" w:styleId="183">
    <w:name w:val="changenotes_btn"/>
    <w:basedOn w:val="20"/>
    <w:uiPriority w:val="0"/>
  </w:style>
  <w:style w:type="character" w:customStyle="1" w:styleId="184">
    <w:name w:val="list_btn"/>
    <w:basedOn w:val="20"/>
    <w:uiPriority w:val="0"/>
  </w:style>
  <w:style w:type="character" w:customStyle="1" w:styleId="185">
    <w:name w:val="sourceonly_btn"/>
    <w:basedOn w:val="20"/>
    <w:uiPriority w:val="0"/>
  </w:style>
  <w:style w:type="character" w:customStyle="1" w:styleId="186">
    <w:name w:val="noticeshow_btn"/>
    <w:basedOn w:val="20"/>
    <w:uiPriority w:val="0"/>
  </w:style>
  <w:style w:type="character" w:customStyle="1" w:styleId="187">
    <w:name w:val="batchaudit_btn"/>
    <w:basedOn w:val="20"/>
    <w:uiPriority w:val="0"/>
  </w:style>
  <w:style w:type="character" w:customStyle="1" w:styleId="188">
    <w:name w:val="stop_m_btn"/>
    <w:basedOn w:val="20"/>
    <w:uiPriority w:val="0"/>
  </w:style>
  <w:style w:type="character" w:customStyle="1" w:styleId="189">
    <w:name w:val="statisticsaudit_btn"/>
    <w:basedOn w:val="20"/>
    <w:uiPriority w:val="0"/>
  </w:style>
  <w:style w:type="character" w:customStyle="1" w:styleId="190">
    <w:name w:val="continue_m_btn"/>
    <w:basedOn w:val="20"/>
    <w:qFormat/>
    <w:uiPriority w:val="0"/>
  </w:style>
  <w:style w:type="character" w:customStyle="1" w:styleId="191">
    <w:name w:val="retired_btn"/>
    <w:basedOn w:val="20"/>
    <w:uiPriority w:val="0"/>
  </w:style>
  <w:style w:type="character" w:customStyle="1" w:styleId="192">
    <w:name w:val="goback_off_btn"/>
    <w:basedOn w:val="20"/>
    <w:qFormat/>
    <w:uiPriority w:val="0"/>
  </w:style>
  <w:style w:type="character" w:customStyle="1" w:styleId="193">
    <w:name w:val="doreceive_btn"/>
    <w:basedOn w:val="20"/>
    <w:uiPriority w:val="0"/>
  </w:style>
  <w:style w:type="character" w:customStyle="1" w:styleId="194">
    <w:name w:val="confirm_btn"/>
    <w:basedOn w:val="20"/>
    <w:qFormat/>
    <w:uiPriority w:val="0"/>
  </w:style>
  <w:style w:type="character" w:customStyle="1" w:styleId="195">
    <w:name w:val="refresh_btn"/>
    <w:basedOn w:val="20"/>
    <w:qFormat/>
    <w:uiPriority w:val="0"/>
  </w:style>
  <w:style w:type="character" w:customStyle="1" w:styleId="196">
    <w:name w:val="setconditions_btn"/>
    <w:basedOn w:val="20"/>
    <w:qFormat/>
    <w:uiPriority w:val="0"/>
  </w:style>
  <w:style w:type="character" w:customStyle="1" w:styleId="197">
    <w:name w:val="starttocount_btn"/>
    <w:basedOn w:val="20"/>
    <w:qFormat/>
    <w:uiPriority w:val="0"/>
  </w:style>
  <w:style w:type="character" w:customStyle="1" w:styleId="198">
    <w:name w:val="initialization_btn"/>
    <w:basedOn w:val="20"/>
    <w:qFormat/>
    <w:uiPriority w:val="0"/>
  </w:style>
  <w:style w:type="character" w:customStyle="1" w:styleId="199">
    <w:name w:val="additionalmonth_btn"/>
    <w:basedOn w:val="20"/>
    <w:qFormat/>
    <w:uiPriority w:val="0"/>
  </w:style>
  <w:style w:type="character" w:customStyle="1" w:styleId="200">
    <w:name w:val="log_btn"/>
    <w:basedOn w:val="20"/>
    <w:uiPriority w:val="0"/>
  </w:style>
  <w:style w:type="character" w:customStyle="1" w:styleId="201">
    <w:name w:val="personnelview_btn"/>
    <w:basedOn w:val="20"/>
    <w:qFormat/>
    <w:uiPriority w:val="0"/>
  </w:style>
  <w:style w:type="character" w:customStyle="1" w:styleId="202">
    <w:name w:val="payamt_btn"/>
    <w:basedOn w:val="20"/>
    <w:qFormat/>
    <w:uiPriority w:val="0"/>
  </w:style>
  <w:style w:type="character" w:customStyle="1" w:styleId="203">
    <w:name w:val="printsalary_btn"/>
    <w:basedOn w:val="20"/>
    <w:uiPriority w:val="0"/>
  </w:style>
  <w:style w:type="character" w:customStyle="1" w:styleId="204">
    <w:name w:val="autocertificate_btn"/>
    <w:basedOn w:val="20"/>
    <w:qFormat/>
    <w:uiPriority w:val="0"/>
  </w:style>
  <w:style w:type="character" w:customStyle="1" w:styleId="205">
    <w:name w:val="reversalcertificate_btn"/>
    <w:basedOn w:val="20"/>
    <w:qFormat/>
    <w:uiPriority w:val="0"/>
  </w:style>
  <w:style w:type="character" w:customStyle="1" w:styleId="206">
    <w:name w:val="batchsave_btn"/>
    <w:basedOn w:val="20"/>
    <w:qFormat/>
    <w:uiPriority w:val="0"/>
  </w:style>
  <w:style w:type="character" w:customStyle="1" w:styleId="207">
    <w:name w:val="summaryconditions_btn"/>
    <w:basedOn w:val="20"/>
    <w:qFormat/>
    <w:uiPriority w:val="0"/>
  </w:style>
  <w:style w:type="character" w:customStyle="1" w:styleId="208">
    <w:name w:val="totop_btn"/>
    <w:basedOn w:val="20"/>
    <w:uiPriority w:val="0"/>
  </w:style>
  <w:style w:type="character" w:customStyle="1" w:styleId="209">
    <w:name w:val="helpnotice_btn"/>
    <w:basedOn w:val="20"/>
    <w:qFormat/>
    <w:uiPriority w:val="0"/>
  </w:style>
  <w:style w:type="character" w:customStyle="1" w:styleId="210">
    <w:name w:val="availablecredit_btn"/>
    <w:basedOn w:val="20"/>
    <w:qFormat/>
    <w:uiPriority w:val="0"/>
  </w:style>
  <w:style w:type="character" w:customStyle="1" w:styleId="211">
    <w:name w:val="planamt_btn"/>
    <w:basedOn w:val="20"/>
    <w:qFormat/>
    <w:uiPriority w:val="0"/>
  </w:style>
  <w:style w:type="character" w:customStyle="1" w:styleId="212">
    <w:name w:val="addrow_btn"/>
    <w:basedOn w:val="20"/>
    <w:qFormat/>
    <w:uiPriority w:val="0"/>
  </w:style>
  <w:style w:type="paragraph" w:customStyle="1" w:styleId="213">
    <w:name w:val="Other|1"/>
    <w:basedOn w:val="1"/>
    <w:qFormat/>
    <w:uiPriority w:val="99"/>
    <w:pPr>
      <w:spacing w:line="437" w:lineRule="auto"/>
      <w:ind w:firstLine="400"/>
    </w:pPr>
    <w:rPr>
      <w:rFonts w:ascii="宋体" w:hAnsi="宋体" w:cs="宋体"/>
      <w:sz w:val="19"/>
      <w:szCs w:val="19"/>
      <w:lang w:val="zh-TW" w:eastAsia="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21</Pages>
  <Words>7440</Words>
  <Characters>1128</Characters>
  <Lines>9</Lines>
  <Paragraphs>17</Paragraphs>
  <TotalTime>3</TotalTime>
  <ScaleCrop>false</ScaleCrop>
  <LinksUpToDate>false</LinksUpToDate>
  <CharactersWithSpaces>8551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dell-dell</cp:lastModifiedBy>
  <cp:lastPrinted>2019-12-31T08:02:00Z</cp:lastPrinted>
  <dcterms:modified xsi:type="dcterms:W3CDTF">2021-05-29T15:07:53Z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F68DF8705332423683166194C82E08C4</vt:lpwstr>
  </property>
  <property fmtid="{D5CDD505-2E9C-101B-9397-08002B2CF9AE}" pid="4" name="KSOSaveFontToCloudKey">
    <vt:lpwstr>229835342_cloud</vt:lpwstr>
  </property>
</Properties>
</file>