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塔城地区人大工委补助工作经费项目</w:t>
      </w:r>
    </w:p>
    <w:p>
      <w:pPr>
        <w:spacing w:line="54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contextualSpacing/>
        <w:jc w:val="center"/>
        <w:rPr>
          <w:rFonts w:hint="eastAsia" w:ascii="仿宋" w:hAnsi="仿宋" w:eastAsia="仿宋" w:cs="仿宋"/>
          <w:b w:val="0"/>
          <w:bCs w:val="0"/>
          <w:sz w:val="32"/>
          <w:szCs w:val="32"/>
          <w:lang w:eastAsia="zh-CN"/>
        </w:rPr>
      </w:pPr>
      <w:r>
        <w:rPr>
          <w:rFonts w:hint="eastAsia" w:hAnsi="宋体" w:eastAsia="仿宋_GB2312" w:cs="宋体"/>
          <w:kern w:val="0"/>
          <w:sz w:val="36"/>
          <w:szCs w:val="36"/>
        </w:rPr>
        <w:t>项目名称：</w:t>
      </w:r>
      <w:r>
        <w:rPr>
          <w:rFonts w:hint="eastAsia" w:ascii="仿宋" w:hAnsi="仿宋" w:eastAsia="仿宋" w:cs="仿宋"/>
          <w:b w:val="0"/>
          <w:bCs w:val="0"/>
          <w:sz w:val="32"/>
          <w:szCs w:val="32"/>
          <w:lang w:eastAsia="zh-CN"/>
        </w:rPr>
        <w:t>塔城地区人大工委补助工作经费项目</w:t>
      </w:r>
    </w:p>
    <w:p>
      <w:pPr>
        <w:spacing w:line="700" w:lineRule="exact"/>
        <w:ind w:firstLine="720" w:firstLineChars="200"/>
        <w:jc w:val="left"/>
        <w:rPr>
          <w:rFonts w:hint="eastAsia" w:ascii="仿宋" w:hAnsi="仿宋" w:eastAsia="仿宋" w:cs="仿宋"/>
          <w:b w:val="0"/>
          <w:bCs w:val="0"/>
          <w:sz w:val="32"/>
          <w:szCs w:val="32"/>
          <w:lang w:eastAsia="zh-CN"/>
        </w:rPr>
      </w:pPr>
      <w:r>
        <w:rPr>
          <w:rFonts w:hint="eastAsia" w:hAnsi="宋体" w:eastAsia="仿宋_GB2312" w:cs="宋体"/>
          <w:kern w:val="0"/>
          <w:sz w:val="36"/>
          <w:szCs w:val="36"/>
        </w:rPr>
        <w:t>实施单位（公章）：</w:t>
      </w:r>
      <w:r>
        <w:rPr>
          <w:rFonts w:hint="eastAsia" w:ascii="仿宋" w:hAnsi="仿宋" w:eastAsia="仿宋" w:cs="仿宋"/>
          <w:b w:val="0"/>
          <w:bCs w:val="0"/>
          <w:sz w:val="32"/>
          <w:szCs w:val="32"/>
          <w:lang w:eastAsia="zh-CN"/>
        </w:rPr>
        <w:t>塔城地区人大工委</w:t>
      </w:r>
    </w:p>
    <w:p>
      <w:pPr>
        <w:spacing w:line="70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ascii="仿宋" w:hAnsi="仿宋" w:eastAsia="仿宋" w:cs="仿宋"/>
          <w:b w:val="0"/>
          <w:bCs w:val="0"/>
          <w:sz w:val="32"/>
          <w:szCs w:val="32"/>
          <w:lang w:val="en-US" w:eastAsia="zh-CN"/>
        </w:rPr>
        <w:t>塔城地区财政局</w:t>
      </w:r>
    </w:p>
    <w:p>
      <w:pPr>
        <w:spacing w:line="70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ascii="仿宋" w:hAnsi="仿宋" w:eastAsia="仿宋" w:cs="仿宋"/>
          <w:b w:val="0"/>
          <w:bCs w:val="0"/>
          <w:sz w:val="32"/>
          <w:szCs w:val="32"/>
          <w:lang w:val="en-US" w:eastAsia="zh-CN"/>
        </w:rPr>
        <w:t>铁力曼·沙黑都拉</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2020</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21"/>
          <w:rFonts w:ascii="黑体" w:hAnsi="黑体" w:eastAsia="黑体"/>
          <w:b w:val="0"/>
          <w:spacing w:val="-4"/>
          <w:sz w:val="32"/>
          <w:szCs w:val="32"/>
        </w:rPr>
      </w:pPr>
    </w:p>
    <w:p>
      <w:pPr>
        <w:spacing w:line="540" w:lineRule="exact"/>
        <w:ind w:firstLine="640"/>
        <w:rPr>
          <w:rStyle w:val="21"/>
          <w:rFonts w:ascii="黑体" w:hAnsi="黑体" w:eastAsia="黑体"/>
          <w:b w:val="0"/>
          <w:spacing w:val="-4"/>
          <w:sz w:val="32"/>
          <w:szCs w:val="32"/>
        </w:rPr>
      </w:pPr>
    </w:p>
    <w:p>
      <w:pPr>
        <w:spacing w:line="540" w:lineRule="exact"/>
        <w:rPr>
          <w:rStyle w:val="21"/>
          <w:rFonts w:ascii="黑体" w:hAnsi="黑体" w:eastAsia="黑体"/>
          <w:b w:val="0"/>
          <w:spacing w:val="-4"/>
          <w:sz w:val="32"/>
          <w:szCs w:val="32"/>
        </w:rPr>
      </w:pPr>
    </w:p>
    <w:p>
      <w:pPr>
        <w:rPr>
          <w:rFonts w:hint="eastAsia" w:ascii="黑体" w:hAnsi="黑体" w:eastAsia="黑体" w:cs="黑体"/>
          <w:bCs/>
          <w:sz w:val="32"/>
          <w:szCs w:val="32"/>
        </w:rPr>
      </w:pPr>
      <w:r>
        <w:rPr>
          <w:rFonts w:hint="eastAsia" w:ascii="黑体" w:hAnsi="黑体" w:eastAsia="黑体" w:cs="黑体"/>
          <w:bCs/>
          <w:sz w:val="32"/>
          <w:szCs w:val="32"/>
        </w:rPr>
        <w:br w:type="page"/>
      </w:r>
    </w:p>
    <w:p>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atLeast"/>
        <w:textAlignment w:val="auto"/>
        <w:rPr>
          <w:rStyle w:val="21"/>
          <w:rFonts w:ascii="黑体" w:hAnsi="黑体" w:eastAsia="黑体"/>
          <w:bCs w:val="0"/>
          <w:spacing w:val="-4"/>
          <w:sz w:val="32"/>
          <w:szCs w:val="32"/>
        </w:rPr>
      </w:pPr>
      <w:r>
        <w:rPr>
          <w:rFonts w:hint="eastAsia"/>
          <w:lang w:val="en-US" w:eastAsia="zh-CN"/>
        </w:rPr>
        <w:t xml:space="preserve">    </w:t>
      </w:r>
      <w:r>
        <w:rPr>
          <w:rFonts w:hint="eastAsia" w:ascii="仿宋_GB2312" w:hAnsi="仿宋_GB2312" w:eastAsia="仿宋_GB2312" w:cs="仿宋_GB2312"/>
          <w:kern w:val="0"/>
          <w:sz w:val="32"/>
          <w:szCs w:val="32"/>
          <w:lang w:val="en-US" w:eastAsia="zh-CN"/>
        </w:rPr>
        <w:t xml:space="preserve"> 根据自治区人大、伊犁州人大以及塔城地委的工作安排，围绕着地区人大工委的职能，每年制定当年度的工委工作要点，积极配合自治区、伊犁州人大和地委开展各项调研、执法检查、专项工作指导等。根据《中共塔城地区委员会关于进一步加强人大工作的意见》文件精神，积极解决人大工委工作中遇到的困难，加强资金保障力度，弥补地区人大工委公用经费不足的问题，从而确保人大工委的各项职能开展和每年度工作要点任务的顺利实施。</w:t>
      </w:r>
    </w:p>
    <w:p>
      <w:pPr>
        <w:pageBreakBefore w:val="0"/>
        <w:numPr>
          <w:ilvl w:val="0"/>
          <w:numId w:val="1"/>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主要内容：为确保地区人大工委的各项职能有序开展以及2020年度工作要点顺利实施，在地委、行署的大力支持保障下，2020年度全年共拨付地区人大工作补助经费36.14万元（年初预算34万元，年末追加资金2.14万元），主要用于弥补地区人大工委公用经费不足的问题，包括办公费支出3万元，差旅费支出7.7万元，租赁费支出2.14万元，会议费支出1万元，劳务费支出6.02万元（聘用司机2人、保安1人、保洁1人、公岗1人），公务用车运行维护支出15.48万元，办公设备购置0.8万元。</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w:t>
      </w:r>
      <w:r>
        <w:rPr>
          <w:rFonts w:hint="eastAsia" w:ascii="仿宋_GB2312" w:hAnsi="仿宋_GB2312" w:eastAsia="仿宋_GB2312" w:cs="仿宋_GB2312"/>
          <w:sz w:val="32"/>
          <w:szCs w:val="32"/>
          <w:highlight w:val="none"/>
        </w:rPr>
        <w:t>资</w:t>
      </w:r>
      <w:r>
        <w:rPr>
          <w:rFonts w:hint="eastAsia" w:ascii="仿宋_GB2312" w:hAnsi="仿宋_GB2312" w:eastAsia="仿宋_GB2312" w:cs="仿宋_GB2312"/>
          <w:sz w:val="32"/>
          <w:szCs w:val="32"/>
          <w:highlight w:val="none"/>
          <w:lang w:val="en-US" w:eastAsia="zh-CN"/>
        </w:rPr>
        <w:t>36.14</w:t>
      </w:r>
      <w:r>
        <w:rPr>
          <w:rFonts w:hint="eastAsia" w:ascii="仿宋_GB2312" w:hAnsi="仿宋_GB2312" w:eastAsia="仿宋_GB2312" w:cs="仿宋_GB2312"/>
          <w:sz w:val="32"/>
          <w:szCs w:val="32"/>
          <w:highlight w:val="none"/>
        </w:rPr>
        <w:t>万元，其中：财政本级资金</w:t>
      </w:r>
      <w:r>
        <w:rPr>
          <w:rFonts w:hint="eastAsia" w:ascii="仿宋_GB2312" w:hAnsi="仿宋_GB2312" w:eastAsia="仿宋_GB2312" w:cs="仿宋_GB2312"/>
          <w:sz w:val="32"/>
          <w:szCs w:val="32"/>
          <w:highlight w:val="none"/>
          <w:lang w:val="en-US" w:eastAsia="zh-CN"/>
        </w:rPr>
        <w:t>36.14</w:t>
      </w:r>
      <w:r>
        <w:rPr>
          <w:rFonts w:hint="eastAsia" w:ascii="仿宋_GB2312" w:hAnsi="仿宋_GB2312" w:eastAsia="仿宋_GB2312" w:cs="仿宋_GB2312"/>
          <w:sz w:val="32"/>
          <w:szCs w:val="32"/>
          <w:highlight w:val="none"/>
        </w:rPr>
        <w:t>万元。项目实际支出</w:t>
      </w:r>
      <w:r>
        <w:rPr>
          <w:rFonts w:hint="eastAsia" w:ascii="仿宋_GB2312" w:hAnsi="仿宋_GB2312" w:eastAsia="仿宋_GB2312" w:cs="仿宋_GB2312"/>
          <w:sz w:val="32"/>
          <w:szCs w:val="32"/>
          <w:highlight w:val="none"/>
          <w:lang w:val="en-US" w:eastAsia="zh-CN"/>
        </w:rPr>
        <w:t>36.14</w:t>
      </w:r>
      <w:r>
        <w:rPr>
          <w:rFonts w:hint="eastAsia" w:ascii="仿宋_GB2312" w:hAnsi="仿宋_GB2312" w:eastAsia="仿宋_GB2312" w:cs="仿宋_GB2312"/>
          <w:sz w:val="32"/>
          <w:szCs w:val="32"/>
          <w:highlight w:val="none"/>
        </w:rPr>
        <w:t>万元， 支出率为100%</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w:t>
      </w:r>
      <w:r>
        <w:rPr>
          <w:rFonts w:hint="eastAsia" w:ascii="仿宋_GB2312" w:hAnsi="仿宋_GB2312" w:eastAsia="仿宋_GB2312" w:cs="仿宋_GB2312"/>
          <w:sz w:val="32"/>
          <w:szCs w:val="32"/>
          <w:highlight w:val="none"/>
        </w:rPr>
        <w:t>资</w:t>
      </w:r>
      <w:r>
        <w:rPr>
          <w:rFonts w:hint="eastAsia" w:ascii="仿宋_GB2312" w:hAnsi="仿宋_GB2312" w:eastAsia="仿宋_GB2312" w:cs="仿宋_GB2312"/>
          <w:sz w:val="32"/>
          <w:szCs w:val="32"/>
          <w:highlight w:val="none"/>
          <w:lang w:val="en-US" w:eastAsia="zh-CN"/>
        </w:rPr>
        <w:t>36.14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主要用于弥补地区人大工委公用经费不足的问题，从而确保人大工委的各项职能开展和每年度工作要点任务的顺利实施。根据</w:t>
      </w:r>
      <w:r>
        <w:rPr>
          <w:rFonts w:hint="eastAsia" w:ascii="仿宋_GB2312" w:hAnsi="仿宋_GB2312" w:eastAsia="仿宋_GB2312" w:cs="仿宋_GB2312"/>
          <w:sz w:val="32"/>
          <w:szCs w:val="32"/>
        </w:rPr>
        <w:t>单位财务制度等相关规定，资金支出符合</w:t>
      </w:r>
      <w:r>
        <w:rPr>
          <w:rFonts w:hint="eastAsia" w:ascii="仿宋_GB2312" w:hAnsi="仿宋_GB2312" w:eastAsia="仿宋_GB2312" w:cs="仿宋_GB2312"/>
          <w:sz w:val="32"/>
          <w:szCs w:val="32"/>
          <w:lang w:val="en-US" w:eastAsia="zh-CN"/>
        </w:rPr>
        <w:t>工作经费支出</w:t>
      </w:r>
      <w:r>
        <w:rPr>
          <w:rFonts w:hint="eastAsia" w:ascii="仿宋_GB2312" w:hAnsi="仿宋_GB2312" w:eastAsia="仿宋_GB2312" w:cs="仿宋_GB2312"/>
          <w:sz w:val="32"/>
          <w:szCs w:val="32"/>
          <w:lang w:eastAsia="zh-CN"/>
        </w:rPr>
        <w:t>范</w:t>
      </w:r>
      <w:r>
        <w:rPr>
          <w:rFonts w:hint="eastAsia" w:ascii="仿宋_GB2312" w:hAnsi="仿宋_GB2312" w:eastAsia="仿宋_GB2312" w:cs="仿宋_GB2312"/>
          <w:sz w:val="32"/>
          <w:szCs w:val="32"/>
        </w:rPr>
        <w:t>围，做到了专款专用。在项目资金拨付和使用过程中，为确保项目资金的安全性，提高项目资金使用效率，严格遵循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highlight w:val="none"/>
        </w:rPr>
        <w:t>项目预算资金来源于</w:t>
      </w:r>
      <w:r>
        <w:rPr>
          <w:rFonts w:hint="eastAsia" w:ascii="仿宋_GB2312" w:hAnsi="仿宋_GB2312" w:eastAsia="仿宋_GB2312" w:cs="仿宋_GB2312"/>
          <w:b w:val="0"/>
          <w:bCs w:val="0"/>
          <w:kern w:val="2"/>
          <w:highlight w:val="none"/>
          <w:lang w:val="en-US" w:eastAsia="zh-CN"/>
        </w:rPr>
        <w:t>本级财政配套的补助工作经费</w:t>
      </w:r>
      <w:r>
        <w:rPr>
          <w:rFonts w:hint="eastAsia" w:ascii="仿宋_GB2312" w:hAnsi="仿宋_GB2312" w:eastAsia="仿宋_GB2312" w:cs="仿宋_GB2312"/>
          <w:b w:val="0"/>
          <w:bCs w:val="0"/>
          <w:kern w:val="2"/>
          <w:highlight w:val="none"/>
        </w:rPr>
        <w:t>，项目资金到位</w:t>
      </w:r>
      <w:r>
        <w:rPr>
          <w:rFonts w:hint="eastAsia" w:ascii="仿宋_GB2312" w:hAnsi="仿宋_GB2312" w:eastAsia="仿宋_GB2312" w:cs="仿宋_GB2312"/>
          <w:b w:val="0"/>
          <w:bCs w:val="0"/>
          <w:kern w:val="2"/>
          <w:highlight w:val="none"/>
          <w:lang w:val="en-US" w:eastAsia="zh-CN"/>
        </w:rPr>
        <w:t>36.14</w:t>
      </w:r>
      <w:r>
        <w:rPr>
          <w:rFonts w:hint="eastAsia" w:ascii="仿宋_GB2312" w:hAnsi="仿宋_GB2312" w:eastAsia="仿宋_GB2312" w:cs="仿宋_GB2312"/>
          <w:b w:val="0"/>
          <w:bCs w:val="0"/>
          <w:kern w:val="2"/>
          <w:highlight w:val="none"/>
        </w:rPr>
        <w:t>万元，实际支出36.14万元，用于支付项目实施进程中的各</w:t>
      </w:r>
      <w:r>
        <w:rPr>
          <w:rFonts w:hint="eastAsia" w:ascii="仿宋_GB2312" w:hAnsi="仿宋_GB2312" w:eastAsia="仿宋_GB2312" w:cs="仿宋_GB2312"/>
          <w:b w:val="0"/>
          <w:bCs w:val="0"/>
          <w:kern w:val="2"/>
        </w:rPr>
        <w:t>项费用。</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default" w:ascii="仿宋_GB2312" w:hAnsi="仿宋_GB2312" w:eastAsia="仿宋_GB2312" w:cs="仿宋_GB2312"/>
          <w:b w:val="0"/>
          <w:bCs w:val="0"/>
          <w:kern w:val="2"/>
          <w:highlight w:val="yellow"/>
          <w:lang w:val="en-US" w:eastAsia="zh-CN"/>
        </w:rPr>
      </w:pPr>
      <w:r>
        <w:rPr>
          <w:rFonts w:hint="eastAsia" w:ascii="仿宋_GB2312" w:hAnsi="仿宋_GB2312" w:eastAsia="仿宋_GB2312" w:cs="仿宋_GB2312"/>
          <w:b w:val="0"/>
          <w:bCs w:val="0"/>
          <w:kern w:val="2"/>
          <w:highlight w:val="none"/>
          <w:lang w:val="en-US" w:eastAsia="zh-CN"/>
        </w:rPr>
        <w:t>认真贯彻党中央治疆方略特别是社会稳定和长治久安总目标，积极落实自治区党委、地委、上级人大部署的各项工作任务，紧紧围绕地区中心工作依法履行职权，确保地区人大工委职能的正常履行，2020年度工作要点任务顺利实施，为建设和谐生态宜居塔城做出新的贡献。</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lang w:eastAsia="zh-CN"/>
        </w:rPr>
        <w:t>地区人大工作职能和工作要点任务安排</w:t>
      </w:r>
      <w:r>
        <w:rPr>
          <w:rFonts w:hint="eastAsia" w:ascii="仿宋_GB2312" w:hAnsi="仿宋_GB2312" w:eastAsia="仿宋_GB2312" w:cs="仿宋_GB2312"/>
          <w:sz w:val="32"/>
          <w:szCs w:val="32"/>
        </w:rPr>
        <w:t>，通过制定项目实施方案，经项目负责人审核通过后，有序开展后续工程。</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eastAsia="zh-CN"/>
        </w:rPr>
        <w:t>工委工作要点任务，及时有序</w:t>
      </w:r>
      <w:r>
        <w:rPr>
          <w:rFonts w:hint="eastAsia" w:ascii="仿宋_GB2312" w:hAnsi="仿宋_GB2312" w:eastAsia="仿宋_GB2312" w:cs="仿宋_GB2312"/>
          <w:sz w:val="32"/>
          <w:szCs w:val="32"/>
        </w:rPr>
        <w:t>部署安排，提高项目质量及效率性。</w:t>
      </w:r>
    </w:p>
    <w:p>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Style w:val="2"/>
        <w:pageBreakBefore w:val="0"/>
        <w:kinsoku/>
        <w:wordWrap/>
        <w:overflowPunct/>
        <w:topLinePunct w:val="0"/>
        <w:autoSpaceDE/>
        <w:autoSpaceDN/>
        <w:bidi w:val="0"/>
        <w:adjustRightInd/>
        <w:snapToGrid/>
        <w:spacing w:before="0" w:after="0" w:line="560" w:lineRule="atLeast"/>
        <w:textAlignment w:val="auto"/>
        <w:rPr>
          <w:rFonts w:hint="eastAsia" w:ascii="仿宋_GB2312" w:hAnsi="仿宋_GB2312" w:eastAsia="仿宋_GB2312" w:cs="仿宋_GB2312"/>
          <w:b w:val="0"/>
          <w:bCs w:val="0"/>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通过实施绩效评价，以遵循“科学公正、统筹兼顾、激励约束、公开透明”为原则，依照“统一标准、优化流程、结果导向、形成特色”的评价思路，充分调动花钱和办事紧密结合的积极性主动性，促使拿出更多时间和精力加强政策规划和精准编制预算，对政策实施结果跟踪问效，推动优化财政资源配置、依据既定的评价体系，基于预期目标实现程度，全面分析和综合评价地区人大工委补助工作经费项目资金的分配使用和产出效果情况，及时总结经验、发现问题、分析原因、提出措施，提高资金使用效益，努力实现少花钱、多办事、办好事。</w:t>
      </w:r>
    </w:p>
    <w:p>
      <w:pPr>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2、绩效评价的对象</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 w:hAnsi="仿宋" w:eastAsia="仿宋" w:cs="仿宋"/>
          <w:b w:val="0"/>
          <w:bCs w:val="0"/>
          <w:sz w:val="32"/>
          <w:szCs w:val="32"/>
          <w:lang w:eastAsia="zh-CN"/>
        </w:rPr>
        <w:t>绩效评价对象</w:t>
      </w:r>
      <w:r>
        <w:rPr>
          <w:rFonts w:hint="eastAsia" w:ascii="仿宋" w:hAnsi="仿宋" w:eastAsia="仿宋" w:cs="仿宋"/>
          <w:b w:val="0"/>
          <w:bCs w:val="0"/>
          <w:sz w:val="32"/>
          <w:szCs w:val="32"/>
          <w:lang w:val="en-US" w:eastAsia="zh-CN"/>
        </w:rPr>
        <w:t>为</w:t>
      </w:r>
      <w:r>
        <w:rPr>
          <w:rFonts w:hint="eastAsia" w:ascii="仿宋" w:hAnsi="仿宋" w:eastAsia="仿宋" w:cs="仿宋"/>
          <w:b w:val="0"/>
          <w:bCs w:val="0"/>
          <w:sz w:val="32"/>
          <w:szCs w:val="32"/>
          <w:lang w:eastAsia="zh-CN"/>
        </w:rPr>
        <w:t>塔城地区人大工委补助工作经费项目</w:t>
      </w:r>
      <w:r>
        <w:rPr>
          <w:rFonts w:hint="eastAsia" w:ascii="仿宋_GB2312" w:hAnsi="仿宋_GB2312" w:eastAsia="仿宋_GB2312" w:cs="仿宋_GB2312"/>
          <w:sz w:val="32"/>
          <w:szCs w:val="32"/>
        </w:rPr>
        <w:t>。</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3、绩效评价的范围</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从</w:t>
      </w:r>
      <w:r>
        <w:rPr>
          <w:rFonts w:hint="eastAsia" w:ascii="仿宋" w:hAnsi="仿宋" w:eastAsia="仿宋" w:cs="仿宋"/>
          <w:b w:val="0"/>
          <w:bCs w:val="0"/>
          <w:sz w:val="32"/>
          <w:szCs w:val="32"/>
          <w:lang w:eastAsia="zh-CN"/>
        </w:rPr>
        <w:t>塔城地区人大工委补助工作经费项目</w:t>
      </w:r>
      <w:r>
        <w:rPr>
          <w:rFonts w:hint="eastAsia" w:ascii="仿宋_GB2312" w:hAnsi="仿宋_GB2312" w:eastAsia="仿宋_GB2312" w:cs="仿宋_GB2312"/>
          <w:sz w:val="32"/>
          <w:szCs w:val="32"/>
        </w:rPr>
        <w:t>的决策、过程、产出、效益等方面进行评价。</w:t>
      </w:r>
    </w:p>
    <w:p>
      <w:pPr>
        <w:pageBreakBefore w:val="0"/>
        <w:kinsoku/>
        <w:wordWrap/>
        <w:overflowPunct/>
        <w:topLinePunct w:val="0"/>
        <w:autoSpaceDE/>
        <w:autoSpaceDN/>
        <w:bidi w:val="0"/>
        <w:adjustRightInd/>
        <w:snapToGrid/>
        <w:spacing w:line="560" w:lineRule="atLeas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本次项目绩效评价以遵循“科学公正、统筹兼顾、激励约束、公开透明”为原则；</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（1）科学公正。绩效评价应当运用科学合理的方法，按照规范的程序，对项目绩效进行客观、公正的反映。</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（2）统筹兼顾。单位自评、部门评价和财政评价应职责明确，各有侧重，相互衔接。</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确定各个指标相对于项目总体绩效的权重分值。在绩效评价</w:t>
      </w:r>
      <w:r>
        <w:rPr>
          <w:rFonts w:hint="eastAsia" w:ascii="仿宋_GB2312" w:hAnsi="仿宋_GB2312" w:eastAsia="仿宋_GB2312" w:cs="仿宋_GB2312"/>
          <w:color w:val="000000"/>
          <w:spacing w:val="17"/>
          <w:sz w:val="32"/>
          <w:szCs w:val="32"/>
          <w:highlight w:val="none"/>
        </w:rPr>
        <w:t>指标体系中，项目决策权重占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，项目过程权重占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w:t>
      </w:r>
      <w:r>
        <w:rPr>
          <w:rFonts w:hint="eastAsia" w:ascii="仿宋_GB2312" w:hAnsi="仿宋_GB2312" w:eastAsia="仿宋_GB2312" w:cs="仿宋_GB2312"/>
          <w:color w:val="000000"/>
          <w:spacing w:val="17"/>
          <w:sz w:val="32"/>
          <w:szCs w:val="32"/>
          <w:highlight w:val="none"/>
        </w:rPr>
        <w:t>，项目效益权重值占</w:t>
      </w:r>
      <w:r>
        <w:rPr>
          <w:rFonts w:hint="eastAsia" w:ascii="仿宋_GB2312" w:hAnsi="仿宋_GB2312" w:eastAsia="仿宋_GB2312" w:cs="仿宋_GB2312"/>
          <w:color w:val="000000"/>
          <w:spacing w:val="17"/>
          <w:sz w:val="32"/>
          <w:szCs w:val="32"/>
          <w:highlight w:val="none"/>
          <w:lang w:val="en-US" w:eastAsia="zh-CN"/>
        </w:rPr>
        <w:t>40%</w:t>
      </w:r>
      <w:r>
        <w:rPr>
          <w:rFonts w:hint="eastAsia" w:ascii="仿宋_GB2312" w:hAnsi="仿宋_GB2312" w:eastAsia="仿宋_GB2312" w:cs="仿宋_GB2312"/>
          <w:color w:val="000000"/>
          <w:spacing w:val="17"/>
          <w:sz w:val="32"/>
          <w:szCs w:val="32"/>
          <w:highlight w:val="none"/>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highlight w:val="none"/>
        </w:rPr>
        <w:t>（3）确定指</w:t>
      </w:r>
      <w:r>
        <w:rPr>
          <w:rFonts w:hint="eastAsia" w:ascii="仿宋_GB2312" w:hAnsi="仿宋_GB2312" w:eastAsia="仿宋_GB2312" w:cs="仿宋_GB2312"/>
          <w:color w:val="000000"/>
          <w:spacing w:val="17"/>
          <w:sz w:val="32"/>
          <w:szCs w:val="32"/>
        </w:rPr>
        <w:t>标标准值</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atLeast"/>
        <w:ind w:firstLine="708" w:firstLineChars="200"/>
        <w:jc w:val="both"/>
        <w:textAlignment w:val="auto"/>
        <w:outlineLvl w:val="9"/>
        <w:rPr>
          <w:rFonts w:hint="eastAsia" w:ascii="仿宋_GB2312" w:hAnsi="仿宋_GB2312" w:eastAsia="仿宋_GB2312" w:cs="仿宋_GB2312"/>
          <w:b/>
          <w:bCs/>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pageBreakBefore w:val="0"/>
        <w:kinsoku/>
        <w:wordWrap/>
        <w:overflowPunct/>
        <w:topLinePunct w:val="0"/>
        <w:autoSpaceDE/>
        <w:autoSpaceDN/>
        <w:bidi w:val="0"/>
        <w:adjustRightInd/>
        <w:snapToGrid/>
        <w:spacing w:line="560" w:lineRule="atLeast"/>
        <w:ind w:firstLine="641"/>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val="en-US" w:eastAsia="zh-CN"/>
        </w:rPr>
        <w:t>地区人大工作补助经费</w:t>
      </w:r>
      <w:r>
        <w:rPr>
          <w:rFonts w:hint="eastAsia" w:ascii="仿宋_GB2312" w:hAnsi="仿宋_GB2312" w:eastAsia="仿宋_GB2312" w:cs="仿宋_GB2312"/>
          <w:b w:val="0"/>
          <w:bCs w:val="0"/>
          <w:highlight w:val="none"/>
        </w:rPr>
        <w:t>项目进行客观评价，最终评分结果：总得分为</w:t>
      </w:r>
      <w:r>
        <w:rPr>
          <w:rFonts w:hint="eastAsia" w:ascii="仿宋_GB2312" w:hAnsi="仿宋_GB2312" w:eastAsia="仿宋_GB2312" w:cs="仿宋_GB2312"/>
          <w:b w:val="0"/>
          <w:bCs w:val="0"/>
          <w:highlight w:val="none"/>
          <w:lang w:val="en-US" w:eastAsia="zh-CN"/>
        </w:rPr>
        <w:t>97</w:t>
      </w:r>
      <w:r>
        <w:rPr>
          <w:rFonts w:hint="eastAsia" w:ascii="仿宋_GB2312" w:hAnsi="仿宋_GB2312" w:eastAsia="仿宋_GB2312" w:cs="仿宋_GB2312"/>
          <w:b w:val="0"/>
          <w:bCs w:val="0"/>
          <w:highlight w:val="none"/>
        </w:rPr>
        <w:t>分，属于“优”。其中，项目决策类指标权重为</w:t>
      </w:r>
      <w:r>
        <w:rPr>
          <w:rFonts w:hint="eastAsia" w:ascii="仿宋_GB2312" w:hAnsi="仿宋_GB2312" w:eastAsia="仿宋_GB2312" w:cs="仿宋_GB2312"/>
          <w:b w:val="0"/>
          <w:bCs w:val="0"/>
          <w:highlight w:val="none"/>
          <w:lang w:val="en-US" w:eastAsia="zh-CN"/>
        </w:rPr>
        <w:t>5</w:t>
      </w:r>
      <w:r>
        <w:rPr>
          <w:rFonts w:hint="eastAsia" w:ascii="仿宋_GB2312" w:hAnsi="仿宋_GB2312" w:eastAsia="仿宋_GB2312" w:cs="仿宋_GB2312"/>
          <w:b w:val="0"/>
          <w:bCs w:val="0"/>
          <w:highlight w:val="none"/>
        </w:rPr>
        <w:t xml:space="preserve">分，得分为 </w:t>
      </w:r>
      <w:r>
        <w:rPr>
          <w:rFonts w:hint="eastAsia" w:ascii="仿宋_GB2312" w:hAnsi="仿宋_GB2312" w:eastAsia="仿宋_GB2312" w:cs="仿宋_GB2312"/>
          <w:b w:val="0"/>
          <w:bCs w:val="0"/>
          <w:highlight w:val="none"/>
          <w:lang w:val="en-US" w:eastAsia="zh-CN"/>
        </w:rPr>
        <w:t>5</w:t>
      </w:r>
      <w:r>
        <w:rPr>
          <w:rFonts w:hint="eastAsia" w:ascii="仿宋_GB2312" w:hAnsi="仿宋_GB2312" w:eastAsia="仿宋_GB2312" w:cs="仿宋_GB2312"/>
          <w:b w:val="0"/>
          <w:bCs w:val="0"/>
          <w:highlight w:val="none"/>
        </w:rPr>
        <w:t>分，得分率为</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%。项目过程类指标权重为</w:t>
      </w:r>
      <w:r>
        <w:rPr>
          <w:rFonts w:hint="eastAsia" w:ascii="仿宋_GB2312" w:hAnsi="仿宋_GB2312" w:eastAsia="仿宋_GB2312" w:cs="仿宋_GB2312"/>
          <w:b w:val="0"/>
          <w:bCs w:val="0"/>
          <w:highlight w:val="none"/>
          <w:lang w:val="en-US" w:eastAsia="zh-CN"/>
        </w:rPr>
        <w:t>5</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5</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%。项目产出类指标权重为</w:t>
      </w:r>
      <w:r>
        <w:rPr>
          <w:rFonts w:hint="eastAsia" w:ascii="仿宋_GB2312" w:hAnsi="仿宋_GB2312" w:eastAsia="仿宋_GB2312" w:cs="仿宋_GB2312"/>
          <w:b w:val="0"/>
          <w:bCs w:val="0"/>
          <w:highlight w:val="none"/>
          <w:lang w:val="en-US" w:eastAsia="zh-CN"/>
        </w:rPr>
        <w:t>50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50</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%。项目效益类指标权重为</w:t>
      </w:r>
      <w:r>
        <w:rPr>
          <w:rFonts w:hint="eastAsia" w:ascii="仿宋_GB2312" w:hAnsi="仿宋_GB2312" w:eastAsia="仿宋_GB2312" w:cs="仿宋_GB2312"/>
          <w:b w:val="0"/>
          <w:bCs w:val="0"/>
          <w:highlight w:val="none"/>
          <w:lang w:val="en-US" w:eastAsia="zh-CN"/>
        </w:rPr>
        <w:t>40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37</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92.50</w:t>
      </w:r>
      <w:r>
        <w:rPr>
          <w:rFonts w:hint="eastAsia" w:ascii="仿宋_GB2312" w:hAnsi="仿宋_GB2312" w:eastAsia="仿宋_GB2312" w:cs="仿宋_GB2312"/>
          <w:b w:val="0"/>
          <w:bCs w:val="0"/>
          <w:highlight w:val="none"/>
        </w:rPr>
        <w:t>%。</w:t>
      </w:r>
    </w:p>
    <w:p>
      <w:pPr>
        <w:pStyle w:val="2"/>
        <w:pageBreakBefore w:val="0"/>
        <w:kinsoku/>
        <w:wordWrap/>
        <w:overflowPunct/>
        <w:topLinePunct w:val="0"/>
        <w:autoSpaceDE/>
        <w:autoSpaceDN/>
        <w:bidi w:val="0"/>
        <w:adjustRightInd/>
        <w:snapToGrid/>
        <w:spacing w:before="0" w:after="0" w:line="560" w:lineRule="atLeas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atLeast"/>
        <w:textAlignment w:val="auto"/>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5"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1"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7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3"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27</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r>
    </w:tbl>
    <w:p>
      <w:pPr>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w:t>
      </w:r>
      <w:r>
        <w:rPr>
          <w:rFonts w:hint="default" w:ascii="仿宋_GB2312" w:hAnsi="仿宋_GB2312" w:eastAsia="仿宋_GB2312" w:cs="仿宋_GB2312"/>
          <w:color w:val="000000"/>
          <w:spacing w:val="17"/>
          <w:sz w:val="32"/>
          <w:szCs w:val="32"/>
          <w:lang w:val="en-US" w:eastAsia="zh-CN"/>
        </w:rPr>
        <w:t>“项目立项”，地区人大工委根据年初设定的2020年度工作要点，逐一梳理，合理安排资金的分配，做到保障工委机关各项职能正常履行，各项工作开展成效显著。根据评分标准，</w:t>
      </w:r>
      <w:r>
        <w:rPr>
          <w:rFonts w:hint="eastAsia" w:ascii="仿宋_GB2312" w:hAnsi="仿宋_GB2312" w:eastAsia="仿宋_GB2312" w:cs="仿宋_GB2312"/>
          <w:color w:val="000000"/>
          <w:spacing w:val="17"/>
          <w:sz w:val="32"/>
          <w:szCs w:val="32"/>
          <w:lang w:val="en-US" w:eastAsia="zh-CN"/>
        </w:rPr>
        <w:t>立项依据充分性得分0.5分、立项程序规范性得分0.5分，</w:t>
      </w:r>
      <w:r>
        <w:rPr>
          <w:rFonts w:hint="default" w:ascii="仿宋_GB2312" w:hAnsi="仿宋_GB2312" w:eastAsia="仿宋_GB2312" w:cs="仿宋_GB2312"/>
          <w:color w:val="000000"/>
          <w:spacing w:val="17"/>
          <w:sz w:val="32"/>
          <w:szCs w:val="32"/>
          <w:lang w:val="en-US" w:eastAsia="zh-CN"/>
        </w:rPr>
        <w:t>“项目立项”实际得分</w:t>
      </w:r>
      <w:r>
        <w:rPr>
          <w:rFonts w:hint="eastAsia" w:ascii="仿宋_GB2312" w:hAnsi="仿宋_GB2312" w:eastAsia="仿宋_GB2312" w:cs="仿宋_GB2312"/>
          <w:color w:val="000000"/>
          <w:spacing w:val="17"/>
          <w:sz w:val="32"/>
          <w:szCs w:val="32"/>
          <w:lang w:val="en-US" w:eastAsia="zh-CN"/>
        </w:rPr>
        <w:t>1</w:t>
      </w:r>
      <w:r>
        <w:rPr>
          <w:rFonts w:hint="default" w:ascii="仿宋_GB2312" w:hAnsi="仿宋_GB2312" w:eastAsia="仿宋_GB2312" w:cs="仿宋_GB2312"/>
          <w:color w:val="000000"/>
          <w:spacing w:val="17"/>
          <w:sz w:val="32"/>
          <w:szCs w:val="32"/>
          <w:lang w:val="en-US" w:eastAsia="zh-CN"/>
        </w:rPr>
        <w:t>分。</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w:t>
      </w:r>
      <w:r>
        <w:rPr>
          <w:rFonts w:hint="default" w:ascii="仿宋_GB2312" w:hAnsi="仿宋_GB2312" w:eastAsia="仿宋_GB2312" w:cs="仿宋_GB2312"/>
          <w:color w:val="000000"/>
          <w:spacing w:val="17"/>
          <w:sz w:val="32"/>
          <w:szCs w:val="32"/>
          <w:lang w:val="en-US" w:eastAsia="zh-CN"/>
        </w:rPr>
        <w:t>“绩效目标”，塔城地区人大结合2020年工作要点安排，设置了较为详细的项目支出绩效目标，项目绩效目标的设置，基本满足合理性和明确性的要求。根据评分标准，绩效目标合理性</w:t>
      </w:r>
      <w:r>
        <w:rPr>
          <w:rFonts w:hint="eastAsia" w:ascii="仿宋_GB2312" w:hAnsi="仿宋_GB2312" w:eastAsia="仿宋_GB2312" w:cs="仿宋_GB2312"/>
          <w:color w:val="000000"/>
          <w:spacing w:val="17"/>
          <w:sz w:val="32"/>
          <w:szCs w:val="32"/>
          <w:lang w:val="en-US" w:eastAsia="zh-CN"/>
        </w:rPr>
        <w:t>得分1分，绩效指标明确性得分1分，</w:t>
      </w:r>
      <w:r>
        <w:rPr>
          <w:rFonts w:hint="default" w:ascii="仿宋_GB2312" w:hAnsi="仿宋_GB2312" w:eastAsia="仿宋_GB2312" w:cs="仿宋_GB2312"/>
          <w:color w:val="000000"/>
          <w:spacing w:val="17"/>
          <w:sz w:val="32"/>
          <w:szCs w:val="32"/>
          <w:lang w:val="en-US" w:eastAsia="zh-CN"/>
        </w:rPr>
        <w:t>“绩效目标”实际得分</w:t>
      </w:r>
      <w:r>
        <w:rPr>
          <w:rFonts w:hint="eastAsia" w:ascii="仿宋_GB2312" w:hAnsi="仿宋_GB2312" w:eastAsia="仿宋_GB2312" w:cs="仿宋_GB2312"/>
          <w:color w:val="000000"/>
          <w:spacing w:val="17"/>
          <w:sz w:val="32"/>
          <w:szCs w:val="32"/>
          <w:lang w:val="en-US" w:eastAsia="zh-CN"/>
        </w:rPr>
        <w:t>2</w:t>
      </w:r>
      <w:r>
        <w:rPr>
          <w:rFonts w:hint="default" w:ascii="仿宋_GB2312" w:hAnsi="仿宋_GB2312" w:eastAsia="仿宋_GB2312" w:cs="仿宋_GB2312"/>
          <w:color w:val="000000"/>
          <w:spacing w:val="17"/>
          <w:sz w:val="32"/>
          <w:szCs w:val="32"/>
          <w:lang w:val="en-US" w:eastAsia="zh-CN"/>
        </w:rPr>
        <w:t>分。</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对于“资金投入”，地区人大工委补助工作经费共计投入资金36.14万元，有效的保障工委机关各项职能正常履行，各项会议安排有条不紊，各项调研工作、执法检查工作充分保障，各类代表、人大干部培训积极开展，确保工作要点任务完成率100%。根据评分标准，预算编制科学性</w:t>
      </w:r>
      <w:r>
        <w:rPr>
          <w:rFonts w:hint="eastAsia" w:ascii="仿宋_GB2312" w:hAnsi="仿宋_GB2312" w:eastAsia="仿宋_GB2312" w:cs="仿宋_GB2312"/>
          <w:color w:val="000000"/>
          <w:spacing w:val="17"/>
          <w:sz w:val="32"/>
          <w:szCs w:val="32"/>
          <w:lang w:val="en-US" w:eastAsia="zh-CN"/>
        </w:rPr>
        <w:t>得分1分、资金分配合理性得分1分，</w:t>
      </w:r>
      <w:r>
        <w:rPr>
          <w:rFonts w:hint="default" w:ascii="仿宋_GB2312" w:hAnsi="仿宋_GB2312" w:eastAsia="仿宋_GB2312" w:cs="仿宋_GB2312"/>
          <w:color w:val="000000"/>
          <w:spacing w:val="17"/>
          <w:sz w:val="32"/>
          <w:szCs w:val="32"/>
          <w:lang w:val="en-US" w:eastAsia="zh-CN"/>
        </w:rPr>
        <w:t>“资金投入”实际得分</w:t>
      </w:r>
      <w:r>
        <w:rPr>
          <w:rFonts w:hint="eastAsia" w:ascii="仿宋_GB2312" w:hAnsi="仿宋_GB2312" w:eastAsia="仿宋_GB2312" w:cs="仿宋_GB2312"/>
          <w:color w:val="000000"/>
          <w:spacing w:val="17"/>
          <w:sz w:val="32"/>
          <w:szCs w:val="32"/>
          <w:lang w:val="en-US" w:eastAsia="zh-CN"/>
        </w:rPr>
        <w:t>2</w:t>
      </w:r>
      <w:r>
        <w:rPr>
          <w:rFonts w:hint="default" w:ascii="仿宋_GB2312" w:hAnsi="仿宋_GB2312" w:eastAsia="仿宋_GB2312" w:cs="仿宋_GB2312"/>
          <w:color w:val="000000"/>
          <w:spacing w:val="17"/>
          <w:sz w:val="32"/>
          <w:szCs w:val="32"/>
          <w:lang w:val="en-US" w:eastAsia="zh-CN"/>
        </w:rPr>
        <w:t>分。</w:t>
      </w:r>
    </w:p>
    <w:p>
      <w:pPr>
        <w:pStyle w:val="2"/>
        <w:pageBreakBefore w:val="0"/>
        <w:numPr>
          <w:ilvl w:val="0"/>
          <w:numId w:val="4"/>
        </w:numPr>
        <w:kinsoku/>
        <w:wordWrap/>
        <w:overflowPunct/>
        <w:topLinePunct w:val="0"/>
        <w:autoSpaceDE/>
        <w:autoSpaceDN/>
        <w:bidi w:val="0"/>
        <w:adjustRightInd/>
        <w:snapToGrid/>
        <w:spacing w:before="0" w:after="0" w:line="560" w:lineRule="atLeast"/>
        <w:ind w:firstLine="321" w:firstLineChars="100"/>
        <w:jc w:val="both"/>
        <w:textAlignment w:val="auto"/>
      </w:pP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对于“资金管理”，项目资金到位及时，到位率为100%，项目资金全年执行情况良好，执行率100%，支出范围合规，资金支出能按财务制度执行，并能按国库集中支付制度规定执行，不存在资金违纪违规使用情况。</w:t>
      </w:r>
      <w:r>
        <w:rPr>
          <w:rFonts w:hint="default" w:ascii="仿宋_GB2312" w:hAnsi="仿宋_GB2312" w:eastAsia="仿宋_GB2312" w:cs="仿宋_GB2312"/>
          <w:color w:val="000000"/>
          <w:spacing w:val="17"/>
          <w:sz w:val="32"/>
          <w:szCs w:val="32"/>
          <w:lang w:val="en-US" w:eastAsia="zh-CN"/>
        </w:rPr>
        <w:t>根据评分标准，资金到位率</w:t>
      </w:r>
      <w:r>
        <w:rPr>
          <w:rFonts w:hint="eastAsia" w:ascii="仿宋_GB2312" w:hAnsi="仿宋_GB2312" w:eastAsia="仿宋_GB2312" w:cs="仿宋_GB2312"/>
          <w:color w:val="000000"/>
          <w:spacing w:val="17"/>
          <w:sz w:val="32"/>
          <w:szCs w:val="32"/>
          <w:lang w:val="en-US" w:eastAsia="zh-CN"/>
        </w:rPr>
        <w:t>得分1分，预算执行率得分1分，资金使用合规性得分1分，“资金管理”实际得分3分。</w:t>
      </w:r>
    </w:p>
    <w:p>
      <w:pPr>
        <w:pageBreakBefore w:val="0"/>
        <w:kinsoku/>
        <w:wordWrap/>
        <w:overflowPunct/>
        <w:topLinePunct w:val="0"/>
        <w:autoSpaceDE/>
        <w:autoSpaceDN/>
        <w:bidi w:val="0"/>
        <w:adjustRightInd/>
        <w:snapToGrid/>
        <w:spacing w:line="560" w:lineRule="atLeast"/>
        <w:ind w:firstLine="641"/>
        <w:textAlignment w:val="auto"/>
        <w:rPr>
          <w:rFonts w:hint="default"/>
          <w:lang w:val="en-US" w:eastAsia="zh-CN"/>
        </w:rPr>
      </w:pPr>
      <w:r>
        <w:rPr>
          <w:rFonts w:hint="eastAsia" w:ascii="仿宋_GB2312" w:hAnsi="仿宋_GB2312" w:eastAsia="仿宋_GB2312" w:cs="仿宋_GB2312"/>
          <w:color w:val="000000"/>
          <w:spacing w:val="17"/>
          <w:sz w:val="32"/>
          <w:szCs w:val="32"/>
          <w:lang w:val="en-US" w:eastAsia="zh-CN"/>
        </w:rPr>
        <w:t>对于“组织实施”，地区人大工委机构健全，分工明确，制定有较为全面的财务管理制度，各项财务制度均能有效执行，管理制度健全性得分1分，制度执行有效性得分1分，“组织实施”实际得分2分。</w:t>
      </w:r>
    </w:p>
    <w:p>
      <w:pPr>
        <w:pageBreakBefore w:val="0"/>
        <w:kinsoku/>
        <w:wordWrap/>
        <w:overflowPunct/>
        <w:topLinePunct w:val="0"/>
        <w:autoSpaceDE/>
        <w:autoSpaceDN/>
        <w:bidi w:val="0"/>
        <w:adjustRightInd/>
        <w:snapToGrid/>
        <w:spacing w:line="560" w:lineRule="atLeast"/>
        <w:ind w:firstLine="64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lang w:eastAsia="zh-CN"/>
        </w:rPr>
        <w:t>（三）</w:t>
      </w:r>
      <w:r>
        <w:rPr>
          <w:rFonts w:hint="eastAsia" w:ascii="楷体_GB2312" w:hAnsi="楷体_GB2312" w:eastAsia="楷体_GB2312" w:cs="楷体_GB2312"/>
          <w:b/>
          <w:bCs/>
          <w:sz w:val="32"/>
          <w:szCs w:val="32"/>
          <w:highlight w:val="none"/>
        </w:rPr>
        <w:t>项目产出</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产出数量”，年度指标包括：召开工委会议，预期指标值4次，指标完成值4次，指标完成率100%；召开县市人大常委会联席会议，预期指标值1次，指标完成值1次，指标完成率100%；开展专项工作调研，预期指标值6次，指标完成值6次，指标完成率100%；展专项工作执法检查，预期指标值3次，指标完成值3次，指标完成率100%；组织全国和自治区人大代表集中视察，预期指标值1次，指标完成值1次，指标完成率100%；组织人大代表和人大干部开展培训，预期指标值1次，指标完成值1次，指标完成率100%。根据评分标准，“产出数量”指标实际得分15分。</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对于“产出质量”，年度指标包括：撰写调研报告，预期指标值6篇，指标完成值6篇，指标完成率100%；</w:t>
      </w:r>
    </w:p>
    <w:p>
      <w:pPr>
        <w:pageBreakBefore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工委委员到会率，预期指标值到会率大于等于70%，指标完成值到会率80%，指标完成率100%。根据评分标准，“产出质量”指标实际得分10分。</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对于“产出时效”，年度指标包括：会议召开及时率，预期指标值100%，指标完成值100%，指标完成率100%。根据评分标准，“产出时效”指标实际得分15分。</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成本情况”，年度指标包括：公务越野车百公里油耗，预期指标值公务越野车百公里油耗小于等于24L，指标完成值公务越野车百公里油耗23L，指标完成率100%。根据评分标准，“成本情况”指标实际得分10分。</w:t>
      </w:r>
    </w:p>
    <w:p>
      <w:pPr>
        <w:pStyle w:val="18"/>
        <w:pageBreakBefore w:val="0"/>
        <w:numPr>
          <w:ilvl w:val="0"/>
          <w:numId w:val="0"/>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z w:val="32"/>
          <w:szCs w:val="32"/>
          <w:highlight w:val="none"/>
        </w:rPr>
      </w:pPr>
      <w:r>
        <w:rPr>
          <w:rFonts w:hint="eastAsia" w:ascii="楷体_GB2312" w:hAnsi="楷体_GB2312" w:eastAsia="楷体_GB2312" w:cs="楷体_GB2312"/>
          <w:b/>
          <w:bCs/>
          <w:sz w:val="32"/>
          <w:szCs w:val="32"/>
          <w:highlight w:val="none"/>
          <w:lang w:eastAsia="zh-CN"/>
        </w:rPr>
        <w:t>（四）</w:t>
      </w:r>
      <w:r>
        <w:rPr>
          <w:rFonts w:hint="eastAsia" w:ascii="楷体_GB2312" w:hAnsi="楷体_GB2312" w:eastAsia="楷体_GB2312" w:cs="楷体_GB2312"/>
          <w:b/>
          <w:bCs/>
          <w:sz w:val="32"/>
          <w:szCs w:val="32"/>
          <w:highlight w:val="none"/>
        </w:rPr>
        <w:t>效益情况</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对于“经济效益”，年度指标包括：开展相关产业调研促进生产发展，预期指标值效果明显，指标完成值效果较明显，指标完成率90%。根据评分标准，该指标实际得分9分。</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社会效益”，年度指标包括：法律贯彻落实，预期指标值效果明显，指标完成值效果较明显，指标完成率90%；政府政策的科学性，预期指标值有所提升，指标完成值有较大提升，指标完成率90%。根据评分标准，“社会效益”指标实际得分9分。</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对于“生态效益”，年度指标包括：审议政府环境保护工作，推动环保工作开展，预期指标值效果明显，指标完成值效果较明显，指标完成率90%。根据评分标准，“生态效益”指标实际得分9分。</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对于“服务对象满意度”，年度指标包括：机关干部工作满意度，预期指标值大于等于90%，指标完成值100%，指标完成率100%。根据评分标准，“服务对象满意度”指标实际得分10分。</w:t>
      </w:r>
    </w:p>
    <w:p>
      <w:pPr>
        <w:pageBreakBefore w:val="0"/>
        <w:kinsoku/>
        <w:wordWrap/>
        <w:overflowPunct/>
        <w:topLinePunct w:val="0"/>
        <w:autoSpaceDE/>
        <w:autoSpaceDN/>
        <w:bidi w:val="0"/>
        <w:adjustRightInd/>
        <w:snapToGrid/>
        <w:spacing w:line="560" w:lineRule="atLeast"/>
        <w:ind w:firstLine="641"/>
        <w:textAlignment w:val="auto"/>
        <w:rPr>
          <w:rStyle w:val="50"/>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围绕地区人大2020年度工作要点，认真组织开展各项会议、调研、执法检查、代表培训等工作，严格执行财务制度，加强项目资金管理，做到专款专用，及时拨付到位，有力的保障了地区人大工委各项工作的有序开展。</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numPr>
          <w:ilvl w:val="0"/>
          <w:numId w:val="6"/>
        </w:numPr>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存在的问题</w:t>
      </w:r>
    </w:p>
    <w:p>
      <w:pPr>
        <w:pageBreakBefore w:val="0"/>
        <w:numPr>
          <w:ilvl w:val="0"/>
          <w:numId w:val="0"/>
        </w:numPr>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color w:val="000000"/>
          <w:spacing w:val="17"/>
          <w:sz w:val="32"/>
          <w:szCs w:val="32"/>
          <w:lang w:val="en-US" w:eastAsia="zh-CN"/>
        </w:rPr>
      </w:pPr>
      <w:r>
        <w:rPr>
          <w:rFonts w:hint="eastAsia"/>
          <w:lang w:val="en-US" w:eastAsia="zh-CN"/>
        </w:rPr>
        <w:t xml:space="preserve">     </w:t>
      </w:r>
      <w:r>
        <w:rPr>
          <w:rFonts w:hint="eastAsia" w:ascii="仿宋_GB2312" w:hAnsi="仿宋_GB2312" w:eastAsia="仿宋_GB2312" w:cs="仿宋_GB2312"/>
          <w:color w:val="000000"/>
          <w:spacing w:val="17"/>
          <w:sz w:val="32"/>
          <w:szCs w:val="32"/>
          <w:lang w:val="en-US" w:eastAsia="zh-CN"/>
        </w:rPr>
        <w:t xml:space="preserve"> 地区人大项目中，以各种补助工作经费为主，主要用于弥补公用经费不足，保障机关运转和人大工委职能有序开展。工作经费的使用范围大、资金支出琐碎，过细或者过于笼统的目标设定都不能有效的体现出绩效的监控效果。绩效目标在设置过程中，应当围绕着每个年度工委工作要点任务，尽可能的以量化指标为主。</w:t>
      </w:r>
    </w:p>
    <w:p>
      <w:pPr>
        <w:pageBreakBefore w:val="0"/>
        <w:numPr>
          <w:ilvl w:val="0"/>
          <w:numId w:val="6"/>
        </w:numPr>
        <w:kinsoku/>
        <w:wordWrap/>
        <w:overflowPunct/>
        <w:topLinePunct w:val="0"/>
        <w:autoSpaceDE/>
        <w:autoSpaceDN/>
        <w:bidi w:val="0"/>
        <w:adjustRightInd/>
        <w:snapToGrid/>
        <w:spacing w:line="560" w:lineRule="atLeas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原因分析</w:t>
      </w:r>
    </w:p>
    <w:p>
      <w:pPr>
        <w:pStyle w:val="2"/>
        <w:pageBreakBefore w:val="0"/>
        <w:numPr>
          <w:ilvl w:val="0"/>
          <w:numId w:val="0"/>
        </w:numPr>
        <w:kinsoku/>
        <w:wordWrap/>
        <w:overflowPunct/>
        <w:topLinePunct w:val="0"/>
        <w:autoSpaceDE/>
        <w:autoSpaceDN/>
        <w:bidi w:val="0"/>
        <w:adjustRightInd/>
        <w:snapToGrid/>
        <w:spacing w:before="0" w:after="0" w:line="560" w:lineRule="atLeast"/>
        <w:jc w:val="both"/>
        <w:textAlignment w:val="auto"/>
        <w:rPr>
          <w:rFonts w:hint="default" w:ascii="仿宋_GB2312" w:hAnsi="仿宋_GB2312" w:eastAsia="仿宋_GB2312" w:cs="仿宋_GB2312"/>
          <w:b w:val="0"/>
          <w:bCs w:val="0"/>
          <w:color w:val="000000"/>
          <w:spacing w:val="17"/>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val="0"/>
          <w:color w:val="000000"/>
          <w:spacing w:val="17"/>
          <w:kern w:val="2"/>
          <w:sz w:val="32"/>
          <w:szCs w:val="32"/>
          <w:lang w:val="en-US" w:eastAsia="zh-CN" w:bidi="ar-SA"/>
        </w:rPr>
        <w:t xml:space="preserve"> 地区人大补助工作经费项目绩效指标设定中，涉及经济效益、社会效益、可持续性效益、生态效益等绩效指标，较难通过量化指标体现。</w:t>
      </w:r>
    </w:p>
    <w:p>
      <w:pPr>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pageBreakBefore w:val="0"/>
        <w:numPr>
          <w:ilvl w:val="0"/>
          <w:numId w:val="8"/>
        </w:numPr>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 xml:space="preserve">严格履行会计核算与监督职能。严格贯彻落实“厉行节约、反对浪费”的各项规定，严格按照分事行权、分岗设权、分级授权的原则，强化专项资金核算及专款专用意识，规范会计核算，提高会计信息质量，并加大专项资金跟踪监管力度，按照“项目批到哪里”，责任就跟到那里”以及“资金流到那里，监管就跟在那里”的原则，建立严格问责制度，对不按规定和批准的用途使用资金等行为，应及时采取有效措施纠正，严肃处理，确保专项资金使用的安全与完整。  </w:t>
      </w:r>
    </w:p>
    <w:p>
      <w:pPr>
        <w:pageBreakBefore w:val="0"/>
        <w:numPr>
          <w:ilvl w:val="0"/>
          <w:numId w:val="8"/>
        </w:numPr>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绩效是一项综合性、专业性较强系统工作，财务部门仅对资金的使用情况掌握，对项目具体情况及其实施情况了解甚少。建议绩效工作应当由单位综合部门负责（比如办公室、综合科等）。</w:t>
      </w:r>
    </w:p>
    <w:p>
      <w:pPr>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Style w:val="2"/>
        <w:pageBreakBefore w:val="0"/>
        <w:kinsoku/>
        <w:wordWrap/>
        <w:overflowPunct/>
        <w:topLinePunct w:val="0"/>
        <w:autoSpaceDE/>
        <w:autoSpaceDN/>
        <w:bidi w:val="0"/>
        <w:adjustRightInd/>
        <w:snapToGrid/>
        <w:spacing w:before="0" w:after="0" w:line="560" w:lineRule="atLeast"/>
        <w:jc w:val="both"/>
        <w:textAlignment w:val="auto"/>
        <w:rPr>
          <w:rFonts w:hint="default" w:ascii="黑体" w:hAnsi="黑体" w:eastAsia="黑体"/>
          <w:sz w:val="32"/>
          <w:szCs w:val="32"/>
          <w:lang w:val="en-US" w:eastAsia="zh-CN"/>
        </w:rPr>
      </w:pPr>
      <w:r>
        <w:rPr>
          <w:rFonts w:hint="eastAsia" w:ascii="黑体" w:hAnsi="黑体" w:eastAsia="黑体"/>
          <w:sz w:val="32"/>
          <w:szCs w:val="32"/>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无。</w:t>
      </w:r>
    </w:p>
    <w:p>
      <w:pPr>
        <w:pageBreakBefore w:val="0"/>
        <w:kinsoku/>
        <w:wordWrap/>
        <w:overflowPunct/>
        <w:topLinePunct w:val="0"/>
        <w:autoSpaceDE/>
        <w:autoSpaceDN/>
        <w:bidi w:val="0"/>
        <w:adjustRightInd/>
        <w:snapToGrid/>
        <w:spacing w:line="560" w:lineRule="atLeast"/>
        <w:textAlignment w:val="auto"/>
        <w:rPr>
          <w:rFonts w:hint="eastAsia" w:ascii="黑体" w:hAnsi="黑体" w:eastAsia="黑体"/>
          <w:sz w:val="32"/>
          <w:szCs w:val="32"/>
        </w:rPr>
      </w:pPr>
    </w:p>
    <w:p>
      <w:pPr>
        <w:pStyle w:val="2"/>
        <w:pageBreakBefore w:val="0"/>
        <w:kinsoku/>
        <w:wordWrap/>
        <w:overflowPunct/>
        <w:topLinePunct w:val="0"/>
        <w:autoSpaceDE/>
        <w:autoSpaceDN/>
        <w:bidi w:val="0"/>
        <w:adjustRightInd/>
        <w:snapToGrid/>
        <w:spacing w:before="0" w:after="0" w:line="560" w:lineRule="atLeast"/>
        <w:textAlignment w:val="auto"/>
        <w:rPr>
          <w:rFonts w:hint="eastAsia" w:ascii="黑体" w:hAnsi="黑体" w:eastAsia="黑体"/>
          <w:sz w:val="32"/>
          <w:szCs w:val="32"/>
        </w:rPr>
      </w:pPr>
    </w:p>
    <w:p>
      <w:pPr>
        <w:pageBreakBefore w:val="0"/>
        <w:kinsoku/>
        <w:wordWrap/>
        <w:overflowPunct/>
        <w:topLinePunct w:val="0"/>
        <w:autoSpaceDE/>
        <w:autoSpaceDN/>
        <w:bidi w:val="0"/>
        <w:adjustRightInd/>
        <w:snapToGrid/>
        <w:spacing w:line="560" w:lineRule="atLeast"/>
        <w:textAlignment w:val="auto"/>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sectPr>
          <w:footerReference r:id="rId3" w:type="default"/>
          <w:pgSz w:w="11906" w:h="16838"/>
          <w:pgMar w:top="1440" w:right="1558" w:bottom="1440" w:left="1800" w:header="851" w:footer="992" w:gutter="0"/>
          <w:cols w:space="425" w:num="1"/>
          <w:docGrid w:type="lines" w:linePitch="312" w:charSpace="0"/>
        </w:sectPr>
      </w:pPr>
    </w:p>
    <w:tbl>
      <w:tblPr>
        <w:tblStyle w:val="19"/>
        <w:tblW w:w="8785" w:type="dxa"/>
        <w:tblInd w:w="96" w:type="dxa"/>
        <w:shd w:val="clear" w:color="auto" w:fill="auto"/>
        <w:tblLayout w:type="autofit"/>
        <w:tblCellMar>
          <w:top w:w="0" w:type="dxa"/>
          <w:left w:w="108" w:type="dxa"/>
          <w:bottom w:w="0" w:type="dxa"/>
          <w:right w:w="108" w:type="dxa"/>
        </w:tblCellMar>
      </w:tblPr>
      <w:tblGrid>
        <w:gridCol w:w="675"/>
        <w:gridCol w:w="675"/>
        <w:gridCol w:w="675"/>
        <w:gridCol w:w="675"/>
        <w:gridCol w:w="1350"/>
        <w:gridCol w:w="1173"/>
        <w:gridCol w:w="1095"/>
        <w:gridCol w:w="874"/>
        <w:gridCol w:w="398"/>
        <w:gridCol w:w="1195"/>
      </w:tblGrid>
      <w:tr>
        <w:tblPrEx>
          <w:shd w:val="clear" w:color="auto" w:fill="auto"/>
          <w:tblCellMar>
            <w:top w:w="0" w:type="dxa"/>
            <w:left w:w="108" w:type="dxa"/>
            <w:bottom w:w="0" w:type="dxa"/>
            <w:right w:w="108" w:type="dxa"/>
          </w:tblCellMar>
        </w:tblPrEx>
        <w:trPr>
          <w:trHeight w:val="408" w:hRule="atLeast"/>
        </w:trPr>
        <w:tc>
          <w:tcPr>
            <w:tcW w:w="8785"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288" w:hRule="atLeast"/>
        </w:trPr>
        <w:tc>
          <w:tcPr>
            <w:tcW w:w="8785"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480" w:hRule="atLeast"/>
        </w:trPr>
        <w:tc>
          <w:tcPr>
            <w:tcW w:w="87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480" w:hRule="atLeast"/>
        </w:trPr>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项目名称</w:t>
            </w:r>
          </w:p>
        </w:tc>
        <w:tc>
          <w:tcPr>
            <w:tcW w:w="74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地区人大补助工作经费</w:t>
            </w:r>
          </w:p>
        </w:tc>
      </w:tr>
      <w:tr>
        <w:tblPrEx>
          <w:shd w:val="clear" w:color="auto" w:fill="auto"/>
          <w:tblCellMar>
            <w:top w:w="0" w:type="dxa"/>
            <w:left w:w="108" w:type="dxa"/>
            <w:bottom w:w="0" w:type="dxa"/>
            <w:right w:w="108" w:type="dxa"/>
          </w:tblCellMar>
        </w:tblPrEx>
        <w:trPr>
          <w:trHeight w:val="420" w:hRule="atLeast"/>
        </w:trPr>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主管部门</w:t>
            </w:r>
          </w:p>
        </w:tc>
        <w:tc>
          <w:tcPr>
            <w:tcW w:w="38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实施单位</w:t>
            </w:r>
          </w:p>
        </w:tc>
        <w:tc>
          <w:tcPr>
            <w:tcW w:w="24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伊犁哈萨克自治州人大常委会塔城地区工作委员会</w:t>
            </w:r>
          </w:p>
        </w:tc>
      </w:tr>
      <w:tr>
        <w:tblPrEx>
          <w:shd w:val="clear" w:color="auto" w:fill="auto"/>
          <w:tblCellMar>
            <w:top w:w="0" w:type="dxa"/>
            <w:left w:w="108" w:type="dxa"/>
            <w:bottom w:w="0" w:type="dxa"/>
            <w:right w:w="108" w:type="dxa"/>
          </w:tblCellMar>
        </w:tblPrEx>
        <w:trPr>
          <w:trHeight w:val="480" w:hRule="atLeast"/>
        </w:trPr>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项目资金</w:t>
            </w:r>
          </w:p>
        </w:tc>
        <w:tc>
          <w:tcPr>
            <w:tcW w:w="675" w:type="dxa"/>
            <w:tcBorders>
              <w:top w:val="single" w:color="000000" w:sz="4" w:space="0"/>
              <w:left w:val="single" w:color="000000" w:sz="4" w:space="0"/>
              <w:bottom w:val="single" w:color="000000" w:sz="4" w:space="0"/>
              <w:right w:val="nil"/>
            </w:tcBorders>
            <w:shd w:val="clear" w:color="auto" w:fill="auto"/>
            <w:vAlign w:val="bottom"/>
          </w:tcPr>
          <w:p/>
        </w:tc>
        <w:tc>
          <w:tcPr>
            <w:tcW w:w="675" w:type="dxa"/>
            <w:tcBorders>
              <w:top w:val="single" w:color="000000" w:sz="4" w:space="0"/>
              <w:left w:val="nil"/>
              <w:bottom w:val="single" w:color="000000" w:sz="4" w:space="0"/>
              <w:right w:val="single" w:color="000000" w:sz="4" w:space="0"/>
            </w:tcBorders>
            <w:shd w:val="clear" w:color="auto" w:fill="auto"/>
            <w:vAlign w:val="bottom"/>
          </w:tcPr>
          <w:p>
            <w:pPr>
              <w:rPr>
                <w:rFonts w:hint="eastAsia" w:ascii="宋体" w:hAnsi="宋体" w:eastAsia="宋体" w:cs="宋体"/>
                <w:i w:val="0"/>
                <w:iCs w:val="0"/>
                <w:color w:val="000000"/>
                <w:sz w:val="18"/>
                <w:szCs w:val="18"/>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全年预算数</w:t>
            </w:r>
          </w:p>
        </w:tc>
        <w:tc>
          <w:tcPr>
            <w:tcW w:w="23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全年执行数</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432" w:hRule="atLeast"/>
        </w:trPr>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（万元）</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年度资金总额</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36.14</w:t>
            </w:r>
          </w:p>
        </w:tc>
        <w:tc>
          <w:tcPr>
            <w:tcW w:w="23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36.14</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108" w:type="dxa"/>
            <w:bottom w:w="0" w:type="dxa"/>
            <w:right w:w="108" w:type="dxa"/>
          </w:tblCellMar>
        </w:tblPrEx>
        <w:trPr>
          <w:trHeight w:val="380" w:hRule="atLeast"/>
        </w:trPr>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其中：当年财政拨款</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34.00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36.14</w:t>
            </w:r>
          </w:p>
        </w:tc>
        <w:tc>
          <w:tcPr>
            <w:tcW w:w="23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36.14</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380" w:hRule="atLeast"/>
        </w:trPr>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 xml:space="preserve">      上年结转资金</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0</w:t>
            </w:r>
          </w:p>
        </w:tc>
        <w:tc>
          <w:tcPr>
            <w:tcW w:w="23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00" w:hRule="atLeast"/>
        </w:trPr>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3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1220" w:hRule="atLeast"/>
        </w:trPr>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年度总体目标</w:t>
            </w:r>
          </w:p>
        </w:tc>
        <w:tc>
          <w:tcPr>
            <w:tcW w:w="45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预期目标</w:t>
            </w:r>
          </w:p>
        </w:tc>
        <w:tc>
          <w:tcPr>
            <w:tcW w:w="35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48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5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确保地区人大工委职能的正常履行，2020年度工作要点顺利实施。</w:t>
            </w:r>
          </w:p>
        </w:tc>
        <w:tc>
          <w:tcPr>
            <w:tcW w:w="35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确保地区人大工委职能的正常履行，2020年度工作要点顺利实施。</w:t>
            </w:r>
          </w:p>
        </w:tc>
      </w:tr>
      <w:tr>
        <w:tblPrEx>
          <w:shd w:val="clear" w:color="auto" w:fill="auto"/>
          <w:tblCellMar>
            <w:top w:w="0" w:type="dxa"/>
            <w:left w:w="108" w:type="dxa"/>
            <w:bottom w:w="0" w:type="dxa"/>
            <w:right w:w="108" w:type="dxa"/>
          </w:tblCellMar>
        </w:tblPrEx>
        <w:trPr>
          <w:trHeight w:val="4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一级指标</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二级指标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三级指标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年度指标值</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实际完成值</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480" w:hRule="atLeast"/>
        </w:trPr>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产出指标</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数量指标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召开工委会议</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=4次</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4次</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6"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召开与各县市人大常委会的工作</w:t>
            </w:r>
            <w:r>
              <w:rPr>
                <w:rFonts w:hint="eastAsia" w:ascii="宋体" w:hAnsi="宋体" w:cs="宋体"/>
                <w:i w:val="0"/>
                <w:color w:val="000000"/>
                <w:kern w:val="0"/>
                <w:sz w:val="18"/>
                <w:szCs w:val="18"/>
                <w:u w:val="none"/>
                <w:lang w:val="en-US" w:eastAsia="zh-CN" w:bidi="ar"/>
              </w:rPr>
              <w:t>联席会议</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=1次</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1次</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48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开展专项工作调研</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=6次</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6次</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48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开展专项工执法作检查</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=3次</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3次</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组织全国和自治区人大代表开展集中视察</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=1次</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1次</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nil"/>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组织人大代表和人大机关干部开展培训</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=1次</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1次</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restart"/>
            <w:tcBorders>
              <w:top w:val="nil"/>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质量指标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撰写调研报告</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=6篇</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6篇</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工委委员到会率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≥70%</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80%</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时效指标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会议召开及时率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=100%</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100%</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0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成本指标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公务用车百公里油耗</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≤24L</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23L</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56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效益指标</w:t>
            </w:r>
          </w:p>
        </w:tc>
        <w:tc>
          <w:tcPr>
            <w:tcW w:w="6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经济效益指标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开展相关产业调研，促进产业发展</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效果明显</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效果较明显</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基本取得了预期的效果，但仍有提高的空间，按照90%比例给予分值</w:t>
            </w:r>
          </w:p>
        </w:tc>
      </w:tr>
      <w:tr>
        <w:tblPrEx>
          <w:tblCellMar>
            <w:top w:w="0" w:type="dxa"/>
            <w:left w:w="108" w:type="dxa"/>
            <w:bottom w:w="0" w:type="dxa"/>
            <w:right w:w="108" w:type="dxa"/>
          </w:tblCellMar>
        </w:tblPrEx>
        <w:trPr>
          <w:trHeight w:val="56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社会效益指标</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法律贯彻落实</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效果明显</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效果较明显</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基本取得了预期的效果，但仍有提高的空间，按照90%比例给予分值</w:t>
            </w:r>
          </w:p>
        </w:tc>
      </w:tr>
      <w:tr>
        <w:tblPrEx>
          <w:tblCellMar>
            <w:top w:w="0" w:type="dxa"/>
            <w:left w:w="108" w:type="dxa"/>
            <w:bottom w:w="0" w:type="dxa"/>
            <w:right w:w="108" w:type="dxa"/>
          </w:tblCellMar>
        </w:tblPrEx>
        <w:trPr>
          <w:trHeight w:val="56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02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政府政策的科学性</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有所增加</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有一定增加</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基本取得了预期的效果，但仍有提高的空间，按照90%比例给予分值</w:t>
            </w:r>
          </w:p>
        </w:tc>
      </w:tr>
      <w:tr>
        <w:tblPrEx>
          <w:tblCellMar>
            <w:top w:w="0" w:type="dxa"/>
            <w:left w:w="108" w:type="dxa"/>
            <w:bottom w:w="0" w:type="dxa"/>
            <w:right w:w="108" w:type="dxa"/>
          </w:tblCellMar>
        </w:tblPrEx>
        <w:trPr>
          <w:trHeight w:val="560" w:hRule="atLeast"/>
        </w:trPr>
        <w:tc>
          <w:tcPr>
            <w:tcW w:w="675"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7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生态效益指标</w:t>
            </w:r>
          </w:p>
        </w:tc>
        <w:tc>
          <w:tcPr>
            <w:tcW w:w="20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审议政府环境保护工作，推动环保工作开展</w:t>
            </w:r>
          </w:p>
        </w:tc>
        <w:tc>
          <w:tcPr>
            <w:tcW w:w="1173"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效果明显</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hint="eastAsia" w:ascii="宋体" w:hAnsi="宋体" w:eastAsia="宋体" w:cs="宋体"/>
                <w:i w:val="0"/>
                <w:color w:val="000000"/>
                <w:kern w:val="0"/>
                <w:sz w:val="18"/>
                <w:szCs w:val="18"/>
                <w:u w:val="none"/>
                <w:lang w:val="en-US" w:eastAsia="zh-CN" w:bidi="ar"/>
              </w:rPr>
              <w:t>效果较明显</w:t>
            </w:r>
          </w:p>
        </w:tc>
        <w:tc>
          <w:tcPr>
            <w:tcW w:w="15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18"/>
                <w:szCs w:val="18"/>
                <w:u w:val="none"/>
                <w:lang w:val="en-US" w:eastAsia="zh-CN" w:bidi="ar"/>
              </w:rPr>
              <w:t>基本取得了预期的效果，但仍有提高的空间，按照90%比例给予分值</w:t>
            </w:r>
          </w:p>
        </w:tc>
      </w:tr>
    </w:tbl>
    <w:p>
      <w:pPr>
        <w:pStyle w:val="2"/>
        <w:rPr>
          <w:rFonts w:hint="eastAsia" w:ascii="黑体" w:hAnsi="黑体" w:eastAsia="黑体"/>
          <w:sz w:val="32"/>
          <w:szCs w:val="32"/>
        </w:rPr>
      </w:pPr>
    </w:p>
    <w:p>
      <w:pPr>
        <w:rPr>
          <w:rFonts w:hint="eastAsia" w:ascii="黑体" w:hAnsi="黑体" w:eastAsia="黑体"/>
          <w:sz w:val="32"/>
          <w:szCs w:val="32"/>
        </w:rPr>
      </w:pPr>
    </w:p>
    <w:p>
      <w:pPr>
        <w:pStyle w:val="2"/>
        <w:jc w:val="both"/>
        <w:sectPr>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19"/>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29"/>
        <w:gridCol w:w="764"/>
        <w:gridCol w:w="873"/>
        <w:gridCol w:w="2353"/>
        <w:gridCol w:w="5201"/>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7"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301"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344"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927"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2049" w:type="pct"/>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512" w:type="pct"/>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537" w:type="pct"/>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27"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301"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2049" w:type="pct"/>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512" w:type="pct"/>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537"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27"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301"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2049" w:type="pct"/>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512"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0.5</w:t>
            </w:r>
          </w:p>
        </w:tc>
        <w:tc>
          <w:tcPr>
            <w:tcW w:w="537"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27"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301"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2049" w:type="pct"/>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7"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301"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2049"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7"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301"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2049"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w:t>
            </w:r>
            <w:bookmarkStart w:id="2" w:name="_GoBack"/>
            <w:bookmarkEnd w:id="2"/>
            <w:r>
              <w:rPr>
                <w:rFonts w:hint="eastAsia" w:ascii="宋体" w:hAnsi="宋体" w:eastAsia="宋体" w:cs="宋体"/>
                <w:color w:val="000000"/>
                <w:kern w:val="0"/>
                <w:sz w:val="22"/>
                <w:szCs w:val="22"/>
              </w:rPr>
              <w:t>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512"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537"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7"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01"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2049"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512"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537"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7" w:type="pct"/>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301" w:type="pct"/>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2049" w:type="pct"/>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7" w:type="pct"/>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301" w:type="pct"/>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927"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2049"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512"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537"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7"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301"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2049"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7"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301"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2049"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7"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01"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44" w:type="pc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2049"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7"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301"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2049"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512"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537"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7"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301"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2049" w:type="pct"/>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7" w:type="pct"/>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301" w:type="pct"/>
            <w:shd w:val="clear" w:color="auto" w:fill="FFFFFF"/>
            <w:noWrap w:val="0"/>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2049"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15</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7"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01"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2049"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512"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c>
          <w:tcPr>
            <w:tcW w:w="537" w:type="pct"/>
            <w:shd w:val="clear" w:color="000000" w:fill="FFFFFF"/>
            <w:noWrap w:val="0"/>
            <w:vAlign w:val="center"/>
          </w:tcPr>
          <w:p>
            <w:pPr>
              <w:widowControl/>
              <w:spacing w:line="0" w:lineRule="atLeast"/>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7"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301" w:type="pct"/>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927" w:type="pct"/>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2049" w:type="pct"/>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512" w:type="pct"/>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537" w:type="pct"/>
            <w:shd w:val="clear" w:color="auto"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7"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01" w:type="pct"/>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344" w:type="pc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927"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2049" w:type="pct"/>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512"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537" w:type="pct"/>
            <w:shd w:val="clear" w:color="000000" w:fill="FFFFFF"/>
            <w:noWrap w:val="0"/>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Style w:val="2"/>
        <w:rPr>
          <w:rFonts w:hint="default"/>
          <w:lang w:val="en-US" w:eastAsia="zh-CN"/>
        </w:rPr>
      </w:pPr>
    </w:p>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rPr>
          <w:rStyle w:val="21"/>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535806-96AF-4E8D-BAE3-25BC42E8BEA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CED76ACF-0237-49C4-8B45-FADD9EC1F0D8}"/>
  </w:font>
  <w:font w:name="华文中宋">
    <w:panose1 w:val="02010600040101010101"/>
    <w:charset w:val="86"/>
    <w:family w:val="auto"/>
    <w:pitch w:val="default"/>
    <w:sig w:usb0="00000287" w:usb1="080F0000" w:usb2="00000000" w:usb3="00000000" w:csb0="0004009F" w:csb1="DFD70000"/>
    <w:embedRegular r:id="rId3" w:fontKey="{DA87BEC4-60D8-4D91-B5C0-0C15CBEA7C19}"/>
  </w:font>
  <w:font w:name="方正小标宋_GBK">
    <w:altName w:val="微软雅黑"/>
    <w:panose1 w:val="03000509000000000000"/>
    <w:charset w:val="86"/>
    <w:family w:val="script"/>
    <w:pitch w:val="default"/>
    <w:sig w:usb0="00000000" w:usb1="00000000" w:usb2="00000000" w:usb3="00000000" w:csb0="00040000" w:csb1="00000000"/>
    <w:embedRegular r:id="rId4" w:fontKey="{6E171D08-D4AD-40BC-934F-1B217BCB1433}"/>
  </w:font>
  <w:font w:name="仿宋">
    <w:panose1 w:val="02010609060101010101"/>
    <w:charset w:val="86"/>
    <w:family w:val="auto"/>
    <w:pitch w:val="default"/>
    <w:sig w:usb0="800002BF" w:usb1="38CF7CFA" w:usb2="00000016" w:usb3="00000000" w:csb0="00040001" w:csb1="00000000"/>
    <w:embedRegular r:id="rId5" w:fontKey="{CCC94303-172E-4977-A8E2-03037B012C02}"/>
  </w:font>
  <w:font w:name="楷体_GB2312">
    <w:altName w:val="楷体"/>
    <w:panose1 w:val="02010609030101010101"/>
    <w:charset w:val="86"/>
    <w:family w:val="auto"/>
    <w:pitch w:val="default"/>
    <w:sig w:usb0="00000000" w:usb1="00000000" w:usb2="00000000" w:usb3="00000000" w:csb0="00040000" w:csb1="00000000"/>
    <w:embedRegular r:id="rId6" w:fontKey="{58A81C80-1247-4EC1-ADE6-9F91E6D395DC}"/>
  </w:font>
  <w:font w:name="楷体">
    <w:panose1 w:val="02010609060101010101"/>
    <w:charset w:val="86"/>
    <w:family w:val="auto"/>
    <w:pitch w:val="default"/>
    <w:sig w:usb0="800002BF" w:usb1="38CF7CFA" w:usb2="00000016" w:usb3="00000000" w:csb0="00040001" w:csb1="00000000"/>
    <w:embedRegular r:id="rId7" w:fontKey="{FF230820-A320-43A3-897D-DB6820BEB7E5}"/>
  </w:font>
  <w:font w:name="方正小标宋简体">
    <w:panose1 w:val="02000000000000000000"/>
    <w:charset w:val="86"/>
    <w:family w:val="auto"/>
    <w:pitch w:val="default"/>
    <w:sig w:usb0="00000001" w:usb1="08000000" w:usb2="00000000" w:usb3="00000000" w:csb0="00040000" w:csb1="00000000"/>
    <w:embedRegular r:id="rId8" w:fontKey="{D7E56B46-9708-4B62-A796-DB919847323B}"/>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576BD702"/>
    <w:multiLevelType w:val="singleLevel"/>
    <w:tmpl w:val="576BD702"/>
    <w:lvl w:ilvl="0" w:tentative="0">
      <w:start w:val="1"/>
      <w:numFmt w:val="decimal"/>
      <w:suff w:val="nothing"/>
      <w:lvlText w:val="%1、"/>
      <w:lvlJc w:val="left"/>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5"/>
  </w:num>
  <w:num w:numId="4">
    <w:abstractNumId w:val="7"/>
  </w:num>
  <w:num w:numId="5">
    <w:abstractNumId w:val="4"/>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6822D8"/>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11B8"/>
    <w:rsid w:val="051A56F5"/>
    <w:rsid w:val="066D6EAA"/>
    <w:rsid w:val="08C662D4"/>
    <w:rsid w:val="09BD4D95"/>
    <w:rsid w:val="0D9B4251"/>
    <w:rsid w:val="0F8D41CB"/>
    <w:rsid w:val="11C75270"/>
    <w:rsid w:val="12637CC3"/>
    <w:rsid w:val="12E657C5"/>
    <w:rsid w:val="167C7687"/>
    <w:rsid w:val="168B3546"/>
    <w:rsid w:val="1A2374E0"/>
    <w:rsid w:val="1A631C3A"/>
    <w:rsid w:val="1BFC5869"/>
    <w:rsid w:val="1C317CE2"/>
    <w:rsid w:val="1DD45808"/>
    <w:rsid w:val="1DED42AC"/>
    <w:rsid w:val="1DF31DDF"/>
    <w:rsid w:val="20005763"/>
    <w:rsid w:val="20FB313D"/>
    <w:rsid w:val="21354766"/>
    <w:rsid w:val="220B4804"/>
    <w:rsid w:val="23CA4B38"/>
    <w:rsid w:val="23CF11EF"/>
    <w:rsid w:val="275F7D6F"/>
    <w:rsid w:val="282475E3"/>
    <w:rsid w:val="286940DD"/>
    <w:rsid w:val="2B1A2542"/>
    <w:rsid w:val="2C6100C1"/>
    <w:rsid w:val="2E215171"/>
    <w:rsid w:val="30FA503A"/>
    <w:rsid w:val="3264220D"/>
    <w:rsid w:val="360D092A"/>
    <w:rsid w:val="3630462C"/>
    <w:rsid w:val="3963178C"/>
    <w:rsid w:val="408224AC"/>
    <w:rsid w:val="41CC2676"/>
    <w:rsid w:val="44834E81"/>
    <w:rsid w:val="46B21672"/>
    <w:rsid w:val="4AC32F8C"/>
    <w:rsid w:val="4F552460"/>
    <w:rsid w:val="4FA072ED"/>
    <w:rsid w:val="4FCC6863"/>
    <w:rsid w:val="500A214A"/>
    <w:rsid w:val="50720CA0"/>
    <w:rsid w:val="522D604D"/>
    <w:rsid w:val="5297585E"/>
    <w:rsid w:val="52AD7D6F"/>
    <w:rsid w:val="52D85CDB"/>
    <w:rsid w:val="5549519D"/>
    <w:rsid w:val="5557596B"/>
    <w:rsid w:val="56855667"/>
    <w:rsid w:val="5990446C"/>
    <w:rsid w:val="59B05BDB"/>
    <w:rsid w:val="5B596DFC"/>
    <w:rsid w:val="5DF03945"/>
    <w:rsid w:val="5F850BCB"/>
    <w:rsid w:val="62476B69"/>
    <w:rsid w:val="629224D8"/>
    <w:rsid w:val="637C2815"/>
    <w:rsid w:val="650D7103"/>
    <w:rsid w:val="6AFA5263"/>
    <w:rsid w:val="6D711F7D"/>
    <w:rsid w:val="6DB77E9C"/>
    <w:rsid w:val="73F62BE5"/>
    <w:rsid w:val="77856FA5"/>
    <w:rsid w:val="7A353D0B"/>
    <w:rsid w:val="7D3A5E2F"/>
    <w:rsid w:val="7F7B1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48"/>
    <w:semiHidden/>
    <w:unhideWhenUsed/>
    <w:qFormat/>
    <w:uiPriority w:val="99"/>
    <w:rPr>
      <w:sz w:val="18"/>
      <w:szCs w:val="18"/>
    </w:rPr>
  </w:style>
  <w:style w:type="paragraph" w:styleId="15">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3"/>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3"/>
    <w:qFormat/>
    <w:uiPriority w:val="9"/>
    <w:rPr>
      <w:rFonts w:asciiTheme="majorHAnsi" w:hAnsiTheme="majorHAnsi" w:eastAsiaTheme="majorEastAsia"/>
      <w:b/>
      <w:bCs/>
      <w:kern w:val="32"/>
      <w:sz w:val="32"/>
      <w:szCs w:val="32"/>
    </w:rPr>
  </w:style>
  <w:style w:type="character" w:customStyle="1" w:styleId="24">
    <w:name w:val="标题 2 字符"/>
    <w:basedOn w:val="20"/>
    <w:link w:val="4"/>
    <w:semiHidden/>
    <w:qFormat/>
    <w:uiPriority w:val="9"/>
    <w:rPr>
      <w:rFonts w:asciiTheme="majorHAnsi" w:hAnsiTheme="majorHAnsi" w:eastAsiaTheme="majorEastAsia"/>
      <w:b/>
      <w:bCs/>
      <w:i/>
      <w:iCs/>
      <w:sz w:val="28"/>
      <w:szCs w:val="28"/>
    </w:rPr>
  </w:style>
  <w:style w:type="character" w:customStyle="1" w:styleId="25">
    <w:name w:val="标题 3 字符"/>
    <w:basedOn w:val="20"/>
    <w:link w:val="5"/>
    <w:semiHidden/>
    <w:qFormat/>
    <w:uiPriority w:val="9"/>
    <w:rPr>
      <w:rFonts w:asciiTheme="majorHAnsi" w:hAnsiTheme="majorHAnsi" w:eastAsiaTheme="majorEastAsia"/>
      <w:b/>
      <w:bCs/>
      <w:sz w:val="26"/>
      <w:szCs w:val="26"/>
    </w:rPr>
  </w:style>
  <w:style w:type="character" w:customStyle="1" w:styleId="26">
    <w:name w:val="标题 4 字符"/>
    <w:basedOn w:val="20"/>
    <w:link w:val="6"/>
    <w:semiHidden/>
    <w:qFormat/>
    <w:uiPriority w:val="9"/>
    <w:rPr>
      <w:b/>
      <w:bCs/>
      <w:sz w:val="28"/>
      <w:szCs w:val="28"/>
    </w:rPr>
  </w:style>
  <w:style w:type="character" w:customStyle="1" w:styleId="27">
    <w:name w:val="标题 5 字符"/>
    <w:basedOn w:val="20"/>
    <w:link w:val="7"/>
    <w:semiHidden/>
    <w:qFormat/>
    <w:uiPriority w:val="9"/>
    <w:rPr>
      <w:b/>
      <w:bCs/>
      <w:i/>
      <w:iCs/>
      <w:sz w:val="26"/>
      <w:szCs w:val="26"/>
    </w:rPr>
  </w:style>
  <w:style w:type="character" w:customStyle="1" w:styleId="28">
    <w:name w:val="标题 6 字符"/>
    <w:basedOn w:val="20"/>
    <w:link w:val="8"/>
    <w:semiHidden/>
    <w:qFormat/>
    <w:uiPriority w:val="9"/>
    <w:rPr>
      <w:b/>
      <w:bCs/>
    </w:rPr>
  </w:style>
  <w:style w:type="character" w:customStyle="1" w:styleId="29">
    <w:name w:val="标题 7 字符"/>
    <w:basedOn w:val="20"/>
    <w:link w:val="9"/>
    <w:semiHidden/>
    <w:qFormat/>
    <w:uiPriority w:val="9"/>
    <w:rPr>
      <w:sz w:val="24"/>
      <w:szCs w:val="24"/>
    </w:rPr>
  </w:style>
  <w:style w:type="character" w:customStyle="1" w:styleId="30">
    <w:name w:val="标题 8 字符"/>
    <w:basedOn w:val="20"/>
    <w:link w:val="10"/>
    <w:semiHidden/>
    <w:qFormat/>
    <w:uiPriority w:val="9"/>
    <w:rPr>
      <w:i/>
      <w:iCs/>
      <w:sz w:val="24"/>
      <w:szCs w:val="24"/>
    </w:rPr>
  </w:style>
  <w:style w:type="character" w:customStyle="1" w:styleId="31">
    <w:name w:val="标题 9 字符"/>
    <w:basedOn w:val="20"/>
    <w:link w:val="11"/>
    <w:semiHidden/>
    <w:qFormat/>
    <w:uiPriority w:val="9"/>
    <w:rPr>
      <w:rFonts w:asciiTheme="majorHAnsi" w:hAnsiTheme="majorHAnsi" w:eastAsiaTheme="majorEastAsia"/>
    </w:rPr>
  </w:style>
  <w:style w:type="character" w:customStyle="1" w:styleId="32">
    <w:name w:val="标题 字符"/>
    <w:basedOn w:val="20"/>
    <w:link w:val="2"/>
    <w:qFormat/>
    <w:uiPriority w:val="10"/>
    <w:rPr>
      <w:rFonts w:asciiTheme="majorHAnsi" w:hAnsiTheme="majorHAnsi" w:eastAsiaTheme="majorEastAsia"/>
      <w:b/>
      <w:bCs/>
      <w:kern w:val="28"/>
      <w:sz w:val="32"/>
      <w:szCs w:val="32"/>
    </w:rPr>
  </w:style>
  <w:style w:type="character" w:customStyle="1" w:styleId="33">
    <w:name w:val="副标题 字符"/>
    <w:basedOn w:val="20"/>
    <w:link w:val="17"/>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字符"/>
    <w:basedOn w:val="20"/>
    <w:link w:val="16"/>
    <w:qFormat/>
    <w:uiPriority w:val="99"/>
    <w:rPr>
      <w:rFonts w:ascii="Calibri" w:hAnsi="Calibri" w:eastAsia="宋体"/>
      <w:kern w:val="2"/>
      <w:sz w:val="18"/>
      <w:szCs w:val="18"/>
    </w:rPr>
  </w:style>
  <w:style w:type="character" w:customStyle="1" w:styleId="47">
    <w:name w:val="页脚 字符"/>
    <w:basedOn w:val="20"/>
    <w:link w:val="15"/>
    <w:qFormat/>
    <w:uiPriority w:val="99"/>
    <w:rPr>
      <w:rFonts w:ascii="Calibri" w:hAnsi="Calibri" w:eastAsia="宋体"/>
      <w:kern w:val="2"/>
      <w:sz w:val="18"/>
      <w:szCs w:val="18"/>
    </w:rPr>
  </w:style>
  <w:style w:type="character" w:customStyle="1" w:styleId="48">
    <w:name w:val="批注框文本 字符"/>
    <w:basedOn w:val="20"/>
    <w:link w:val="14"/>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5904</Words>
  <Characters>6204</Characters>
  <Lines>63</Lines>
  <Paragraphs>17</Paragraphs>
  <TotalTime>5</TotalTime>
  <ScaleCrop>false</ScaleCrop>
  <LinksUpToDate>false</LinksUpToDate>
  <CharactersWithSpaces>6249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2025-09-09T11:02:26Z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7059AA90A0BB4479823B137CF8A90C9D</vt:lpwstr>
  </property>
  <property fmtid="{D5CDD505-2E9C-101B-9397-08002B2CF9AE}" pid="4" name="KSOSaveFontToCloudKey">
    <vt:lpwstr>728097718_cloud</vt:lpwstr>
  </property>
  <property fmtid="{D5CDD505-2E9C-101B-9397-08002B2CF9AE}" pid="5" name="KSOTemplateDocerSaveRecord">
    <vt:lpwstr>eyJoZGlkIjoiN2VjMGM4YTNmZTY1NDFjMWFjNmVmZmU0NDA2ZTk0ZmMiLCJ1c2VySWQiOiI4NjI1NDMxNDkifQ==</vt:lpwstr>
  </property>
</Properties>
</file>