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驻村工作经费工作经费</w:t>
      </w:r>
      <w:r>
        <w:rPr>
          <w:rFonts w:hint="eastAsia" w:ascii="方正小标宋简体" w:hAnsi="方正小标宋简体" w:eastAsia="方正小标宋简体" w:cs="方正小标宋简体"/>
          <w:kern w:val="0"/>
          <w:sz w:val="44"/>
          <w:szCs w:val="44"/>
        </w:rPr>
        <w:t>项目支出</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default" w:ascii="方正小标宋_GBK" w:hAnsi="华文中宋" w:eastAsia="方正小标宋_GBK" w:cs="宋体"/>
          <w:kern w:val="0"/>
          <w:sz w:val="36"/>
          <w:szCs w:val="36"/>
          <w:lang w:val="en-US"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驻村工作经费</w:t>
      </w:r>
    </w:p>
    <w:p>
      <w:pPr>
        <w:spacing w:line="700" w:lineRule="exact"/>
        <w:ind w:firstLine="720" w:firstLineChars="200"/>
        <w:jc w:val="left"/>
        <w:rPr>
          <w:rFonts w:hint="eastAsia" w:hAnsi="宋体" w:eastAsia="仿宋_GB2312" w:cs="宋体"/>
          <w:kern w:val="0"/>
          <w:sz w:val="36"/>
          <w:szCs w:val="36"/>
          <w:highlight w:val="yellow"/>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塔城地委组织部</w:t>
      </w:r>
    </w:p>
    <w:p>
      <w:pPr>
        <w:spacing w:line="700" w:lineRule="exact"/>
        <w:ind w:firstLine="720" w:firstLineChars="200"/>
        <w:jc w:val="left"/>
        <w:rPr>
          <w:rFonts w:hint="default" w:hAnsi="宋体" w:eastAsia="仿宋_GB2312" w:cs="宋体"/>
          <w:kern w:val="0"/>
          <w:sz w:val="36"/>
          <w:szCs w:val="36"/>
          <w:highlight w:val="none"/>
          <w:lang w:val="en-US" w:eastAsia="zh-CN"/>
        </w:rPr>
      </w:pPr>
      <w:r>
        <w:rPr>
          <w:rFonts w:hint="eastAsia" w:hAnsi="宋体" w:eastAsia="仿宋_GB2312" w:cs="宋体"/>
          <w:kern w:val="0"/>
          <w:sz w:val="36"/>
          <w:szCs w:val="36"/>
          <w:highlight w:val="none"/>
        </w:rPr>
        <w:t>项目负责人（签章）：</w:t>
      </w:r>
      <w:r>
        <w:rPr>
          <w:rFonts w:hint="eastAsia" w:hAnsi="宋体" w:eastAsia="仿宋_GB2312" w:cs="宋体"/>
          <w:kern w:val="0"/>
          <w:sz w:val="36"/>
          <w:szCs w:val="36"/>
          <w:highlight w:val="none"/>
          <w:lang w:val="en-US" w:eastAsia="zh-CN"/>
        </w:rPr>
        <w:t>田江敏</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6</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20"/>
          <w:rFonts w:ascii="黑体" w:hAnsi="黑体" w:eastAsia="黑体"/>
          <w:b w:val="0"/>
          <w:spacing w:val="-4"/>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黑体" w:hAnsi="黑体" w:eastAsia="黑体" w:cs="黑体"/>
          <w:bCs/>
          <w:spacing w:val="0"/>
          <w:sz w:val="32"/>
          <w:szCs w:val="32"/>
        </w:rPr>
      </w:pPr>
      <w:r>
        <w:rPr>
          <w:rFonts w:hint="eastAsia" w:ascii="黑体" w:hAnsi="黑体" w:eastAsia="黑体" w:cs="黑体"/>
          <w:bCs/>
          <w:spacing w:val="0"/>
          <w:sz w:val="32"/>
          <w:szCs w:val="32"/>
        </w:rPr>
        <w:t>一、基本情况</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pacing w:val="0"/>
          <w:sz w:val="32"/>
          <w:szCs w:val="32"/>
        </w:rPr>
      </w:pPr>
      <w:r>
        <w:rPr>
          <w:rFonts w:hint="eastAsia" w:ascii="楷体_GB2312" w:hAnsi="楷体_GB2312" w:eastAsia="楷体_GB2312" w:cs="楷体_GB2312"/>
          <w:b/>
          <w:bCs/>
          <w:spacing w:val="0"/>
          <w:sz w:val="32"/>
          <w:szCs w:val="32"/>
        </w:rPr>
        <w:t>（一）项目概况</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pacing w:val="0"/>
          <w:sz w:val="32"/>
          <w:szCs w:val="32"/>
        </w:rPr>
      </w:pPr>
      <w:r>
        <w:rPr>
          <w:rFonts w:hint="eastAsia" w:ascii="仿宋_GB2312" w:hAnsi="仿宋_GB2312" w:eastAsia="仿宋_GB2312" w:cs="仿宋_GB2312"/>
          <w:b/>
          <w:bCs/>
          <w:spacing w:val="0"/>
          <w:sz w:val="32"/>
          <w:szCs w:val="32"/>
        </w:rPr>
        <w:t>1、项目背景</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rPr>
        <w:t>（1）项目实施的政策背景</w:t>
      </w:r>
    </w:p>
    <w:p>
      <w:pPr>
        <w:keepNext w:val="0"/>
        <w:keepLines w:val="0"/>
        <w:pageBreakBefore w:val="0"/>
        <w:kinsoku/>
        <w:wordWrap/>
        <w:overflowPunct/>
        <w:topLinePunct w:val="0"/>
        <w:autoSpaceDE/>
        <w:autoSpaceDN/>
        <w:bidi w:val="0"/>
        <w:adjustRightInd/>
        <w:snapToGrid/>
        <w:spacing w:line="560" w:lineRule="atLeast"/>
        <w:ind w:firstLine="610"/>
        <w:textAlignment w:val="auto"/>
        <w:rPr>
          <w:rFonts w:hint="eastAsia" w:ascii="仿宋_GB2312" w:hAnsi="仿宋_GB2312" w:eastAsia="仿宋_GB2312" w:cs="仿宋_GB2312"/>
          <w:color w:val="auto"/>
          <w:spacing w:val="0"/>
          <w:kern w:val="0"/>
          <w:sz w:val="32"/>
          <w:szCs w:val="32"/>
          <w:highlight w:val="none"/>
          <w:lang w:val="en-US" w:eastAsia="zh-CN"/>
        </w:rPr>
      </w:pPr>
      <w:r>
        <w:rPr>
          <w:rFonts w:hint="eastAsia" w:ascii="仿宋_GB2312" w:hAnsi="仿宋_GB2312" w:eastAsia="仿宋_GB2312" w:cs="仿宋_GB2312"/>
          <w:color w:val="auto"/>
          <w:spacing w:val="0"/>
          <w:kern w:val="0"/>
          <w:sz w:val="32"/>
          <w:szCs w:val="32"/>
          <w:highlight w:val="none"/>
          <w:lang w:val="en-US" w:eastAsia="zh-CN"/>
        </w:rPr>
        <w:t>贯彻落实自治区党委、自治区“驻村”办公室和地委关于驻村工作的安排部署，指导县市、乡镇党委和单位部门发挥落实总目标、履行主体责任、建强基层组织、强化保障措施、加强指导监督等职能作用，指导工作队履行驻村工作主体责任，推进脱贫攻坚，做好群众工作。</w:t>
      </w:r>
    </w:p>
    <w:p>
      <w:pPr>
        <w:keepNext w:val="0"/>
        <w:keepLines w:val="0"/>
        <w:pageBreakBefore w:val="0"/>
        <w:kinsoku/>
        <w:wordWrap/>
        <w:overflowPunct/>
        <w:topLinePunct w:val="0"/>
        <w:autoSpaceDE/>
        <w:autoSpaceDN/>
        <w:bidi w:val="0"/>
        <w:adjustRightInd/>
        <w:snapToGrid/>
        <w:spacing w:line="560" w:lineRule="atLeast"/>
        <w:ind w:firstLine="610"/>
        <w:textAlignment w:val="auto"/>
        <w:rPr>
          <w:rFonts w:hint="eastAsia" w:ascii="仿宋_GB2312" w:hAnsi="仿宋_GB2312" w:eastAsia="仿宋_GB2312" w:cs="仿宋_GB2312"/>
          <w:color w:val="auto"/>
          <w:spacing w:val="0"/>
          <w:kern w:val="0"/>
          <w:sz w:val="32"/>
          <w:szCs w:val="32"/>
          <w:highlight w:val="none"/>
          <w:lang w:val="en-US" w:eastAsia="zh-CN"/>
        </w:rPr>
      </w:pPr>
      <w:r>
        <w:rPr>
          <w:rFonts w:hint="eastAsia" w:ascii="仿宋_GB2312" w:hAnsi="仿宋_GB2312" w:eastAsia="仿宋_GB2312" w:cs="仿宋_GB2312"/>
          <w:color w:val="auto"/>
          <w:spacing w:val="0"/>
          <w:kern w:val="0"/>
          <w:sz w:val="32"/>
          <w:szCs w:val="32"/>
          <w:highlight w:val="none"/>
          <w:lang w:val="en-US" w:eastAsia="zh-CN"/>
        </w:rPr>
        <w:t>（2）项目实施的历史概况</w:t>
      </w:r>
    </w:p>
    <w:p>
      <w:pPr>
        <w:keepNext w:val="0"/>
        <w:keepLines w:val="0"/>
        <w:pageBreakBefore w:val="0"/>
        <w:kinsoku/>
        <w:wordWrap/>
        <w:overflowPunct/>
        <w:topLinePunct w:val="0"/>
        <w:autoSpaceDE/>
        <w:autoSpaceDN/>
        <w:bidi w:val="0"/>
        <w:adjustRightInd/>
        <w:snapToGrid/>
        <w:spacing w:line="560" w:lineRule="atLeast"/>
        <w:ind w:firstLine="610"/>
        <w:textAlignment w:val="auto"/>
        <w:rPr>
          <w:rFonts w:hint="default" w:ascii="仿宋_GB2312" w:hAnsi="仿宋_GB2312" w:eastAsia="仿宋_GB2312" w:cs="仿宋_GB2312"/>
          <w:color w:val="auto"/>
          <w:spacing w:val="0"/>
          <w:kern w:val="0"/>
          <w:sz w:val="32"/>
          <w:szCs w:val="32"/>
          <w:highlight w:val="none"/>
          <w:lang w:val="en-US" w:eastAsia="zh-CN"/>
        </w:rPr>
      </w:pPr>
      <w:r>
        <w:rPr>
          <w:rFonts w:hint="eastAsia" w:ascii="仿宋_GB2312" w:hAnsi="仿宋_GB2312" w:eastAsia="仿宋_GB2312" w:cs="仿宋_GB2312"/>
          <w:color w:val="auto"/>
          <w:spacing w:val="0"/>
          <w:kern w:val="0"/>
          <w:sz w:val="32"/>
          <w:szCs w:val="32"/>
          <w:highlight w:val="none"/>
          <w:lang w:val="en-US" w:eastAsia="zh-CN"/>
        </w:rPr>
        <w:t>塔城地区驻村工作领导小组办公室于2014年成立，2018年自治区党委下发指导意见，明确要求各级驻村办公室常态化设置，负责领导小组日常工作。</w:t>
      </w:r>
    </w:p>
    <w:p>
      <w:pPr>
        <w:keepNext w:val="0"/>
        <w:keepLines w:val="0"/>
        <w:pageBreakBefore w:val="0"/>
        <w:numPr>
          <w:ilvl w:val="0"/>
          <w:numId w:val="1"/>
        </w:numPr>
        <w:kinsoku/>
        <w:wordWrap/>
        <w:overflowPunct/>
        <w:topLinePunct w:val="0"/>
        <w:autoSpaceDE/>
        <w:autoSpaceDN/>
        <w:bidi w:val="0"/>
        <w:adjustRightInd/>
        <w:snapToGrid/>
        <w:spacing w:line="560" w:lineRule="atLeast"/>
        <w:ind w:left="199" w:leftChars="0" w:firstLine="641" w:firstLineChars="0"/>
        <w:textAlignment w:val="auto"/>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项目主要内容及实施情况</w:t>
      </w:r>
      <w:r>
        <w:rPr>
          <w:rFonts w:hint="eastAsia" w:ascii="仿宋_GB2312" w:hAnsi="仿宋_GB2312" w:eastAsia="仿宋_GB2312" w:cs="仿宋_GB2312"/>
          <w:color w:val="auto"/>
          <w:spacing w:val="0"/>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b w:val="0"/>
          <w:bCs w:val="0"/>
          <w:color w:val="auto"/>
          <w:spacing w:val="0"/>
          <w:kern w:val="2"/>
        </w:rPr>
      </w:pPr>
      <w:r>
        <w:rPr>
          <w:rFonts w:hint="eastAsia" w:ascii="仿宋_GB2312" w:hAnsi="仿宋_GB2312" w:eastAsia="仿宋_GB2312" w:cs="仿宋_GB2312"/>
          <w:b w:val="0"/>
          <w:bCs w:val="0"/>
          <w:color w:val="auto"/>
          <w:spacing w:val="0"/>
          <w:kern w:val="2"/>
          <w:sz w:val="32"/>
          <w:szCs w:val="32"/>
        </w:rPr>
        <w:t>项目主要内容：</w:t>
      </w:r>
      <w:r>
        <w:rPr>
          <w:rFonts w:hint="eastAsia" w:ascii="仿宋_GB2312" w:hAnsi="仿宋_GB2312" w:eastAsia="仿宋_GB2312" w:cs="仿宋_GB2312"/>
          <w:color w:val="auto"/>
          <w:spacing w:val="0"/>
          <w:kern w:val="0"/>
          <w:sz w:val="32"/>
          <w:szCs w:val="32"/>
          <w:highlight w:val="none"/>
          <w:lang w:val="en-US" w:eastAsia="zh-CN"/>
        </w:rPr>
        <w:t>塔城地区驻村工作领导小组办公室2020年度设科室5个：综合组、秘书组、宣传组、指导组、健康服务组，共有40名干部。地区驻村办公室主要负责全地区日常驻村工作的综合协调、组织指导、督促检查、舆论引导、群众服务等各项工作。</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spacing w:val="0"/>
        </w:rPr>
      </w:pPr>
      <w:r>
        <w:rPr>
          <w:rFonts w:hint="eastAsia" w:ascii="仿宋_GB2312" w:hAnsi="仿宋_GB2312" w:eastAsia="仿宋_GB2312" w:cs="仿宋_GB2312"/>
          <w:spacing w:val="0"/>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color w:val="auto"/>
          <w:spacing w:val="0"/>
          <w:sz w:val="32"/>
          <w:szCs w:val="32"/>
        </w:rPr>
      </w:pPr>
      <w:r>
        <w:rPr>
          <w:rFonts w:hint="eastAsia" w:ascii="仿宋_GB2312" w:hAnsi="仿宋_GB2312" w:eastAsia="仿宋_GB2312" w:cs="仿宋_GB2312"/>
          <w:spacing w:val="0"/>
          <w:sz w:val="32"/>
          <w:szCs w:val="32"/>
        </w:rPr>
        <w:t>本</w:t>
      </w:r>
      <w:r>
        <w:rPr>
          <w:rFonts w:hint="eastAsia" w:ascii="仿宋_GB2312" w:hAnsi="仿宋_GB2312" w:eastAsia="仿宋_GB2312" w:cs="仿宋_GB2312"/>
          <w:color w:val="auto"/>
          <w:spacing w:val="0"/>
          <w:sz w:val="32"/>
          <w:szCs w:val="32"/>
        </w:rPr>
        <w:t>项目总投资</w:t>
      </w:r>
      <w:r>
        <w:rPr>
          <w:rFonts w:hint="eastAsia" w:ascii="仿宋_GB2312" w:hAnsi="仿宋_GB2312" w:eastAsia="仿宋_GB2312" w:cs="仿宋_GB2312"/>
          <w:color w:val="auto"/>
          <w:spacing w:val="0"/>
          <w:sz w:val="32"/>
          <w:szCs w:val="32"/>
          <w:lang w:val="en-US" w:eastAsia="zh-CN"/>
        </w:rPr>
        <w:t>71.41</w:t>
      </w:r>
      <w:r>
        <w:rPr>
          <w:rFonts w:hint="eastAsia" w:ascii="仿宋_GB2312" w:hAnsi="仿宋_GB2312" w:eastAsia="仿宋_GB2312" w:cs="仿宋_GB2312"/>
          <w:color w:val="auto"/>
          <w:spacing w:val="0"/>
          <w:sz w:val="32"/>
          <w:szCs w:val="32"/>
        </w:rPr>
        <w:t>万元，其中：财政本级资金</w:t>
      </w:r>
      <w:r>
        <w:rPr>
          <w:rFonts w:hint="eastAsia" w:ascii="仿宋_GB2312" w:hAnsi="仿宋_GB2312" w:eastAsia="仿宋_GB2312" w:cs="仿宋_GB2312"/>
          <w:color w:val="auto"/>
          <w:spacing w:val="0"/>
          <w:sz w:val="32"/>
          <w:szCs w:val="32"/>
          <w:lang w:val="en-US" w:eastAsia="zh-CN"/>
        </w:rPr>
        <w:t>71.41</w:t>
      </w:r>
      <w:r>
        <w:rPr>
          <w:rFonts w:hint="eastAsia" w:ascii="仿宋_GB2312" w:hAnsi="仿宋_GB2312" w:eastAsia="仿宋_GB2312" w:cs="仿宋_GB2312"/>
          <w:color w:val="auto"/>
          <w:spacing w:val="0"/>
          <w:sz w:val="32"/>
          <w:szCs w:val="32"/>
        </w:rPr>
        <w:t>万元。项目实际支出</w:t>
      </w:r>
      <w:r>
        <w:rPr>
          <w:rFonts w:hint="eastAsia" w:ascii="仿宋_GB2312" w:hAnsi="仿宋_GB2312" w:eastAsia="仿宋_GB2312" w:cs="仿宋_GB2312"/>
          <w:color w:val="auto"/>
          <w:spacing w:val="0"/>
          <w:sz w:val="32"/>
          <w:szCs w:val="32"/>
          <w:lang w:val="en-US" w:eastAsia="zh-CN"/>
        </w:rPr>
        <w:t>71.41</w:t>
      </w:r>
      <w:r>
        <w:rPr>
          <w:rFonts w:hint="eastAsia" w:ascii="仿宋_GB2312" w:hAnsi="仿宋_GB2312" w:eastAsia="仿宋_GB2312" w:cs="仿宋_GB2312"/>
          <w:color w:val="auto"/>
          <w:spacing w:val="0"/>
          <w:sz w:val="32"/>
          <w:szCs w:val="32"/>
        </w:rPr>
        <w:t>万元，支出率为100%。</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color w:val="auto"/>
          <w:spacing w:val="0"/>
          <w:sz w:val="32"/>
          <w:szCs w:val="32"/>
        </w:rPr>
      </w:pPr>
      <w:r>
        <w:rPr>
          <w:rFonts w:hint="eastAsia" w:ascii="仿宋_GB2312" w:hAnsi="仿宋_GB2312" w:eastAsia="仿宋_GB2312" w:cs="仿宋_GB2312"/>
          <w:b/>
          <w:bCs/>
          <w:color w:val="auto"/>
          <w:spacing w:val="0"/>
          <w:sz w:val="32"/>
          <w:szCs w:val="32"/>
        </w:rPr>
        <w:t>3、资金投入和使用情况</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auto"/>
          <w:spacing w:val="0"/>
          <w:sz w:val="20"/>
          <w:szCs w:val="20"/>
        </w:rPr>
      </w:pPr>
      <w:r>
        <w:rPr>
          <w:rFonts w:hint="eastAsia" w:ascii="仿宋_GB2312" w:hAnsi="仿宋_GB2312" w:eastAsia="仿宋_GB2312" w:cs="仿宋_GB2312"/>
          <w:color w:val="auto"/>
          <w:spacing w:val="0"/>
          <w:sz w:val="32"/>
          <w:szCs w:val="32"/>
        </w:rPr>
        <w:t>（1）资金安排</w:t>
      </w:r>
    </w:p>
    <w:p>
      <w:pPr>
        <w:keepNext w:val="0"/>
        <w:keepLines w:val="0"/>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项目总投资</w:t>
      </w:r>
      <w:r>
        <w:rPr>
          <w:rFonts w:hint="eastAsia" w:ascii="仿宋_GB2312" w:hAnsi="仿宋_GB2312" w:eastAsia="仿宋_GB2312" w:cs="仿宋_GB2312"/>
          <w:color w:val="auto"/>
          <w:spacing w:val="0"/>
          <w:sz w:val="32"/>
          <w:szCs w:val="32"/>
          <w:lang w:val="en-US" w:eastAsia="zh-CN"/>
        </w:rPr>
        <w:t>71.41</w:t>
      </w:r>
      <w:r>
        <w:rPr>
          <w:rFonts w:hint="eastAsia" w:ascii="仿宋_GB2312" w:hAnsi="仿宋_GB2312" w:eastAsia="仿宋_GB2312" w:cs="仿宋_GB2312"/>
          <w:color w:val="auto"/>
          <w:spacing w:val="0"/>
          <w:sz w:val="32"/>
          <w:szCs w:val="32"/>
        </w:rPr>
        <w:t>万元，按照</w:t>
      </w:r>
      <w:r>
        <w:rPr>
          <w:rFonts w:hint="eastAsia" w:ascii="仿宋_GB2312" w:hAnsi="仿宋_GB2312" w:eastAsia="仿宋_GB2312" w:cs="仿宋_GB2312"/>
          <w:color w:val="auto"/>
          <w:spacing w:val="0"/>
          <w:sz w:val="32"/>
          <w:szCs w:val="32"/>
          <w:highlight w:val="none"/>
        </w:rPr>
        <w:t>《</w:t>
      </w:r>
      <w:r>
        <w:rPr>
          <w:rFonts w:hint="eastAsia" w:ascii="仿宋_GB2312" w:hAnsi="仿宋_GB2312" w:eastAsia="仿宋_GB2312" w:cs="仿宋_GB2312"/>
          <w:color w:val="auto"/>
          <w:spacing w:val="0"/>
          <w:sz w:val="32"/>
          <w:szCs w:val="32"/>
          <w:lang w:eastAsia="zh-CN"/>
        </w:rPr>
        <w:t>地区</w:t>
      </w:r>
      <w:r>
        <w:rPr>
          <w:rFonts w:hint="eastAsia" w:ascii="仿宋_GB2312" w:hAnsi="仿宋_GB2312" w:eastAsia="仿宋_GB2312" w:cs="仿宋_GB2312"/>
          <w:color w:val="auto"/>
          <w:spacing w:val="0"/>
          <w:kern w:val="0"/>
          <w:sz w:val="32"/>
          <w:szCs w:val="32"/>
          <w:highlight w:val="none"/>
          <w:lang w:val="en-US" w:eastAsia="zh-CN"/>
        </w:rPr>
        <w:t>驻村工作</w:t>
      </w:r>
      <w:r>
        <w:rPr>
          <w:rFonts w:hint="eastAsia" w:ascii="仿宋_GB2312" w:hAnsi="仿宋_GB2312" w:eastAsia="仿宋_GB2312" w:cs="仿宋_GB2312"/>
          <w:color w:val="auto"/>
          <w:spacing w:val="0"/>
          <w:sz w:val="32"/>
          <w:szCs w:val="32"/>
        </w:rPr>
        <w:t>专项资金管理办法</w:t>
      </w:r>
      <w:r>
        <w:rPr>
          <w:rFonts w:hint="eastAsia" w:ascii="仿宋_GB2312" w:hAnsi="仿宋_GB2312" w:eastAsia="仿宋_GB2312" w:cs="仿宋_GB2312"/>
          <w:color w:val="auto"/>
          <w:spacing w:val="0"/>
          <w:sz w:val="32"/>
          <w:szCs w:val="32"/>
          <w:highlight w:val="none"/>
        </w:rPr>
        <w:t>》</w:t>
      </w:r>
      <w:r>
        <w:rPr>
          <w:rFonts w:hint="eastAsia" w:ascii="仿宋_GB2312" w:hAnsi="仿宋_GB2312" w:eastAsia="仿宋_GB2312" w:cs="仿宋_GB2312"/>
          <w:color w:val="auto"/>
          <w:spacing w:val="0"/>
          <w:sz w:val="32"/>
          <w:szCs w:val="32"/>
        </w:rPr>
        <w:t>及单位财务制度等相关规定，资金支出符合</w:t>
      </w:r>
      <w:r>
        <w:rPr>
          <w:rFonts w:hint="eastAsia" w:ascii="仿宋_GB2312" w:hAnsi="仿宋_GB2312" w:eastAsia="仿宋_GB2312" w:cs="仿宋_GB2312"/>
          <w:color w:val="auto"/>
          <w:spacing w:val="0"/>
          <w:kern w:val="0"/>
          <w:sz w:val="32"/>
          <w:szCs w:val="32"/>
          <w:highlight w:val="none"/>
          <w:lang w:val="en-US" w:eastAsia="zh-CN"/>
        </w:rPr>
        <w:t>驻村工作</w:t>
      </w:r>
      <w:r>
        <w:rPr>
          <w:rFonts w:hint="eastAsia" w:ascii="仿宋_GB2312" w:hAnsi="仿宋_GB2312" w:eastAsia="仿宋_GB2312" w:cs="仿宋_GB2312"/>
          <w:color w:val="auto"/>
          <w:spacing w:val="0"/>
          <w:sz w:val="32"/>
          <w:szCs w:val="32"/>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color w:val="auto"/>
          <w:spacing w:val="0"/>
          <w:kern w:val="0"/>
          <w:sz w:val="32"/>
          <w:szCs w:val="32"/>
          <w:highlight w:val="none"/>
          <w:lang w:val="en-US" w:eastAsia="zh-CN"/>
        </w:rPr>
        <w:t>驻村工作</w:t>
      </w:r>
      <w:r>
        <w:rPr>
          <w:rFonts w:hint="eastAsia" w:ascii="仿宋_GB2312" w:hAnsi="仿宋_GB2312" w:eastAsia="仿宋_GB2312" w:cs="仿宋_GB2312"/>
          <w:color w:val="auto"/>
          <w:spacing w:val="0"/>
          <w:sz w:val="32"/>
          <w:szCs w:val="32"/>
        </w:rPr>
        <w:t>的拨付程序，认真审核项目实施各阶段的相关材料和手续，根据项目实施进展情况拨付资金。</w:t>
      </w:r>
    </w:p>
    <w:p>
      <w:pPr>
        <w:keepNext w:val="0"/>
        <w:keepLines w:val="0"/>
        <w:pageBreakBefore w:val="0"/>
        <w:numPr>
          <w:ilvl w:val="0"/>
          <w:numId w:val="2"/>
        </w:numPr>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预算资金来源及使用情况</w:t>
      </w:r>
      <w:bookmarkStart w:id="0" w:name="page10"/>
      <w:bookmarkEnd w:id="0"/>
    </w:p>
    <w:p>
      <w:pPr>
        <w:keepNext w:val="0"/>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b w:val="0"/>
          <w:bCs w:val="0"/>
          <w:color w:val="auto"/>
          <w:spacing w:val="0"/>
          <w:kern w:val="2"/>
          <w:sz w:val="32"/>
          <w:szCs w:val="32"/>
        </w:rPr>
      </w:pPr>
      <w:r>
        <w:rPr>
          <w:rFonts w:hint="eastAsia" w:ascii="仿宋_GB2312" w:hAnsi="仿宋_GB2312" w:eastAsia="仿宋_GB2312" w:cs="仿宋_GB2312"/>
          <w:b w:val="0"/>
          <w:bCs w:val="0"/>
          <w:color w:val="auto"/>
          <w:spacing w:val="0"/>
          <w:kern w:val="2"/>
          <w:sz w:val="32"/>
          <w:szCs w:val="32"/>
        </w:rPr>
        <w:t>项目预算资金来源于</w:t>
      </w:r>
      <w:r>
        <w:rPr>
          <w:rFonts w:hint="eastAsia" w:ascii="仿宋_GB2312" w:hAnsi="仿宋_GB2312" w:eastAsia="仿宋_GB2312" w:cs="仿宋_GB2312"/>
          <w:b w:val="0"/>
          <w:bCs w:val="0"/>
          <w:color w:val="auto"/>
          <w:spacing w:val="0"/>
          <w:kern w:val="2"/>
          <w:sz w:val="32"/>
          <w:szCs w:val="32"/>
          <w:lang w:val="en-US" w:eastAsia="zh-CN"/>
        </w:rPr>
        <w:t>塔地财预</w:t>
      </w:r>
      <w:r>
        <w:rPr>
          <w:rFonts w:hint="eastAsia" w:ascii="仿宋_GB2312" w:hAnsi="仿宋_GB2312" w:eastAsia="仿宋_GB2312" w:cs="仿宋_GB2312"/>
          <w:b w:val="0"/>
          <w:bCs w:val="0"/>
          <w:color w:val="auto"/>
          <w:spacing w:val="0"/>
          <w:kern w:val="2"/>
          <w:sz w:val="32"/>
          <w:szCs w:val="32"/>
          <w:highlight w:val="none"/>
        </w:rPr>
        <w:t>（20</w:t>
      </w:r>
      <w:r>
        <w:rPr>
          <w:rFonts w:hint="eastAsia" w:ascii="仿宋_GB2312" w:hAnsi="仿宋_GB2312" w:eastAsia="仿宋_GB2312" w:cs="仿宋_GB2312"/>
          <w:b w:val="0"/>
          <w:bCs w:val="0"/>
          <w:color w:val="auto"/>
          <w:spacing w:val="0"/>
          <w:kern w:val="2"/>
          <w:sz w:val="32"/>
          <w:szCs w:val="32"/>
          <w:highlight w:val="none"/>
          <w:lang w:val="en-US" w:eastAsia="zh-CN"/>
        </w:rPr>
        <w:t>20</w:t>
      </w:r>
      <w:r>
        <w:rPr>
          <w:rFonts w:hint="eastAsia" w:ascii="仿宋_GB2312" w:hAnsi="仿宋_GB2312" w:eastAsia="仿宋_GB2312" w:cs="仿宋_GB2312"/>
          <w:b w:val="0"/>
          <w:bCs w:val="0"/>
          <w:color w:val="auto"/>
          <w:spacing w:val="0"/>
          <w:kern w:val="2"/>
          <w:sz w:val="32"/>
          <w:szCs w:val="32"/>
          <w:highlight w:val="none"/>
        </w:rPr>
        <w:t>）</w:t>
      </w:r>
      <w:r>
        <w:rPr>
          <w:rFonts w:hint="eastAsia" w:ascii="仿宋_GB2312" w:hAnsi="仿宋_GB2312" w:eastAsia="仿宋_GB2312" w:cs="仿宋_GB2312"/>
          <w:b w:val="0"/>
          <w:bCs w:val="0"/>
          <w:color w:val="auto"/>
          <w:spacing w:val="0"/>
          <w:kern w:val="2"/>
          <w:sz w:val="32"/>
          <w:szCs w:val="32"/>
          <w:highlight w:val="none"/>
          <w:lang w:val="en-US" w:eastAsia="zh-CN"/>
        </w:rPr>
        <w:t>0509号</w:t>
      </w:r>
      <w:r>
        <w:rPr>
          <w:rFonts w:hint="eastAsia" w:ascii="仿宋_GB2312" w:hAnsi="仿宋_GB2312" w:eastAsia="仿宋_GB2312" w:cs="仿宋_GB2312"/>
          <w:b w:val="0"/>
          <w:bCs w:val="0"/>
          <w:color w:val="auto"/>
          <w:spacing w:val="0"/>
          <w:kern w:val="2"/>
          <w:sz w:val="32"/>
          <w:szCs w:val="32"/>
        </w:rPr>
        <w:t>文件中批复的资金，项目资金到位</w:t>
      </w:r>
      <w:r>
        <w:rPr>
          <w:rFonts w:hint="eastAsia" w:ascii="仿宋_GB2312" w:hAnsi="仿宋_GB2312" w:eastAsia="仿宋_GB2312" w:cs="仿宋_GB2312"/>
          <w:b w:val="0"/>
          <w:bCs w:val="0"/>
          <w:color w:val="auto"/>
          <w:spacing w:val="0"/>
          <w:kern w:val="2"/>
          <w:sz w:val="32"/>
          <w:szCs w:val="32"/>
          <w:lang w:val="en-US" w:eastAsia="zh-CN"/>
        </w:rPr>
        <w:t>71.41</w:t>
      </w:r>
      <w:r>
        <w:rPr>
          <w:rFonts w:hint="eastAsia" w:ascii="仿宋_GB2312" w:hAnsi="仿宋_GB2312" w:eastAsia="仿宋_GB2312" w:cs="仿宋_GB2312"/>
          <w:b w:val="0"/>
          <w:bCs w:val="0"/>
          <w:color w:val="auto"/>
          <w:spacing w:val="0"/>
          <w:kern w:val="2"/>
          <w:sz w:val="32"/>
          <w:szCs w:val="32"/>
        </w:rPr>
        <w:t>万元，用于支付项目实施进程中的各项费用。</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color w:val="auto"/>
          <w:spacing w:val="0"/>
          <w:sz w:val="32"/>
          <w:szCs w:val="32"/>
        </w:rPr>
      </w:pPr>
      <w:r>
        <w:rPr>
          <w:rFonts w:hint="eastAsia" w:ascii="楷体_GB2312" w:hAnsi="楷体_GB2312" w:eastAsia="楷体_GB2312" w:cs="楷体_GB2312"/>
          <w:b/>
          <w:bCs/>
          <w:color w:val="auto"/>
          <w:spacing w:val="0"/>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atLeast"/>
        <w:ind w:firstLine="640"/>
        <w:textAlignment w:val="auto"/>
        <w:outlineLvl w:val="9"/>
        <w:rPr>
          <w:rFonts w:hint="eastAsia" w:ascii="仿宋_GB2312" w:hAnsi="仿宋_GB2312" w:eastAsia="仿宋_GB2312" w:cs="仿宋_GB2312"/>
          <w:b/>
          <w:bCs/>
          <w:color w:val="auto"/>
          <w:spacing w:val="0"/>
          <w:sz w:val="32"/>
          <w:szCs w:val="32"/>
          <w:lang w:eastAsia="zh-CN"/>
        </w:rPr>
      </w:pPr>
      <w:r>
        <w:rPr>
          <w:rFonts w:hint="eastAsia" w:ascii="仿宋_GB2312" w:hAnsi="仿宋_GB2312" w:eastAsia="仿宋_GB2312" w:cs="仿宋_GB2312"/>
          <w:b/>
          <w:bCs/>
          <w:color w:val="auto"/>
          <w:spacing w:val="0"/>
          <w:sz w:val="32"/>
          <w:szCs w:val="32"/>
        </w:rPr>
        <w:t>1、总体目标</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val="en-US" w:eastAsia="zh-CN"/>
        </w:rPr>
        <w:t>进一步提升驻村工作效能，优化驻村办公室机构设置，规范运行机制，稳定干部队伍，驻村工作经费主要用于开展指导调研、互学互促、驻村干部培训、推进会及其他会议，以及购买日常办公用品、保证车辆运转等，保障驻村各类业务工作正常运行。</w:t>
      </w:r>
    </w:p>
    <w:p>
      <w:pPr>
        <w:keepNext w:val="0"/>
        <w:keepLines w:val="0"/>
        <w:pageBreakBefore w:val="0"/>
        <w:kinsoku/>
        <w:wordWrap/>
        <w:overflowPunct/>
        <w:topLinePunct w:val="0"/>
        <w:autoSpaceDE/>
        <w:autoSpaceDN/>
        <w:bidi w:val="0"/>
        <w:adjustRightInd/>
        <w:snapToGrid/>
        <w:spacing w:line="560" w:lineRule="atLeast"/>
        <w:ind w:firstLine="643" w:firstLineChars="200"/>
        <w:textAlignment w:val="auto"/>
        <w:rPr>
          <w:rFonts w:ascii="仿宋_GB2312" w:hAnsi="仿宋_GB2312" w:eastAsia="仿宋_GB2312" w:cs="仿宋_GB2312"/>
          <w:b/>
          <w:bCs/>
          <w:color w:val="auto"/>
          <w:spacing w:val="0"/>
          <w:sz w:val="32"/>
          <w:szCs w:val="32"/>
        </w:rPr>
      </w:pPr>
      <w:r>
        <w:rPr>
          <w:rFonts w:hint="eastAsia" w:ascii="仿宋_GB2312" w:hAnsi="仿宋_GB2312" w:eastAsia="仿宋_GB2312" w:cs="仿宋_GB2312"/>
          <w:b/>
          <w:bCs/>
          <w:color w:val="auto"/>
          <w:spacing w:val="0"/>
          <w:sz w:val="32"/>
          <w:szCs w:val="32"/>
        </w:rPr>
        <w:t>2、阶段性目标</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（1）前期准备：根</w:t>
      </w:r>
      <w:r>
        <w:rPr>
          <w:rFonts w:hint="eastAsia" w:ascii="仿宋_GB2312" w:hAnsi="仿宋_GB2312" w:eastAsia="仿宋_GB2312" w:cs="仿宋_GB2312"/>
          <w:color w:val="auto"/>
          <w:spacing w:val="0"/>
          <w:sz w:val="32"/>
          <w:szCs w:val="32"/>
          <w:highlight w:val="none"/>
        </w:rPr>
        <w:t>据</w:t>
      </w:r>
      <w:r>
        <w:rPr>
          <w:rFonts w:hint="eastAsia" w:ascii="仿宋_GB2312" w:hAnsi="仿宋_GB2312" w:eastAsia="仿宋_GB2312" w:cs="仿宋_GB2312"/>
          <w:color w:val="auto"/>
          <w:spacing w:val="0"/>
          <w:sz w:val="32"/>
          <w:szCs w:val="32"/>
        </w:rPr>
        <w:t>《</w:t>
      </w:r>
      <w:r>
        <w:rPr>
          <w:rFonts w:hint="eastAsia" w:ascii="仿宋_GB2312" w:hAnsi="仿宋_GB2312" w:eastAsia="仿宋_GB2312" w:cs="仿宋_GB2312"/>
          <w:color w:val="auto"/>
          <w:spacing w:val="0"/>
          <w:sz w:val="32"/>
          <w:szCs w:val="32"/>
          <w:lang w:eastAsia="zh-CN"/>
        </w:rPr>
        <w:t>地区</w:t>
      </w:r>
      <w:r>
        <w:rPr>
          <w:rFonts w:hint="eastAsia" w:ascii="仿宋_GB2312" w:hAnsi="仿宋_GB2312" w:eastAsia="仿宋_GB2312" w:cs="仿宋_GB2312"/>
          <w:color w:val="auto"/>
          <w:spacing w:val="0"/>
          <w:kern w:val="0"/>
          <w:sz w:val="32"/>
          <w:szCs w:val="32"/>
          <w:highlight w:val="none"/>
          <w:lang w:val="en-US" w:eastAsia="zh-CN"/>
        </w:rPr>
        <w:t>驻村工作</w:t>
      </w:r>
      <w:r>
        <w:rPr>
          <w:rFonts w:hint="eastAsia" w:ascii="仿宋_GB2312" w:hAnsi="仿宋_GB2312" w:eastAsia="仿宋_GB2312" w:cs="仿宋_GB2312"/>
          <w:color w:val="auto"/>
          <w:spacing w:val="0"/>
          <w:sz w:val="32"/>
          <w:szCs w:val="32"/>
        </w:rPr>
        <w:t>专项</w:t>
      </w:r>
      <w:r>
        <w:rPr>
          <w:rFonts w:hint="eastAsia" w:ascii="仿宋_GB2312" w:hAnsi="仿宋_GB2312" w:eastAsia="仿宋_GB2312" w:cs="仿宋_GB2312"/>
          <w:color w:val="auto"/>
          <w:spacing w:val="0"/>
          <w:sz w:val="32"/>
          <w:szCs w:val="32"/>
          <w:lang w:eastAsia="zh-CN"/>
        </w:rPr>
        <w:t>资金分配使用</w:t>
      </w:r>
      <w:r>
        <w:rPr>
          <w:rFonts w:hint="eastAsia" w:ascii="仿宋_GB2312" w:hAnsi="仿宋_GB2312" w:eastAsia="仿宋_GB2312" w:cs="仿宋_GB2312"/>
          <w:color w:val="auto"/>
          <w:spacing w:val="0"/>
          <w:sz w:val="32"/>
          <w:szCs w:val="32"/>
        </w:rPr>
        <w:t>方案</w:t>
      </w:r>
      <w:r>
        <w:rPr>
          <w:rFonts w:hint="eastAsia" w:ascii="仿宋_GB2312" w:hAnsi="仿宋_GB2312" w:eastAsia="仿宋_GB2312" w:cs="仿宋_GB2312"/>
          <w:color w:val="auto"/>
          <w:spacing w:val="0"/>
          <w:sz w:val="32"/>
          <w:szCs w:val="32"/>
          <w:highlight w:val="none"/>
        </w:rPr>
        <w:t>》</w:t>
      </w:r>
      <w:r>
        <w:rPr>
          <w:rFonts w:hint="eastAsia" w:ascii="仿宋_GB2312" w:hAnsi="仿宋_GB2312" w:eastAsia="仿宋_GB2312" w:cs="仿宋_GB2312"/>
          <w:color w:val="auto"/>
          <w:spacing w:val="0"/>
          <w:sz w:val="32"/>
          <w:szCs w:val="32"/>
        </w:rPr>
        <w:t>，通过制定项目实施方案，经项目负责人审核通过后，有序开展后续工程。</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（2）组织实施：资金一到位，立即根据项目要求实施项目。项目责任人按照</w:t>
      </w:r>
      <w:r>
        <w:rPr>
          <w:rFonts w:hint="eastAsia" w:ascii="仿宋_GB2312" w:hAnsi="仿宋_GB2312" w:eastAsia="仿宋_GB2312" w:cs="仿宋_GB2312"/>
          <w:color w:val="auto"/>
          <w:spacing w:val="0"/>
          <w:sz w:val="32"/>
          <w:szCs w:val="32"/>
          <w:highlight w:val="none"/>
        </w:rPr>
        <w:t>《</w:t>
      </w:r>
      <w:r>
        <w:rPr>
          <w:rFonts w:hint="eastAsia" w:ascii="仿宋_GB2312" w:hAnsi="仿宋_GB2312" w:eastAsia="仿宋_GB2312" w:cs="仿宋_GB2312"/>
          <w:color w:val="auto"/>
          <w:spacing w:val="0"/>
          <w:sz w:val="32"/>
          <w:szCs w:val="32"/>
          <w:lang w:eastAsia="zh-CN"/>
        </w:rPr>
        <w:t>地区</w:t>
      </w:r>
      <w:r>
        <w:rPr>
          <w:rFonts w:hint="eastAsia" w:ascii="仿宋_GB2312" w:hAnsi="仿宋_GB2312" w:eastAsia="仿宋_GB2312" w:cs="仿宋_GB2312"/>
          <w:color w:val="auto"/>
          <w:spacing w:val="0"/>
          <w:kern w:val="0"/>
          <w:sz w:val="32"/>
          <w:szCs w:val="32"/>
          <w:highlight w:val="none"/>
          <w:lang w:val="en-US" w:eastAsia="zh-CN"/>
        </w:rPr>
        <w:t>驻村工作</w:t>
      </w:r>
      <w:r>
        <w:rPr>
          <w:rFonts w:hint="eastAsia" w:ascii="仿宋_GB2312" w:hAnsi="仿宋_GB2312" w:eastAsia="仿宋_GB2312" w:cs="仿宋_GB2312"/>
          <w:color w:val="auto"/>
          <w:spacing w:val="0"/>
          <w:sz w:val="32"/>
          <w:szCs w:val="32"/>
        </w:rPr>
        <w:t>专项</w:t>
      </w:r>
      <w:r>
        <w:rPr>
          <w:rFonts w:hint="eastAsia" w:ascii="仿宋_GB2312" w:hAnsi="仿宋_GB2312" w:eastAsia="仿宋_GB2312" w:cs="仿宋_GB2312"/>
          <w:color w:val="auto"/>
          <w:spacing w:val="0"/>
          <w:sz w:val="32"/>
          <w:szCs w:val="32"/>
          <w:lang w:eastAsia="zh-CN"/>
        </w:rPr>
        <w:t>资金分配使用</w:t>
      </w:r>
      <w:r>
        <w:rPr>
          <w:rFonts w:hint="eastAsia" w:ascii="仿宋_GB2312" w:hAnsi="仿宋_GB2312" w:eastAsia="仿宋_GB2312" w:cs="仿宋_GB2312"/>
          <w:color w:val="auto"/>
          <w:spacing w:val="0"/>
          <w:sz w:val="32"/>
          <w:szCs w:val="32"/>
        </w:rPr>
        <w:t>方案</w:t>
      </w:r>
      <w:r>
        <w:rPr>
          <w:rFonts w:hint="eastAsia" w:ascii="仿宋_GB2312" w:hAnsi="仿宋_GB2312" w:eastAsia="仿宋_GB2312" w:cs="仿宋_GB2312"/>
          <w:color w:val="auto"/>
          <w:spacing w:val="0"/>
          <w:sz w:val="32"/>
          <w:szCs w:val="32"/>
          <w:highlight w:val="none"/>
        </w:rPr>
        <w:t>》</w:t>
      </w:r>
      <w:r>
        <w:rPr>
          <w:rFonts w:hint="eastAsia" w:ascii="仿宋_GB2312" w:hAnsi="仿宋_GB2312" w:eastAsia="仿宋_GB2312" w:cs="仿宋_GB2312"/>
          <w:color w:val="auto"/>
          <w:spacing w:val="0"/>
          <w:sz w:val="32"/>
          <w:szCs w:val="32"/>
        </w:rPr>
        <w:t>要求</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rPr>
        <w:t>逐一进行项目部署安排，提高项目质量及效率性。</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黑体" w:hAnsi="黑体" w:eastAsia="黑体"/>
          <w:spacing w:val="0"/>
          <w:sz w:val="32"/>
          <w:szCs w:val="32"/>
        </w:rPr>
      </w:pPr>
      <w:r>
        <w:rPr>
          <w:rFonts w:hint="eastAsia" w:ascii="黑体" w:hAnsi="黑体" w:eastAsia="黑体"/>
          <w:spacing w:val="0"/>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pacing w:val="0"/>
          <w:sz w:val="32"/>
          <w:szCs w:val="32"/>
        </w:rPr>
      </w:pPr>
      <w:r>
        <w:rPr>
          <w:rFonts w:hint="eastAsia" w:ascii="楷体_GB2312" w:hAnsi="楷体_GB2312" w:eastAsia="楷体_GB2312" w:cs="楷体_GB2312"/>
          <w:b/>
          <w:bCs/>
          <w:spacing w:val="0"/>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val="0"/>
          <w:bCs w:val="0"/>
          <w:color w:val="auto"/>
          <w:spacing w:val="0"/>
          <w:lang w:eastAsia="zh-CN"/>
        </w:rPr>
      </w:pPr>
      <w:r>
        <w:rPr>
          <w:rFonts w:hint="eastAsia" w:ascii="仿宋_GB2312" w:hAnsi="仿宋_GB2312" w:eastAsia="仿宋_GB2312" w:cs="仿宋_GB2312"/>
          <w:b/>
          <w:bCs/>
          <w:color w:val="auto"/>
          <w:spacing w:val="0"/>
        </w:rPr>
        <w:t>1、绩效评价的目的</w:t>
      </w:r>
    </w:p>
    <w:p>
      <w:pPr>
        <w:keepNext w:val="0"/>
        <w:keepLines w:val="0"/>
        <w:pageBreakBefore w:val="0"/>
        <w:widowControl w:val="0"/>
        <w:kinsoku/>
        <w:wordWrap/>
        <w:overflowPunct/>
        <w:topLinePunct w:val="0"/>
        <w:autoSpaceDE/>
        <w:autoSpaceDN/>
        <w:bidi w:val="0"/>
        <w:adjustRightInd/>
        <w:snapToGrid/>
        <w:spacing w:line="560" w:lineRule="atLeast"/>
        <w:ind w:firstLine="640"/>
        <w:textAlignment w:val="auto"/>
        <w:outlineLvl w:val="9"/>
        <w:rPr>
          <w:rFonts w:hint="eastAsia" w:ascii="仿宋_GB2312" w:hAnsi="仿宋_GB2312" w:eastAsia="仿宋_GB2312" w:cs="仿宋_GB2312"/>
          <w:color w:val="auto"/>
          <w:spacing w:val="0"/>
          <w:sz w:val="32"/>
          <w:szCs w:val="32"/>
          <w:lang w:eastAsia="zh-CN"/>
        </w:rPr>
      </w:pPr>
      <w:r>
        <w:rPr>
          <w:rFonts w:hint="eastAsia" w:ascii="仿宋_GB2312" w:hAnsi="仿宋_GB2312" w:eastAsia="仿宋_GB2312" w:cs="仿宋_GB2312"/>
          <w:color w:val="auto"/>
          <w:spacing w:val="0"/>
          <w:sz w:val="32"/>
          <w:szCs w:val="32"/>
          <w:lang w:val="en-US" w:eastAsia="zh-CN"/>
        </w:rPr>
        <w:t>通过实施绩效评价，以遵循“科学公正、统筹兼顾、激励约束、公开透明”为原则，依照“统一标准、优化流程、结果导向、形成特色”的评价思路，充分调动花钱和办事紧密结合的积极性主动性，促使拿出更多时间和精力加强政策规划和精准编制预算，对政策实施结果跟踪问效，推动优化财政资源配置、依据既定的评价体系，基于预期目标实现程度，全面分析和综合评价驻村工作经费的分配使用和管理情况，及时总结经验、发现问题、分析原因、提出措施，提高资金使用效益，努力实现少花钱、多办事、办好事，充分</w:t>
      </w:r>
      <w:r>
        <w:rPr>
          <w:rFonts w:hint="eastAsia" w:ascii="仿宋_GB2312" w:hAnsi="仿宋_GB2312" w:eastAsia="仿宋_GB2312" w:cs="仿宋_GB2312"/>
          <w:color w:val="auto"/>
          <w:spacing w:val="0"/>
          <w:sz w:val="32"/>
          <w:szCs w:val="32"/>
        </w:rPr>
        <w:t>发挥财政调控功能</w:t>
      </w:r>
      <w:r>
        <w:rPr>
          <w:rFonts w:hint="eastAsia" w:ascii="仿宋_GB2312" w:hAnsi="仿宋_GB2312" w:eastAsia="仿宋_GB2312" w:cs="仿宋_GB2312"/>
          <w:color w:val="auto"/>
          <w:spacing w:val="0"/>
          <w:sz w:val="32"/>
          <w:szCs w:val="32"/>
          <w:lang w:val="en-US" w:eastAsia="zh-CN"/>
        </w:rPr>
        <w:t>和</w:t>
      </w:r>
      <w:r>
        <w:rPr>
          <w:rFonts w:hint="eastAsia" w:ascii="仿宋_GB2312" w:hAnsi="仿宋_GB2312" w:eastAsia="仿宋_GB2312" w:cs="仿宋_GB2312"/>
          <w:color w:val="auto"/>
          <w:spacing w:val="0"/>
          <w:sz w:val="32"/>
          <w:szCs w:val="32"/>
        </w:rPr>
        <w:t>提高财政资金安排科学性</w:t>
      </w:r>
      <w:r>
        <w:rPr>
          <w:rFonts w:hint="eastAsia" w:ascii="仿宋_GB2312" w:hAnsi="仿宋_GB2312" w:eastAsia="仿宋_GB2312" w:cs="仿宋_GB2312"/>
          <w:color w:val="auto"/>
          <w:spacing w:val="0"/>
          <w:sz w:val="32"/>
          <w:szCs w:val="32"/>
          <w:lang w:eastAsia="zh-CN"/>
        </w:rPr>
        <w:t>。</w:t>
      </w:r>
    </w:p>
    <w:p>
      <w:pPr>
        <w:keepNext w:val="0"/>
        <w:keepLines w:val="0"/>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在实施前向项目负责人提供财政支出绩效方面的资金管理信息，促进项目支出严格按照资金管理规定进行。</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（2）绩效管理财政支出运行</w:t>
      </w:r>
      <w:r>
        <w:rPr>
          <w:rFonts w:hint="eastAsia" w:ascii="仿宋_GB2312" w:hAnsi="仿宋_GB2312" w:eastAsia="仿宋_GB2312" w:cs="仿宋_GB2312"/>
          <w:spacing w:val="0"/>
          <w:sz w:val="32"/>
          <w:szCs w:val="32"/>
          <w:lang w:val="en-US" w:eastAsia="zh-CN"/>
        </w:rPr>
        <w:t>过程中</w:t>
      </w:r>
      <w:r>
        <w:rPr>
          <w:rFonts w:hint="eastAsia" w:ascii="仿宋_GB2312" w:hAnsi="仿宋_GB2312" w:eastAsia="仿宋_GB2312" w:cs="仿宋_GB2312"/>
          <w:spacing w:val="0"/>
          <w:sz w:val="32"/>
          <w:szCs w:val="32"/>
        </w:rPr>
        <w:t>提供及时、有效的信息。</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综合来看，通过开展有效的财政支出绩效评价管理，达到改进预算管理、控制节约成本，提高预算资金使用效益的目的。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b w:val="0"/>
          <w:bCs w:val="0"/>
          <w:spacing w:val="0"/>
          <w:sz w:val="32"/>
          <w:szCs w:val="32"/>
          <w:lang w:eastAsia="zh-CN"/>
        </w:rPr>
      </w:pPr>
      <w:r>
        <w:rPr>
          <w:rFonts w:hint="eastAsia" w:ascii="仿宋_GB2312" w:hAnsi="仿宋_GB2312" w:eastAsia="仿宋_GB2312" w:cs="仿宋_GB2312"/>
          <w:b w:val="0"/>
          <w:bCs w:val="0"/>
          <w:spacing w:val="0"/>
          <w:sz w:val="32"/>
          <w:szCs w:val="32"/>
          <w:lang w:val="en-US" w:eastAsia="zh-CN"/>
        </w:rPr>
        <w:t>2、</w:t>
      </w:r>
      <w:r>
        <w:rPr>
          <w:rFonts w:hint="eastAsia" w:ascii="仿宋_GB2312" w:hAnsi="仿宋_GB2312" w:eastAsia="仿宋_GB2312" w:cs="仿宋_GB2312"/>
          <w:b w:val="0"/>
          <w:bCs w:val="0"/>
          <w:spacing w:val="0"/>
          <w:sz w:val="32"/>
          <w:szCs w:val="32"/>
        </w:rPr>
        <w:t>绩效评价的对象</w:t>
      </w:r>
      <w:r>
        <w:rPr>
          <w:rFonts w:hint="eastAsia" w:ascii="仿宋_GB2312" w:hAnsi="仿宋_GB2312" w:eastAsia="仿宋_GB2312" w:cs="仿宋_GB2312"/>
          <w:b w:val="0"/>
          <w:bCs w:val="0"/>
          <w:spacing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641" w:leftChars="0"/>
        <w:textAlignment w:val="auto"/>
        <w:outlineLvl w:val="9"/>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地区驻村办公室工作经费项目。</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spacing w:val="0"/>
          <w:highlight w:val="none"/>
        </w:rPr>
      </w:pPr>
      <w:r>
        <w:rPr>
          <w:rFonts w:hint="eastAsia" w:ascii="仿宋_GB2312" w:hAnsi="仿宋_GB2312" w:eastAsia="仿宋_GB2312" w:cs="仿宋_GB2312"/>
          <w:b w:val="0"/>
          <w:bCs w:val="0"/>
          <w:spacing w:val="0"/>
          <w:highlight w:val="none"/>
        </w:rPr>
        <w:t>3、绩效评价的范围</w:t>
      </w:r>
    </w:p>
    <w:p>
      <w:pPr>
        <w:keepNext w:val="0"/>
        <w:keepLines w:val="0"/>
        <w:pageBreakBefore w:val="0"/>
        <w:widowControl w:val="0"/>
        <w:kinsoku/>
        <w:wordWrap/>
        <w:overflowPunct/>
        <w:topLinePunct w:val="0"/>
        <w:autoSpaceDE/>
        <w:autoSpaceDN/>
        <w:bidi w:val="0"/>
        <w:adjustRightInd/>
        <w:snapToGrid/>
        <w:spacing w:line="560" w:lineRule="atLeast"/>
        <w:ind w:firstLine="640"/>
        <w:textAlignment w:val="auto"/>
        <w:outlineLvl w:val="9"/>
        <w:rPr>
          <w:rFonts w:hint="default" w:ascii="仿宋_GB2312" w:hAnsi="仿宋_GB2312" w:eastAsia="仿宋_GB2312" w:cs="仿宋_GB2312"/>
          <w:spacing w:val="0"/>
          <w:sz w:val="32"/>
          <w:szCs w:val="32"/>
          <w:highlight w:val="none"/>
          <w:lang w:val="en-US"/>
        </w:rPr>
      </w:pPr>
      <w:r>
        <w:rPr>
          <w:rFonts w:hint="eastAsia" w:ascii="仿宋_GB2312" w:hAnsi="仿宋_GB2312" w:eastAsia="仿宋_GB2312" w:cs="仿宋_GB2312"/>
          <w:spacing w:val="0"/>
          <w:sz w:val="32"/>
          <w:szCs w:val="32"/>
          <w:highlight w:val="none"/>
          <w:lang w:val="en-US" w:eastAsia="zh-CN"/>
        </w:rPr>
        <w:t>评价范围主要是服务地区驻村办公室各项工作，从驻村工作的决策、过程、产出、效益等方面进行评价。</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spacing w:val="0"/>
        </w:rPr>
      </w:pPr>
      <w:r>
        <w:rPr>
          <w:rFonts w:hint="eastAsia" w:ascii="楷体_GB2312" w:hAnsi="楷体_GB2312" w:eastAsia="楷体_GB2312" w:cs="楷体_GB2312"/>
          <w:b/>
          <w:bCs/>
          <w:spacing w:val="0"/>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spacing w:val="0"/>
        </w:rPr>
      </w:pPr>
      <w:r>
        <w:rPr>
          <w:rFonts w:hint="eastAsia" w:ascii="仿宋_GB2312" w:hAnsi="仿宋_GB2312" w:eastAsia="仿宋_GB2312" w:cs="仿宋_GB2312"/>
          <w:b/>
          <w:bCs/>
          <w:spacing w:val="0"/>
        </w:rPr>
        <w:t>1、绩效评价原则</w:t>
      </w:r>
    </w:p>
    <w:p>
      <w:pPr>
        <w:keepNext w:val="0"/>
        <w:keepLines w:val="0"/>
        <w:pageBreakBefore w:val="0"/>
        <w:widowControl w:val="0"/>
        <w:kinsoku/>
        <w:wordWrap/>
        <w:overflowPunct/>
        <w:topLinePunct w:val="0"/>
        <w:autoSpaceDE/>
        <w:autoSpaceDN/>
        <w:bidi w:val="0"/>
        <w:adjustRightInd/>
        <w:snapToGrid/>
        <w:spacing w:line="560" w:lineRule="atLeast"/>
        <w:ind w:firstLine="640"/>
        <w:textAlignment w:val="auto"/>
        <w:outlineLvl w:val="9"/>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color w:val="000000"/>
          <w:spacing w:val="0"/>
          <w:sz w:val="32"/>
          <w:szCs w:val="32"/>
        </w:rPr>
        <w:t>本次项目绩效评价遵循以下基本原则：</w:t>
      </w:r>
      <w:r>
        <w:rPr>
          <w:rFonts w:hint="eastAsia" w:ascii="仿宋_GB2312" w:hAnsi="仿宋_GB2312" w:eastAsia="仿宋_GB2312" w:cs="仿宋_GB2312"/>
          <w:spacing w:val="0"/>
          <w:sz w:val="32"/>
          <w:szCs w:val="32"/>
          <w:lang w:val="en-US" w:eastAsia="zh-CN"/>
        </w:rPr>
        <w:t>科学公正、统筹兼顾、激励约束、公开透明。</w:t>
      </w:r>
    </w:p>
    <w:p>
      <w:pPr>
        <w:keepNext w:val="0"/>
        <w:keepLines w:val="0"/>
        <w:pageBreakBefore w:val="0"/>
        <w:widowControl w:val="0"/>
        <w:kinsoku/>
        <w:wordWrap/>
        <w:overflowPunct/>
        <w:topLinePunct w:val="0"/>
        <w:autoSpaceDE/>
        <w:autoSpaceDN/>
        <w:bidi w:val="0"/>
        <w:adjustRightInd/>
        <w:snapToGrid/>
        <w:spacing w:line="560" w:lineRule="atLeast"/>
        <w:ind w:firstLine="640"/>
        <w:textAlignment w:val="auto"/>
        <w:outlineLvl w:val="9"/>
        <w:rPr>
          <w:rFonts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3）激励约束。绩效评价结果应与预算安排、政策调整、改进管理实质性挂钩，体现奖优罚劣和激励相容导向，有效要安排、低效要压减、无效要问责。（4）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spacing w:val="0"/>
        </w:rPr>
      </w:pPr>
      <w:r>
        <w:rPr>
          <w:rFonts w:hint="eastAsia" w:ascii="仿宋_GB2312" w:hAnsi="仿宋_GB2312" w:eastAsia="仿宋_GB2312" w:cs="仿宋_GB2312"/>
          <w:b/>
          <w:bCs/>
          <w:spacing w:val="0"/>
        </w:rPr>
        <w:t>2、评价指标体系</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0"/>
          <w:sz w:val="32"/>
          <w:szCs w:val="32"/>
        </w:rPr>
      </w:pPr>
      <w:r>
        <w:rPr>
          <w:rFonts w:hint="eastAsia" w:ascii="仿宋_GB2312" w:hAnsi="仿宋_GB2312" w:eastAsia="仿宋_GB2312" w:cs="仿宋_GB2312"/>
          <w:color w:val="000000"/>
          <w:spacing w:val="0"/>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（1）确定评价指标</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采用</w:t>
      </w:r>
      <w:r>
        <w:rPr>
          <w:rFonts w:hint="eastAsia" w:ascii="仿宋_GB2312" w:hAnsi="仿宋_GB2312" w:eastAsia="仿宋_GB2312" w:cs="仿宋_GB2312"/>
          <w:color w:val="000000"/>
          <w:spacing w:val="0"/>
          <w:sz w:val="32"/>
          <w:szCs w:val="32"/>
          <w:highlight w:val="none"/>
        </w:rPr>
        <w:t>层次分析法</w:t>
      </w:r>
      <w:r>
        <w:rPr>
          <w:rFonts w:hint="eastAsia" w:ascii="仿宋_GB2312" w:hAnsi="仿宋_GB2312" w:eastAsia="仿宋_GB2312" w:cs="仿宋_GB2312"/>
          <w:color w:val="000000"/>
          <w:spacing w:val="0"/>
          <w:sz w:val="32"/>
          <w:szCs w:val="32"/>
        </w:rPr>
        <w:t>，建立评价指标体系。绩效评价将指标分为项目</w:t>
      </w:r>
      <w:r>
        <w:rPr>
          <w:rFonts w:hint="eastAsia" w:ascii="仿宋_GB2312" w:hAnsi="仿宋_GB2312" w:eastAsia="仿宋_GB2312" w:cs="仿宋_GB2312"/>
          <w:color w:val="000000"/>
          <w:spacing w:val="0"/>
          <w:sz w:val="32"/>
          <w:szCs w:val="32"/>
          <w:lang w:val="en-US" w:eastAsia="zh-CN"/>
        </w:rPr>
        <w:t>决策</w:t>
      </w:r>
      <w:r>
        <w:rPr>
          <w:rFonts w:hint="eastAsia" w:ascii="仿宋_GB2312" w:hAnsi="仿宋_GB2312" w:eastAsia="仿宋_GB2312" w:cs="仿宋_GB2312"/>
          <w:color w:val="000000"/>
          <w:spacing w:val="0"/>
          <w:sz w:val="32"/>
          <w:szCs w:val="32"/>
        </w:rPr>
        <w:t>、项目</w:t>
      </w:r>
      <w:r>
        <w:rPr>
          <w:rFonts w:hint="eastAsia" w:ascii="仿宋_GB2312" w:hAnsi="仿宋_GB2312" w:eastAsia="仿宋_GB2312" w:cs="仿宋_GB2312"/>
          <w:color w:val="000000"/>
          <w:spacing w:val="0"/>
          <w:sz w:val="32"/>
          <w:szCs w:val="32"/>
          <w:lang w:val="en-US" w:eastAsia="zh-CN"/>
        </w:rPr>
        <w:t>过程</w:t>
      </w:r>
      <w:r>
        <w:rPr>
          <w:rFonts w:hint="eastAsia" w:ascii="仿宋_GB2312" w:hAnsi="仿宋_GB2312" w:eastAsia="仿宋_GB2312" w:cs="仿宋_GB2312"/>
          <w:color w:val="000000"/>
          <w:spacing w:val="0"/>
          <w:sz w:val="32"/>
          <w:szCs w:val="32"/>
        </w:rPr>
        <w:t>、项目</w:t>
      </w:r>
      <w:r>
        <w:rPr>
          <w:rFonts w:hint="eastAsia" w:ascii="仿宋_GB2312" w:hAnsi="仿宋_GB2312" w:eastAsia="仿宋_GB2312" w:cs="仿宋_GB2312"/>
          <w:color w:val="000000"/>
          <w:spacing w:val="0"/>
          <w:sz w:val="32"/>
          <w:szCs w:val="32"/>
          <w:lang w:val="en-US" w:eastAsia="zh-CN"/>
        </w:rPr>
        <w:t>产出</w:t>
      </w:r>
      <w:r>
        <w:rPr>
          <w:rFonts w:hint="eastAsia" w:ascii="仿宋_GB2312" w:hAnsi="仿宋_GB2312" w:eastAsia="仿宋_GB2312" w:cs="仿宋_GB2312"/>
          <w:color w:val="000000"/>
          <w:spacing w:val="0"/>
          <w:sz w:val="32"/>
          <w:szCs w:val="32"/>
        </w:rPr>
        <w:t>、项目</w:t>
      </w:r>
      <w:r>
        <w:rPr>
          <w:rFonts w:hint="eastAsia" w:ascii="仿宋_GB2312" w:hAnsi="仿宋_GB2312" w:eastAsia="仿宋_GB2312" w:cs="仿宋_GB2312"/>
          <w:color w:val="000000"/>
          <w:spacing w:val="0"/>
          <w:sz w:val="32"/>
          <w:szCs w:val="32"/>
          <w:lang w:val="en-US" w:eastAsia="zh-CN"/>
        </w:rPr>
        <w:t>效益</w:t>
      </w:r>
      <w:r>
        <w:rPr>
          <w:rFonts w:hint="eastAsia" w:ascii="仿宋_GB2312" w:hAnsi="仿宋_GB2312" w:eastAsia="仿宋_GB2312" w:cs="仿宋_GB2312"/>
          <w:color w:val="000000"/>
          <w:spacing w:val="0"/>
          <w:sz w:val="32"/>
          <w:szCs w:val="32"/>
        </w:rPr>
        <w:t>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（2）确定权重</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0"/>
          <w:sz w:val="32"/>
          <w:szCs w:val="32"/>
          <w:lang w:eastAsia="zh-CN"/>
        </w:rPr>
      </w:pPr>
      <w:r>
        <w:rPr>
          <w:rFonts w:hint="eastAsia" w:ascii="仿宋_GB2312" w:hAnsi="仿宋_GB2312" w:eastAsia="仿宋_GB2312" w:cs="仿宋_GB2312"/>
          <w:color w:val="000000"/>
          <w:spacing w:val="0"/>
          <w:sz w:val="32"/>
          <w:szCs w:val="32"/>
        </w:rPr>
        <w:t>确定各个指标相对于项目总体绩效的权重分值。在绩效评价指标体系中，项目</w:t>
      </w:r>
      <w:r>
        <w:rPr>
          <w:rFonts w:hint="eastAsia" w:ascii="仿宋_GB2312" w:hAnsi="仿宋_GB2312" w:eastAsia="仿宋_GB2312" w:cs="仿宋_GB2312"/>
          <w:color w:val="000000"/>
          <w:spacing w:val="0"/>
          <w:sz w:val="32"/>
          <w:szCs w:val="32"/>
          <w:lang w:eastAsia="zh-CN"/>
        </w:rPr>
        <w:t>决策</w:t>
      </w:r>
      <w:r>
        <w:rPr>
          <w:rFonts w:hint="eastAsia" w:ascii="仿宋_GB2312" w:hAnsi="仿宋_GB2312" w:eastAsia="仿宋_GB2312" w:cs="仿宋_GB2312"/>
          <w:color w:val="000000"/>
          <w:spacing w:val="0"/>
          <w:sz w:val="32"/>
          <w:szCs w:val="32"/>
        </w:rPr>
        <w:t>权重为</w:t>
      </w:r>
      <w:r>
        <w:rPr>
          <w:rFonts w:hint="eastAsia" w:ascii="仿宋_GB2312" w:hAnsi="仿宋_GB2312" w:eastAsia="仿宋_GB2312" w:cs="仿宋_GB2312"/>
          <w:color w:val="000000"/>
          <w:spacing w:val="0"/>
          <w:sz w:val="32"/>
          <w:szCs w:val="32"/>
          <w:lang w:val="en-US" w:eastAsia="zh-CN"/>
        </w:rPr>
        <w:t>5%</w:t>
      </w:r>
      <w:r>
        <w:rPr>
          <w:rFonts w:hint="eastAsia" w:ascii="仿宋_GB2312" w:hAnsi="仿宋_GB2312" w:eastAsia="仿宋_GB2312" w:cs="仿宋_GB2312"/>
          <w:color w:val="000000"/>
          <w:spacing w:val="0"/>
          <w:sz w:val="32"/>
          <w:szCs w:val="32"/>
        </w:rPr>
        <w:t>，项目</w:t>
      </w:r>
      <w:r>
        <w:rPr>
          <w:rFonts w:hint="eastAsia" w:ascii="仿宋_GB2312" w:hAnsi="仿宋_GB2312" w:eastAsia="仿宋_GB2312" w:cs="仿宋_GB2312"/>
          <w:color w:val="000000"/>
          <w:spacing w:val="0"/>
          <w:sz w:val="32"/>
          <w:szCs w:val="32"/>
          <w:lang w:eastAsia="zh-CN"/>
        </w:rPr>
        <w:t>过程</w:t>
      </w:r>
      <w:r>
        <w:rPr>
          <w:rFonts w:hint="eastAsia" w:ascii="仿宋_GB2312" w:hAnsi="仿宋_GB2312" w:eastAsia="仿宋_GB2312" w:cs="仿宋_GB2312"/>
          <w:color w:val="000000"/>
          <w:spacing w:val="0"/>
          <w:sz w:val="32"/>
          <w:szCs w:val="32"/>
        </w:rPr>
        <w:t>权重值占</w:t>
      </w:r>
      <w:r>
        <w:rPr>
          <w:rFonts w:hint="eastAsia" w:ascii="仿宋_GB2312" w:hAnsi="仿宋_GB2312" w:eastAsia="仿宋_GB2312" w:cs="仿宋_GB2312"/>
          <w:color w:val="000000"/>
          <w:spacing w:val="0"/>
          <w:sz w:val="32"/>
          <w:szCs w:val="32"/>
          <w:lang w:val="en-US" w:eastAsia="zh-CN"/>
        </w:rPr>
        <w:t>5%</w:t>
      </w:r>
      <w:r>
        <w:rPr>
          <w:rFonts w:hint="eastAsia" w:ascii="仿宋_GB2312" w:hAnsi="仿宋_GB2312" w:eastAsia="仿宋_GB2312" w:cs="仿宋_GB2312"/>
          <w:color w:val="000000"/>
          <w:spacing w:val="0"/>
          <w:sz w:val="32"/>
          <w:szCs w:val="32"/>
        </w:rPr>
        <w:t>，项目</w:t>
      </w:r>
      <w:r>
        <w:rPr>
          <w:rFonts w:hint="eastAsia" w:ascii="仿宋_GB2312" w:hAnsi="仿宋_GB2312" w:eastAsia="仿宋_GB2312" w:cs="仿宋_GB2312"/>
          <w:color w:val="000000"/>
          <w:spacing w:val="0"/>
          <w:sz w:val="32"/>
          <w:szCs w:val="32"/>
          <w:lang w:eastAsia="zh-CN"/>
        </w:rPr>
        <w:t>产出</w:t>
      </w:r>
      <w:r>
        <w:rPr>
          <w:rFonts w:hint="eastAsia" w:ascii="仿宋_GB2312" w:hAnsi="仿宋_GB2312" w:eastAsia="仿宋_GB2312" w:cs="仿宋_GB2312"/>
          <w:color w:val="000000"/>
          <w:spacing w:val="0"/>
          <w:sz w:val="32"/>
          <w:szCs w:val="32"/>
        </w:rPr>
        <w:t>权重值占</w:t>
      </w:r>
      <w:r>
        <w:rPr>
          <w:rFonts w:hint="eastAsia" w:ascii="仿宋_GB2312" w:hAnsi="仿宋_GB2312" w:eastAsia="仿宋_GB2312" w:cs="仿宋_GB2312"/>
          <w:color w:val="000000"/>
          <w:spacing w:val="0"/>
          <w:sz w:val="32"/>
          <w:szCs w:val="32"/>
          <w:lang w:val="en-US" w:eastAsia="zh-CN"/>
        </w:rPr>
        <w:t>50%</w:t>
      </w:r>
      <w:r>
        <w:rPr>
          <w:rFonts w:hint="eastAsia" w:ascii="仿宋_GB2312" w:hAnsi="仿宋_GB2312" w:eastAsia="仿宋_GB2312" w:cs="仿宋_GB2312"/>
          <w:color w:val="000000"/>
          <w:spacing w:val="0"/>
          <w:sz w:val="32"/>
          <w:szCs w:val="32"/>
        </w:rPr>
        <w:t>，项目</w:t>
      </w:r>
      <w:r>
        <w:rPr>
          <w:rFonts w:hint="eastAsia" w:ascii="仿宋_GB2312" w:hAnsi="仿宋_GB2312" w:eastAsia="仿宋_GB2312" w:cs="仿宋_GB2312"/>
          <w:color w:val="000000"/>
          <w:spacing w:val="0"/>
          <w:sz w:val="32"/>
          <w:szCs w:val="32"/>
          <w:lang w:eastAsia="zh-CN"/>
        </w:rPr>
        <w:t>效益</w:t>
      </w:r>
      <w:r>
        <w:rPr>
          <w:rFonts w:hint="eastAsia" w:ascii="仿宋_GB2312" w:hAnsi="仿宋_GB2312" w:eastAsia="仿宋_GB2312" w:cs="仿宋_GB2312"/>
          <w:color w:val="000000"/>
          <w:spacing w:val="0"/>
          <w:sz w:val="32"/>
          <w:szCs w:val="32"/>
        </w:rPr>
        <w:t>权重占</w:t>
      </w:r>
      <w:r>
        <w:rPr>
          <w:rFonts w:hint="eastAsia" w:ascii="仿宋_GB2312" w:hAnsi="仿宋_GB2312" w:eastAsia="仿宋_GB2312" w:cs="仿宋_GB2312"/>
          <w:color w:val="000000"/>
          <w:spacing w:val="0"/>
          <w:sz w:val="32"/>
          <w:szCs w:val="32"/>
          <w:lang w:val="en-US" w:eastAsia="zh-CN"/>
        </w:rPr>
        <w:t>40%</w:t>
      </w:r>
      <w:r>
        <w:rPr>
          <w:rFonts w:hint="eastAsia" w:ascii="仿宋_GB2312" w:hAnsi="仿宋_GB2312" w:eastAsia="仿宋_GB2312" w:cs="仿宋_GB2312"/>
          <w:color w:val="000000"/>
          <w:spacing w:val="0"/>
          <w:sz w:val="32"/>
          <w:szCs w:val="32"/>
        </w:rPr>
        <w:t>。</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（3）确定指标标准值</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color w:val="000000"/>
          <w:spacing w:val="0"/>
          <w:lang w:eastAsia="zh-CN"/>
        </w:rPr>
      </w:pPr>
      <w:r>
        <w:rPr>
          <w:rFonts w:hint="eastAsia" w:ascii="仿宋_GB2312" w:hAnsi="仿宋_GB2312" w:eastAsia="仿宋_GB2312" w:cs="仿宋_GB2312"/>
          <w:b w:val="0"/>
          <w:bCs w:val="0"/>
          <w:color w:val="000000"/>
          <w:spacing w:val="0"/>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r>
        <w:rPr>
          <w:rFonts w:hint="eastAsia" w:ascii="仿宋_GB2312" w:hAnsi="仿宋_GB2312" w:eastAsia="仿宋_GB2312" w:cs="仿宋_GB2312"/>
          <w:b w:val="0"/>
          <w:bCs w:val="0"/>
          <w:color w:val="000000"/>
          <w:spacing w:val="0"/>
          <w:kern w:val="2"/>
          <w:lang w:eastAsia="zh-CN"/>
        </w:rPr>
        <w:t>（</w:t>
      </w:r>
      <w:r>
        <w:rPr>
          <w:rFonts w:hint="eastAsia" w:ascii="仿宋_GB2312" w:hAnsi="仿宋_GB2312" w:eastAsia="仿宋_GB2312" w:cs="仿宋_GB2312"/>
          <w:b w:val="0"/>
          <w:bCs w:val="0"/>
          <w:color w:val="000000"/>
          <w:spacing w:val="0"/>
        </w:rPr>
        <w:t>具体评价指标体系详情见</w:t>
      </w:r>
      <w:r>
        <w:rPr>
          <w:rFonts w:hint="eastAsia" w:ascii="仿宋_GB2312" w:hAnsi="仿宋_GB2312" w:eastAsia="仿宋_GB2312" w:cs="仿宋_GB2312"/>
          <w:b w:val="0"/>
          <w:bCs w:val="0"/>
          <w:color w:val="000000"/>
          <w:spacing w:val="0"/>
          <w:lang w:val="en-US" w:eastAsia="zh-CN"/>
        </w:rPr>
        <w:t>附件</w:t>
      </w:r>
      <w:r>
        <w:rPr>
          <w:rFonts w:hint="eastAsia" w:ascii="仿宋_GB2312" w:hAnsi="仿宋_GB2312" w:eastAsia="仿宋_GB2312" w:cs="仿宋_GB2312"/>
          <w:b w:val="0"/>
          <w:bCs w:val="0"/>
          <w:color w:val="000000"/>
          <w:spacing w:val="0"/>
        </w:rPr>
        <w:t>1</w:t>
      </w:r>
      <w:r>
        <w:rPr>
          <w:rFonts w:hint="eastAsia" w:ascii="仿宋_GB2312" w:hAnsi="仿宋_GB2312" w:eastAsia="仿宋_GB2312" w:cs="仿宋_GB2312"/>
          <w:b w:val="0"/>
          <w:bCs w:val="0"/>
          <w:color w:val="000000"/>
          <w:spacing w:val="0"/>
          <w:lang w:eastAsia="zh-CN"/>
        </w:rPr>
        <w:t>）</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spacing w:val="0"/>
        </w:rPr>
      </w:pPr>
      <w:r>
        <w:rPr>
          <w:rFonts w:hint="eastAsia" w:ascii="仿宋_GB2312" w:hAnsi="仿宋_GB2312" w:eastAsia="仿宋_GB2312" w:cs="仿宋_GB2312"/>
          <w:b/>
          <w:bCs/>
          <w:spacing w:val="0"/>
        </w:rPr>
        <w:t>3、绩效评价方法</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（1）比较法</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通过对绩效目标与实施效果、历史与当期情况，综合分析绩效目标实现程度。对</w:t>
      </w:r>
      <w:r>
        <w:rPr>
          <w:rFonts w:hint="eastAsia" w:ascii="仿宋_GB2312" w:hAnsi="仿宋_GB2312" w:eastAsia="仿宋_GB2312" w:cs="仿宋_GB2312"/>
          <w:spacing w:val="0"/>
          <w:sz w:val="32"/>
          <w:szCs w:val="32"/>
        </w:rPr>
        <w:t>项目</w:t>
      </w:r>
      <w:r>
        <w:rPr>
          <w:rFonts w:hint="eastAsia" w:ascii="仿宋_GB2312" w:hAnsi="仿宋_GB2312" w:eastAsia="仿宋_GB2312" w:cs="仿宋_GB2312"/>
          <w:color w:val="000000"/>
          <w:spacing w:val="0"/>
          <w:sz w:val="32"/>
          <w:szCs w:val="32"/>
        </w:rPr>
        <w:t>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（2）因素分析法</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通过综合分析影响绩效目标实现、实施效果的内外因素，评价绩效目标实现程度。通过对</w:t>
      </w:r>
      <w:r>
        <w:rPr>
          <w:rFonts w:hint="eastAsia" w:ascii="仿宋_GB2312" w:hAnsi="仿宋_GB2312" w:eastAsia="仿宋_GB2312" w:cs="仿宋_GB2312"/>
          <w:spacing w:val="0"/>
          <w:sz w:val="32"/>
          <w:szCs w:val="32"/>
        </w:rPr>
        <w:t>项目</w:t>
      </w:r>
      <w:r>
        <w:rPr>
          <w:rFonts w:hint="eastAsia" w:ascii="仿宋_GB2312" w:hAnsi="仿宋_GB2312" w:eastAsia="仿宋_GB2312" w:cs="仿宋_GB2312"/>
          <w:color w:val="000000"/>
          <w:spacing w:val="0"/>
          <w:sz w:val="32"/>
          <w:szCs w:val="32"/>
        </w:rPr>
        <w:t>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4、评价标准</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Style w:val="2"/>
        <w:keepNext w:val="0"/>
        <w:keepLines w:val="0"/>
        <w:pageBreakBefore w:val="0"/>
        <w:numPr>
          <w:ilvl w:val="0"/>
          <w:numId w:val="4"/>
        </w:numPr>
        <w:kinsoku/>
        <w:wordWrap/>
        <w:overflowPunct/>
        <w:topLinePunct w:val="0"/>
        <w:autoSpaceDE/>
        <w:autoSpaceDN/>
        <w:bidi w:val="0"/>
        <w:adjustRightInd/>
        <w:snapToGrid/>
        <w:spacing w:before="0" w:after="0" w:line="560" w:lineRule="atLeast"/>
        <w:jc w:val="both"/>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绩效评价工作过程</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前期准备。首先成立驻村工作经费项目评价组，对项目进行前期调研；其次明确绩效目标，设计绩效评价指标体系并确定绩效评价方法；设计指标情况；最后对评价实施方案进行论证。</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驻村工作经费项目组制定相应的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adjustRightInd/>
        <w:snapToGrid/>
        <w:spacing w:line="560" w:lineRule="atLeast"/>
        <w:ind w:firstLine="641"/>
        <w:textAlignment w:val="auto"/>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w:t>
      </w:r>
      <w:r>
        <w:rPr>
          <w:rFonts w:hint="eastAsia" w:ascii="仿宋_GB2312" w:hAnsi="仿宋_GB2312" w:eastAsia="仿宋_GB2312" w:cs="仿宋_GB2312"/>
          <w:color w:val="000000"/>
          <w:spacing w:val="17"/>
          <w:sz w:val="32"/>
          <w:szCs w:val="32"/>
          <w:highlight w:val="none"/>
          <w:lang w:val="en-US" w:eastAsia="zh-CN"/>
        </w:rPr>
        <w:t>全面的分析</w:t>
      </w:r>
      <w:r>
        <w:rPr>
          <w:rFonts w:hint="eastAsia" w:ascii="仿宋_GB2312" w:hAnsi="仿宋_GB2312" w:eastAsia="仿宋_GB2312" w:cs="仿宋_GB2312"/>
          <w:color w:val="000000"/>
          <w:spacing w:val="17"/>
          <w:sz w:val="32"/>
          <w:szCs w:val="32"/>
          <w:lang w:val="en-US" w:eastAsia="zh-CN"/>
        </w:rPr>
        <w:t>评价，逐项打分并形成绩效评价最终结果。</w:t>
      </w:r>
    </w:p>
    <w:p>
      <w:pPr>
        <w:keepNext w:val="0"/>
        <w:keepLines w:val="0"/>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黑体" w:hAnsi="黑体" w:eastAsia="黑体" w:cs="黑体"/>
          <w:spacing w:val="0"/>
          <w:sz w:val="32"/>
          <w:szCs w:val="32"/>
        </w:rPr>
      </w:pPr>
      <w:r>
        <w:rPr>
          <w:rFonts w:hint="eastAsia" w:ascii="黑体" w:hAnsi="黑体" w:eastAsia="黑体" w:cs="黑体"/>
          <w:spacing w:val="0"/>
          <w:sz w:val="32"/>
          <w:szCs w:val="32"/>
        </w:rPr>
        <w:t>综合评价情况及评价结论（附相关评分表）</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对</w:t>
      </w:r>
      <w:r>
        <w:rPr>
          <w:rFonts w:hint="eastAsia" w:ascii="仿宋_GB2312" w:hAnsi="仿宋_GB2312" w:eastAsia="仿宋_GB2312" w:cs="仿宋_GB2312"/>
          <w:color w:val="000000"/>
          <w:spacing w:val="0"/>
          <w:sz w:val="32"/>
          <w:szCs w:val="32"/>
          <w:lang w:val="en-US" w:eastAsia="zh-CN"/>
        </w:rPr>
        <w:t>驻村工作经费</w:t>
      </w:r>
      <w:r>
        <w:rPr>
          <w:rFonts w:hint="eastAsia" w:ascii="仿宋_GB2312" w:hAnsi="仿宋_GB2312" w:eastAsia="仿宋_GB2312" w:cs="仿宋_GB2312"/>
          <w:color w:val="000000"/>
          <w:spacing w:val="0"/>
          <w:sz w:val="32"/>
          <w:szCs w:val="32"/>
        </w:rPr>
        <w:t xml:space="preserve">项目进行客观评价，最终评分结果：总得分为 </w:t>
      </w:r>
      <w:r>
        <w:rPr>
          <w:rFonts w:hint="eastAsia" w:ascii="仿宋_GB2312" w:hAnsi="仿宋_GB2312" w:eastAsia="仿宋_GB2312" w:cs="仿宋_GB2312"/>
          <w:color w:val="000000"/>
          <w:spacing w:val="0"/>
          <w:sz w:val="32"/>
          <w:szCs w:val="32"/>
          <w:lang w:val="en-US" w:eastAsia="zh-CN"/>
        </w:rPr>
        <w:t>98.69</w:t>
      </w:r>
      <w:r>
        <w:rPr>
          <w:rFonts w:hint="eastAsia" w:ascii="仿宋_GB2312" w:hAnsi="仿宋_GB2312" w:eastAsia="仿宋_GB2312" w:cs="仿宋_GB2312"/>
          <w:color w:val="000000"/>
          <w:spacing w:val="0"/>
          <w:sz w:val="32"/>
          <w:szCs w:val="32"/>
        </w:rPr>
        <w:t>分，属于“优”。其中，项目决策类指标权重为5分，得分为 5分，得分率为 100%。项目过程类指标权重为5分，得分为5 分，得分率为 100%。项目产出类指标权重为50分，得分为50分，得分率为 100%。项目效益类指标权重为40分，得分为38</w:t>
      </w:r>
      <w:r>
        <w:rPr>
          <w:rFonts w:hint="eastAsia" w:ascii="仿宋_GB2312" w:hAnsi="仿宋_GB2312" w:eastAsia="仿宋_GB2312" w:cs="仿宋_GB2312"/>
          <w:color w:val="000000"/>
          <w:spacing w:val="0"/>
          <w:sz w:val="32"/>
          <w:szCs w:val="32"/>
          <w:lang w:val="en-US" w:eastAsia="zh-CN"/>
        </w:rPr>
        <w:t>.69</w:t>
      </w:r>
      <w:r>
        <w:rPr>
          <w:rFonts w:hint="eastAsia" w:ascii="仿宋_GB2312" w:hAnsi="仿宋_GB2312" w:eastAsia="仿宋_GB2312" w:cs="仿宋_GB2312"/>
          <w:color w:val="000000"/>
          <w:spacing w:val="0"/>
          <w:sz w:val="32"/>
          <w:szCs w:val="32"/>
        </w:rPr>
        <w:t>分，得分率为 9</w:t>
      </w:r>
      <w:r>
        <w:rPr>
          <w:rFonts w:hint="eastAsia" w:ascii="仿宋_GB2312" w:hAnsi="仿宋_GB2312" w:eastAsia="仿宋_GB2312" w:cs="仿宋_GB2312"/>
          <w:color w:val="000000"/>
          <w:spacing w:val="0"/>
          <w:sz w:val="32"/>
          <w:szCs w:val="32"/>
          <w:lang w:val="en-US" w:eastAsia="zh-CN"/>
        </w:rPr>
        <w:t>6.7</w:t>
      </w:r>
      <w:r>
        <w:rPr>
          <w:rFonts w:hint="eastAsia" w:ascii="仿宋_GB2312" w:hAnsi="仿宋_GB2312" w:eastAsia="仿宋_GB2312" w:cs="仿宋_GB2312"/>
          <w:color w:val="000000"/>
          <w:spacing w:val="0"/>
          <w:sz w:val="32"/>
          <w:szCs w:val="32"/>
        </w:rPr>
        <w:t>%。</w:t>
      </w:r>
    </w:p>
    <w:p>
      <w:pPr>
        <w:pStyle w:val="2"/>
        <w:keepNext w:val="0"/>
        <w:keepLines w:val="0"/>
        <w:pageBreakBefore w:val="0"/>
        <w:kinsoku/>
        <w:wordWrap/>
        <w:overflowPunct/>
        <w:topLinePunct w:val="0"/>
        <w:autoSpaceDE/>
        <w:autoSpaceDN/>
        <w:bidi w:val="0"/>
        <w:adjustRightInd/>
        <w:snapToGrid/>
        <w:spacing w:before="0" w:after="0" w:line="560" w:lineRule="atLeas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keepNext w:val="0"/>
        <w:keepLines w:val="0"/>
        <w:pageBreakBefore w:val="0"/>
        <w:kinsoku/>
        <w:wordWrap/>
        <w:overflowPunct/>
        <w:topLinePunct w:val="0"/>
        <w:autoSpaceDE/>
        <w:autoSpaceDN/>
        <w:bidi w:val="0"/>
        <w:adjustRightInd/>
        <w:snapToGrid/>
        <w:spacing w:line="560" w:lineRule="atLeast"/>
        <w:textAlignment w:val="auto"/>
      </w:pPr>
    </w:p>
    <w:tbl>
      <w:tblPr>
        <w:tblStyle w:val="18"/>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4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4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4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4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4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实施效益</w:t>
            </w:r>
          </w:p>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28</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95%</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4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28.69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bl>
    <w:p>
      <w:pPr>
        <w:keepNext w:val="0"/>
        <w:keepLines w:val="0"/>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pacing w:val="0"/>
          <w:sz w:val="32"/>
          <w:szCs w:val="32"/>
        </w:rPr>
      </w:pPr>
      <w:r>
        <w:rPr>
          <w:rFonts w:hint="eastAsia" w:ascii="黑体" w:hAnsi="黑体" w:eastAsia="黑体"/>
          <w:spacing w:val="0"/>
          <w:sz w:val="32"/>
          <w:szCs w:val="32"/>
        </w:rPr>
        <w:t>四、绩效评价指标分析</w:t>
      </w:r>
    </w:p>
    <w:p>
      <w:pPr>
        <w:pStyle w:val="2"/>
        <w:keepNext w:val="0"/>
        <w:keepLines w:val="0"/>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spacing w:val="0"/>
        </w:rPr>
      </w:pPr>
      <w:r>
        <w:rPr>
          <w:rFonts w:hint="eastAsia" w:ascii="楷体_GB2312" w:hAnsi="楷体_GB2312" w:eastAsia="楷体_GB2312" w:cs="楷体_GB2312"/>
          <w:spacing w:val="0"/>
        </w:rPr>
        <w:t>（一）项目决策情况</w:t>
      </w:r>
    </w:p>
    <w:p>
      <w:pPr>
        <w:keepNext w:val="0"/>
        <w:keepLines w:val="0"/>
        <w:pageBreakBefore w:val="0"/>
        <w:kinsoku/>
        <w:wordWrap/>
        <w:overflowPunct/>
        <w:topLinePunct w:val="0"/>
        <w:autoSpaceDE/>
        <w:autoSpaceDN/>
        <w:bidi w:val="0"/>
        <w:adjustRightInd/>
        <w:snapToGrid/>
        <w:spacing w:line="560" w:lineRule="atLeast"/>
        <w:ind w:firstLine="640"/>
        <w:textAlignment w:val="auto"/>
        <w:rPr>
          <w:rStyle w:val="20"/>
          <w:rFonts w:hint="default" w:ascii="仿宋" w:hAnsi="仿宋" w:eastAsia="仿宋" w:cs="仿宋"/>
          <w:b w:val="0"/>
          <w:bCs/>
          <w:spacing w:val="0"/>
          <w:sz w:val="32"/>
          <w:szCs w:val="32"/>
          <w:lang w:val="en-US" w:eastAsia="zh-CN"/>
        </w:rPr>
      </w:pPr>
      <w:r>
        <w:rPr>
          <w:rStyle w:val="20"/>
          <w:rFonts w:hint="eastAsia" w:ascii="仿宋" w:hAnsi="仿宋" w:eastAsia="仿宋" w:cs="仿宋"/>
          <w:b w:val="0"/>
          <w:bCs/>
          <w:spacing w:val="0"/>
          <w:sz w:val="32"/>
          <w:szCs w:val="32"/>
          <w:lang w:val="en-US" w:eastAsia="zh-CN"/>
        </w:rPr>
        <w:t>不定期开展调研指导，每季度召开工作推进会和培训会议，开展“互评互学”活动，购买办公用品，保证了地区驻村各项工作正常开展。项目绩效主要从项目立项、绩效目标、资金投入等</w:t>
      </w:r>
      <w:r>
        <w:rPr>
          <w:rStyle w:val="20"/>
          <w:rFonts w:hint="eastAsia" w:ascii="仿宋" w:hAnsi="仿宋" w:eastAsia="仿宋" w:cs="仿宋"/>
          <w:b w:val="0"/>
          <w:bCs/>
          <w:spacing w:val="0"/>
          <w:sz w:val="32"/>
          <w:szCs w:val="32"/>
          <w:highlight w:val="none"/>
          <w:lang w:val="en-US" w:eastAsia="zh-CN"/>
        </w:rPr>
        <w:t>3个方面</w:t>
      </w:r>
      <w:r>
        <w:rPr>
          <w:rStyle w:val="20"/>
          <w:rFonts w:hint="eastAsia" w:ascii="仿宋" w:hAnsi="仿宋" w:eastAsia="仿宋" w:cs="仿宋"/>
          <w:b w:val="0"/>
          <w:bCs/>
          <w:spacing w:val="0"/>
          <w:sz w:val="32"/>
          <w:szCs w:val="32"/>
          <w:lang w:val="en-US" w:eastAsia="zh-CN"/>
        </w:rPr>
        <w:t>对项目的绩效情况进行评价，分值5分，实际得分5分，得分率为100%。</w:t>
      </w:r>
    </w:p>
    <w:p>
      <w:pPr>
        <w:pStyle w:val="2"/>
        <w:keepNext w:val="0"/>
        <w:keepLines w:val="0"/>
        <w:pageBreakBefore w:val="0"/>
        <w:numPr>
          <w:ilvl w:val="0"/>
          <w:numId w:val="6"/>
        </w:numPr>
        <w:kinsoku/>
        <w:wordWrap/>
        <w:overflowPunct/>
        <w:topLinePunct w:val="0"/>
        <w:autoSpaceDE/>
        <w:autoSpaceDN/>
        <w:bidi w:val="0"/>
        <w:adjustRightInd/>
        <w:snapToGrid/>
        <w:spacing w:before="0" w:after="0" w:line="560" w:lineRule="atLeast"/>
        <w:ind w:firstLine="321" w:firstLineChars="100"/>
        <w:jc w:val="both"/>
        <w:textAlignment w:val="auto"/>
        <w:rPr>
          <w:spacing w:val="0"/>
        </w:rPr>
      </w:pPr>
      <w:r>
        <w:rPr>
          <w:rFonts w:hint="eastAsia" w:ascii="楷体_GB2312" w:hAnsi="楷体_GB2312" w:eastAsia="楷体_GB2312" w:cs="楷体_GB2312"/>
          <w:spacing w:val="0"/>
        </w:rPr>
        <w:t>项目过程情况</w:t>
      </w:r>
    </w:p>
    <w:p>
      <w:pPr>
        <w:keepNext w:val="0"/>
        <w:keepLines w:val="0"/>
        <w:pageBreakBefore w:val="0"/>
        <w:kinsoku/>
        <w:wordWrap/>
        <w:overflowPunct/>
        <w:topLinePunct w:val="0"/>
        <w:autoSpaceDE/>
        <w:autoSpaceDN/>
        <w:bidi w:val="0"/>
        <w:adjustRightInd/>
        <w:snapToGrid/>
        <w:spacing w:line="560" w:lineRule="atLeast"/>
        <w:ind w:firstLine="640"/>
        <w:textAlignment w:val="auto"/>
        <w:rPr>
          <w:rStyle w:val="20"/>
          <w:rFonts w:hint="default" w:ascii="仿宋" w:hAnsi="仿宋" w:eastAsia="仿宋" w:cs="仿宋"/>
          <w:b w:val="0"/>
          <w:bCs/>
          <w:spacing w:val="0"/>
          <w:sz w:val="32"/>
          <w:szCs w:val="32"/>
          <w:lang w:val="en-US" w:eastAsia="zh-CN"/>
        </w:rPr>
      </w:pPr>
      <w:r>
        <w:rPr>
          <w:rStyle w:val="20"/>
          <w:rFonts w:hint="eastAsia" w:ascii="仿宋" w:hAnsi="仿宋" w:eastAsia="仿宋" w:cs="仿宋"/>
          <w:b w:val="0"/>
          <w:bCs/>
          <w:spacing w:val="0"/>
          <w:sz w:val="32"/>
          <w:szCs w:val="32"/>
          <w:lang w:val="en-US" w:eastAsia="zh-CN"/>
        </w:rPr>
        <w:t>每月分组组织开展到县市指导调研工作，每月召开1次视频培训会，每季度召开1次推进会，每季度开展1次“互评互学”，不定期进行视频调度，定期购买办公用品、更换易耗品等。项目绩效主要从资金管理、组织实施2个方面对项目的绩效情况进行评价，分值5分，实际得分5分，得分率为100%。</w:t>
      </w:r>
    </w:p>
    <w:p>
      <w:pPr>
        <w:keepNext w:val="0"/>
        <w:keepLines w:val="0"/>
        <w:pageBreakBefore w:val="0"/>
        <w:kinsoku/>
        <w:wordWrap/>
        <w:overflowPunct/>
        <w:topLinePunct w:val="0"/>
        <w:autoSpaceDE/>
        <w:autoSpaceDN/>
        <w:bidi w:val="0"/>
        <w:adjustRightInd/>
        <w:snapToGrid/>
        <w:spacing w:line="560" w:lineRule="atLeast"/>
        <w:textAlignment w:val="auto"/>
        <w:rPr>
          <w:spacing w:val="0"/>
        </w:rPr>
      </w:pPr>
    </w:p>
    <w:p>
      <w:pPr>
        <w:pStyle w:val="17"/>
        <w:keepNext w:val="0"/>
        <w:keepLines w:val="0"/>
        <w:pageBreakBefore w:val="0"/>
        <w:numPr>
          <w:ilvl w:val="0"/>
          <w:numId w:val="6"/>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pacing w:val="0"/>
          <w:sz w:val="32"/>
          <w:szCs w:val="32"/>
        </w:rPr>
      </w:pPr>
      <w:r>
        <w:rPr>
          <w:rFonts w:hint="eastAsia" w:ascii="楷体_GB2312" w:hAnsi="楷体_GB2312" w:eastAsia="楷体_GB2312" w:cs="楷体_GB2312"/>
          <w:b/>
          <w:bCs/>
          <w:spacing w:val="0"/>
          <w:sz w:val="32"/>
          <w:szCs w:val="32"/>
        </w:rPr>
        <w:t>项目产出</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3"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bCs/>
          <w:spacing w:val="0"/>
          <w:sz w:val="32"/>
          <w:szCs w:val="32"/>
          <w:lang w:val="en-US" w:eastAsia="zh-CN"/>
        </w:rPr>
        <w:t>数量指标方面：</w:t>
      </w:r>
      <w:r>
        <w:rPr>
          <w:rFonts w:hint="eastAsia" w:ascii="仿宋" w:hAnsi="仿宋" w:eastAsia="仿宋" w:cs="仿宋"/>
          <w:b w:val="0"/>
          <w:bCs w:val="0"/>
          <w:spacing w:val="0"/>
          <w:sz w:val="32"/>
          <w:szCs w:val="32"/>
          <w:lang w:val="en-US" w:eastAsia="zh-CN"/>
        </w:rPr>
        <w:t>指导调研全年次数，年度指标值为12次，实际完成值为6次；</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工作推进会，年度指标值为1次，实际完成值为1次；</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工作调度会，年度指标值为1次，实际完成值为1次；</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成立驻村工作考核小组，年度指标值为3个，实际完成值为3个。</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 xml:space="preserve">   </w:t>
      </w:r>
      <w:r>
        <w:rPr>
          <w:rFonts w:hint="eastAsia" w:ascii="仿宋" w:hAnsi="仿宋" w:eastAsia="仿宋" w:cs="仿宋"/>
          <w:b/>
          <w:bCs/>
          <w:spacing w:val="0"/>
          <w:sz w:val="32"/>
          <w:szCs w:val="32"/>
          <w:lang w:val="en-US" w:eastAsia="zh-CN"/>
        </w:rPr>
        <w:t xml:space="preserve"> 质量指标方面：</w:t>
      </w:r>
      <w:r>
        <w:rPr>
          <w:rFonts w:hint="eastAsia" w:ascii="仿宋" w:hAnsi="仿宋" w:eastAsia="仿宋" w:cs="仿宋"/>
          <w:b w:val="0"/>
          <w:bCs w:val="0"/>
          <w:spacing w:val="0"/>
          <w:sz w:val="32"/>
          <w:szCs w:val="32"/>
          <w:lang w:val="en-US" w:eastAsia="zh-CN"/>
        </w:rPr>
        <w:t>调研指导全覆盖县市，年度指标值为7个，实际完成值为7个；</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督导派出单位协助工作队完成驻村工作任务，年度指标值为效果显著，实际完成值为效果显著。</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 xml:space="preserve">   </w:t>
      </w:r>
      <w:r>
        <w:rPr>
          <w:rFonts w:hint="eastAsia" w:ascii="仿宋" w:hAnsi="仿宋" w:eastAsia="仿宋" w:cs="仿宋"/>
          <w:b/>
          <w:bCs/>
          <w:spacing w:val="0"/>
          <w:sz w:val="32"/>
          <w:szCs w:val="32"/>
          <w:lang w:val="en-US" w:eastAsia="zh-CN"/>
        </w:rPr>
        <w:t>时效指标方面：</w:t>
      </w:r>
      <w:r>
        <w:rPr>
          <w:rFonts w:hint="eastAsia" w:ascii="仿宋" w:hAnsi="仿宋" w:eastAsia="仿宋" w:cs="仿宋"/>
          <w:b w:val="0"/>
          <w:bCs w:val="0"/>
          <w:spacing w:val="0"/>
          <w:sz w:val="32"/>
          <w:szCs w:val="32"/>
          <w:lang w:val="en-US" w:eastAsia="zh-CN"/>
        </w:rPr>
        <w:t>督导任务完成时间，年度指标值为12月，实际完成值为12个月；</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考核任务完成时间，年度指标值为12月，实际完成值为12个月。</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3"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bCs/>
          <w:spacing w:val="0"/>
          <w:sz w:val="32"/>
          <w:szCs w:val="32"/>
          <w:lang w:val="en-US" w:eastAsia="zh-CN"/>
        </w:rPr>
        <w:t>成本指标方面：</w:t>
      </w:r>
      <w:r>
        <w:rPr>
          <w:rFonts w:hint="eastAsia" w:ascii="仿宋" w:hAnsi="仿宋" w:eastAsia="仿宋" w:cs="仿宋"/>
          <w:b w:val="0"/>
          <w:bCs w:val="0"/>
          <w:spacing w:val="0"/>
          <w:sz w:val="32"/>
          <w:szCs w:val="32"/>
          <w:lang w:val="en-US" w:eastAsia="zh-CN"/>
        </w:rPr>
        <w:t>办公费，年度指标值为≤20万元，实际完成值为10.5万元；</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印刷费，年度指标值为≤2万元，实际完成值为1.99万元；</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差旅费，年度指标值为≤50万元，实际完成值为42.1万元；</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会议费，年度指标值为≤1万元，实际完成值为1万元；</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公务用车运行维护费，年度指标值为≤5万元，实际完成值为5万元；</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其他工作经费，年度指标值为≤3.15万无，实际完成值为1.39万元；</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物业管理费，年度指标值为≤0.35万元，实际完成值为0.2万元；</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维修（护）费，年度指标值为≤5万元，实际完成值为2.1万元；</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劳务费，年度指标值为≤1万元，实际完成值为0.35万元；</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default"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培训费，年度指标值为≤1万元，实际完成值为0.04万元；</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default"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邮电费，年度指标值为≤1.5万元，实际完成值为1.5万元。</w:t>
      </w:r>
    </w:p>
    <w:p>
      <w:pPr>
        <w:pStyle w:val="17"/>
        <w:keepNext w:val="0"/>
        <w:keepLines w:val="0"/>
        <w:pageBreakBefore w:val="0"/>
        <w:numPr>
          <w:ilvl w:val="0"/>
          <w:numId w:val="6"/>
        </w:numPr>
        <w:kinsoku/>
        <w:wordWrap/>
        <w:overflowPunct/>
        <w:topLinePunct w:val="0"/>
        <w:autoSpaceDE/>
        <w:autoSpaceDN/>
        <w:bidi w:val="0"/>
        <w:adjustRightInd/>
        <w:snapToGrid/>
        <w:spacing w:after="0" w:line="560" w:lineRule="atLeast"/>
        <w:ind w:firstLine="321" w:firstLineChars="100"/>
        <w:textAlignment w:val="auto"/>
        <w:rPr>
          <w:rFonts w:hint="eastAsia" w:ascii="仿宋" w:hAnsi="仿宋" w:eastAsia="仿宋" w:cs="仿宋"/>
          <w:b/>
          <w:bCs/>
          <w:spacing w:val="0"/>
          <w:sz w:val="32"/>
          <w:szCs w:val="32"/>
        </w:rPr>
      </w:pPr>
      <w:r>
        <w:rPr>
          <w:rFonts w:hint="eastAsia" w:ascii="仿宋" w:hAnsi="仿宋" w:eastAsia="仿宋" w:cs="仿宋"/>
          <w:b/>
          <w:bCs/>
          <w:spacing w:val="0"/>
          <w:sz w:val="32"/>
          <w:szCs w:val="32"/>
        </w:rPr>
        <w:t>效益情况</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bCs/>
          <w:spacing w:val="0"/>
          <w:sz w:val="32"/>
          <w:szCs w:val="32"/>
          <w:lang w:val="en-US" w:eastAsia="zh-CN"/>
        </w:rPr>
        <w:t xml:space="preserve">  </w:t>
      </w:r>
      <w:r>
        <w:rPr>
          <w:rFonts w:hint="eastAsia" w:ascii="仿宋" w:hAnsi="仿宋" w:eastAsia="仿宋" w:cs="仿宋"/>
          <w:b w:val="0"/>
          <w:bCs w:val="0"/>
          <w:spacing w:val="0"/>
          <w:sz w:val="32"/>
          <w:szCs w:val="32"/>
          <w:lang w:val="en-US" w:eastAsia="zh-CN"/>
        </w:rPr>
        <w:t xml:space="preserve"> </w:t>
      </w:r>
      <w:r>
        <w:rPr>
          <w:rFonts w:hint="eastAsia" w:ascii="仿宋" w:hAnsi="仿宋" w:eastAsia="仿宋" w:cs="仿宋"/>
          <w:b/>
          <w:bCs/>
          <w:spacing w:val="0"/>
          <w:sz w:val="32"/>
          <w:szCs w:val="32"/>
          <w:lang w:val="en-US" w:eastAsia="zh-CN"/>
        </w:rPr>
        <w:t>社会效益指标：</w:t>
      </w:r>
      <w:r>
        <w:rPr>
          <w:rFonts w:hint="eastAsia" w:ascii="仿宋" w:hAnsi="仿宋" w:eastAsia="仿宋" w:cs="仿宋"/>
          <w:b w:val="0"/>
          <w:bCs w:val="0"/>
          <w:spacing w:val="0"/>
          <w:sz w:val="32"/>
          <w:szCs w:val="32"/>
          <w:lang w:val="en-US" w:eastAsia="zh-CN"/>
        </w:rPr>
        <w:t>把党的政策宣传到最后一公里，年度指标值为效果明显，实际完成值为效果明显；</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提升党的人民群众中的威望，年度指标值为效果明显，实际完成值为效果明显。</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 xml:space="preserve">  </w:t>
      </w:r>
      <w:r>
        <w:rPr>
          <w:rFonts w:hint="eastAsia" w:ascii="仿宋" w:hAnsi="仿宋" w:eastAsia="仿宋" w:cs="仿宋"/>
          <w:b/>
          <w:bCs/>
          <w:spacing w:val="0"/>
          <w:sz w:val="32"/>
          <w:szCs w:val="32"/>
          <w:lang w:val="en-US" w:eastAsia="zh-CN"/>
        </w:rPr>
        <w:t xml:space="preserve"> 可持续影响指标：</w:t>
      </w:r>
      <w:r>
        <w:rPr>
          <w:rFonts w:hint="eastAsia" w:ascii="仿宋" w:hAnsi="仿宋" w:eastAsia="仿宋" w:cs="仿宋"/>
          <w:b w:val="0"/>
          <w:bCs w:val="0"/>
          <w:spacing w:val="0"/>
          <w:sz w:val="32"/>
          <w:szCs w:val="32"/>
          <w:lang w:val="en-US" w:eastAsia="zh-CN"/>
        </w:rPr>
        <w:t>加强党的基层阵地建设，年度指标值为效果明显，实际完成值为效果显著。</w:t>
      </w:r>
    </w:p>
    <w:p>
      <w:pPr>
        <w:pStyle w:val="17"/>
        <w:keepNext w:val="0"/>
        <w:keepLines w:val="0"/>
        <w:pageBreakBefore w:val="0"/>
        <w:numPr>
          <w:ilvl w:val="0"/>
          <w:numId w:val="0"/>
        </w:numPr>
        <w:kinsoku/>
        <w:wordWrap/>
        <w:overflowPunct/>
        <w:topLinePunct w:val="0"/>
        <w:autoSpaceDE/>
        <w:autoSpaceDN/>
        <w:bidi w:val="0"/>
        <w:adjustRightInd/>
        <w:snapToGrid/>
        <w:spacing w:after="0" w:line="560" w:lineRule="atLeast"/>
        <w:ind w:firstLine="643" w:firstLineChars="200"/>
        <w:textAlignment w:val="auto"/>
        <w:rPr>
          <w:rFonts w:hint="default" w:ascii="仿宋" w:hAnsi="仿宋" w:eastAsia="仿宋" w:cs="仿宋"/>
          <w:b w:val="0"/>
          <w:bCs w:val="0"/>
          <w:spacing w:val="0"/>
          <w:sz w:val="32"/>
          <w:szCs w:val="32"/>
          <w:lang w:val="en-US" w:eastAsia="zh-CN"/>
        </w:rPr>
      </w:pPr>
      <w:r>
        <w:rPr>
          <w:rFonts w:hint="eastAsia" w:ascii="仿宋" w:hAnsi="仿宋" w:eastAsia="仿宋" w:cs="仿宋"/>
          <w:b/>
          <w:bCs/>
          <w:spacing w:val="0"/>
          <w:sz w:val="32"/>
          <w:szCs w:val="32"/>
          <w:lang w:val="en-US" w:eastAsia="zh-CN"/>
        </w:rPr>
        <w:t>满意度指标：驻村</w:t>
      </w:r>
      <w:r>
        <w:rPr>
          <w:rFonts w:hint="eastAsia" w:ascii="仿宋" w:hAnsi="仿宋" w:eastAsia="仿宋" w:cs="仿宋"/>
          <w:b w:val="0"/>
          <w:bCs w:val="0"/>
          <w:spacing w:val="0"/>
          <w:sz w:val="32"/>
          <w:szCs w:val="32"/>
          <w:lang w:val="en-US" w:eastAsia="zh-CN"/>
        </w:rPr>
        <w:t>工作队的满意度，年度指标值为≥90%，实际完成值为99%。</w:t>
      </w:r>
    </w:p>
    <w:p>
      <w:pPr>
        <w:keepNext w:val="0"/>
        <w:keepLines w:val="0"/>
        <w:pageBreakBefore w:val="0"/>
        <w:kinsoku/>
        <w:wordWrap/>
        <w:overflowPunct/>
        <w:topLinePunct w:val="0"/>
        <w:autoSpaceDE/>
        <w:autoSpaceDN/>
        <w:bidi w:val="0"/>
        <w:adjustRightInd/>
        <w:snapToGrid/>
        <w:spacing w:line="560" w:lineRule="atLeast"/>
        <w:ind w:firstLine="641"/>
        <w:textAlignment w:val="auto"/>
        <w:rPr>
          <w:rStyle w:val="49"/>
          <w:color w:val="auto"/>
          <w:spacing w:val="0"/>
        </w:rPr>
      </w:pPr>
      <w:r>
        <w:rPr>
          <w:rFonts w:hint="eastAsia" w:ascii="黑体" w:hAnsi="黑体" w:eastAsia="黑体"/>
          <w:spacing w:val="0"/>
          <w:sz w:val="32"/>
          <w:szCs w:val="32"/>
        </w:rPr>
        <w:t>五、主要经验及做法、存在的问题及原因分析</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textAlignment w:val="auto"/>
        <w:rPr>
          <w:rFonts w:ascii="仿宋_GB2312" w:hAnsi="仿宋_GB2312" w:eastAsia="仿宋_GB2312" w:cs="仿宋_GB2312"/>
          <w:b w:val="0"/>
          <w:bCs w:val="0"/>
          <w:spacing w:val="0"/>
          <w:kern w:val="2"/>
        </w:rPr>
      </w:pPr>
      <w:r>
        <w:rPr>
          <w:rFonts w:hint="eastAsia" w:ascii="仿宋_GB2312" w:hAnsi="仿宋_GB2312" w:eastAsia="仿宋_GB2312" w:cs="仿宋_GB2312"/>
          <w:b w:val="0"/>
          <w:bCs w:val="0"/>
          <w:spacing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黑体" w:hAnsi="黑体" w:eastAsia="黑体"/>
          <w:spacing w:val="0"/>
          <w:sz w:val="32"/>
          <w:szCs w:val="32"/>
        </w:rPr>
      </w:pPr>
      <w:r>
        <w:rPr>
          <w:rFonts w:hint="eastAsia" w:ascii="黑体" w:hAnsi="黑体" w:eastAsia="黑体"/>
          <w:spacing w:val="0"/>
          <w:sz w:val="32"/>
          <w:szCs w:val="32"/>
        </w:rPr>
        <w:t>有关建议</w:t>
      </w:r>
    </w:p>
    <w:p>
      <w:pPr>
        <w:keepNext w:val="0"/>
        <w:keepLines w:val="0"/>
        <w:pageBreakBefore w:val="0"/>
        <w:numPr>
          <w:ilvl w:val="0"/>
          <w:numId w:val="8"/>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keepNext w:val="0"/>
        <w:keepLines w:val="0"/>
        <w:pageBreakBefore w:val="0"/>
        <w:numPr>
          <w:ilvl w:val="0"/>
          <w:numId w:val="8"/>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keepNext w:val="0"/>
        <w:keepLines w:val="0"/>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黑体" w:hAnsi="黑体" w:eastAsia="黑体"/>
          <w:spacing w:val="0"/>
          <w:sz w:val="32"/>
          <w:szCs w:val="32"/>
        </w:rPr>
      </w:pPr>
      <w:r>
        <w:rPr>
          <w:rFonts w:hint="eastAsia" w:ascii="黑体" w:hAnsi="黑体" w:eastAsia="黑体"/>
          <w:spacing w:val="0"/>
          <w:sz w:val="32"/>
          <w:szCs w:val="32"/>
        </w:rPr>
        <w:t>其他需要说</w:t>
      </w:r>
      <w:bookmarkStart w:id="1" w:name="page8"/>
      <w:bookmarkEnd w:id="1"/>
      <w:r>
        <w:rPr>
          <w:rFonts w:hint="eastAsia" w:ascii="黑体" w:hAnsi="黑体" w:eastAsia="黑体"/>
          <w:spacing w:val="0"/>
          <w:sz w:val="32"/>
          <w:szCs w:val="32"/>
        </w:rPr>
        <w:t>明的问题</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无。</w:t>
      </w:r>
    </w:p>
    <w:p>
      <w:pPr>
        <w:pageBreakBefore w:val="0"/>
        <w:kinsoku/>
        <w:wordWrap/>
        <w:overflowPunct/>
        <w:topLinePunct w:val="0"/>
        <w:autoSpaceDE/>
        <w:autoSpaceDN/>
        <w:bidi w:val="0"/>
        <w:adjustRightInd/>
        <w:snapToGrid/>
        <w:spacing w:line="240" w:lineRule="auto"/>
        <w:textAlignment w:val="auto"/>
        <w:rPr>
          <w:rFonts w:hint="eastAsia" w:ascii="黑体" w:hAnsi="黑体" w:eastAsia="黑体"/>
          <w:spacing w:val="0"/>
          <w:sz w:val="32"/>
          <w:szCs w:val="32"/>
        </w:rPr>
      </w:pPr>
    </w:p>
    <w:p>
      <w:pPr>
        <w:pStyle w:val="2"/>
        <w:rPr>
          <w:rFonts w:hint="eastAsia" w:ascii="黑体" w:hAnsi="黑体" w:eastAsia="黑体"/>
          <w:sz w:val="32"/>
          <w:szCs w:val="32"/>
        </w:rPr>
      </w:pPr>
    </w:p>
    <w:p>
      <w:pPr>
        <w:rPr>
          <w:rFonts w:hint="eastAsia" w:ascii="黑体" w:hAnsi="黑体" w:eastAsia="黑体"/>
          <w:sz w:val="32"/>
          <w:szCs w:val="32"/>
        </w:rPr>
      </w:pPr>
    </w:p>
    <w:p>
      <w:pPr>
        <w:pStyle w:val="2"/>
        <w:jc w:val="both"/>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18"/>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28.69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Style w:val="2"/>
        <w:rPr>
          <w:rFonts w:hint="default"/>
          <w:lang w:val="en-US" w:eastAsia="zh-CN"/>
        </w:rPr>
      </w:pPr>
    </w:p>
    <w:p>
      <w:pPr>
        <w:rPr>
          <w:rStyle w:val="20"/>
          <w:rFonts w:ascii="黑体" w:hAnsi="黑体" w:eastAsia="黑体"/>
          <w:bCs w:val="0"/>
          <w:spacing w:val="-4"/>
          <w:sz w:val="32"/>
          <w:szCs w:val="32"/>
        </w:rPr>
      </w:pPr>
    </w:p>
    <w:p>
      <w:pPr>
        <w:pStyle w:val="2"/>
        <w:rPr>
          <w:rStyle w:val="20"/>
          <w:rFonts w:ascii="黑体" w:hAnsi="黑体" w:eastAsia="黑体"/>
          <w:b/>
          <w:bCs w:val="0"/>
          <w:spacing w:val="-4"/>
          <w:sz w:val="32"/>
          <w:szCs w:val="32"/>
        </w:rPr>
      </w:pPr>
    </w:p>
    <w:p>
      <w:pPr>
        <w:rPr>
          <w:rStyle w:val="20"/>
          <w:rFonts w:ascii="黑体" w:hAnsi="黑体" w:eastAsia="黑体"/>
          <w:bCs w:val="0"/>
          <w:spacing w:val="-4"/>
          <w:sz w:val="32"/>
          <w:szCs w:val="32"/>
        </w:rPr>
      </w:pPr>
    </w:p>
    <w:p>
      <w:pPr>
        <w:pStyle w:val="2"/>
        <w:rPr>
          <w:rStyle w:val="20"/>
          <w:rFonts w:ascii="黑体" w:hAnsi="黑体" w:eastAsia="黑体"/>
          <w:b/>
          <w:bCs w:val="0"/>
          <w:spacing w:val="-4"/>
          <w:sz w:val="32"/>
          <w:szCs w:val="32"/>
        </w:rPr>
      </w:pPr>
    </w:p>
    <w:p>
      <w:pPr>
        <w:keepNext w:val="0"/>
        <w:keepLines w:val="0"/>
        <w:pageBreakBefore w:val="0"/>
        <w:widowControl w:val="0"/>
        <w:tabs>
          <w:tab w:val="left" w:pos="1917"/>
        </w:tabs>
        <w:kinsoku/>
        <w:wordWrap/>
        <w:overflowPunct/>
        <w:topLinePunct w:val="0"/>
        <w:autoSpaceDE/>
        <w:autoSpaceDN/>
        <w:bidi w:val="0"/>
        <w:adjustRightInd/>
        <w:snapToGrid/>
        <w:textAlignment w:val="auto"/>
        <w:rPr>
          <w:rFonts w:hint="eastAsia"/>
          <w:lang w:eastAsia="zh-CN"/>
        </w:rPr>
      </w:pPr>
      <w:r>
        <w:rPr>
          <w:rFonts w:hint="eastAsia"/>
          <w:lang w:eastAsia="zh-CN"/>
        </w:rPr>
        <w:tab/>
      </w: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sectPr>
          <w:pgSz w:w="16838" w:h="11906" w:orient="landscape"/>
          <w:pgMar w:top="1800" w:right="1440" w:bottom="1558" w:left="1440" w:header="851" w:footer="992" w:gutter="0"/>
          <w:cols w:space="425" w:num="1"/>
          <w:docGrid w:type="lines" w:linePitch="312" w:charSpace="0"/>
        </w:sectPr>
      </w:pPr>
    </w:p>
    <w:tbl>
      <w:tblPr>
        <w:tblStyle w:val="18"/>
        <w:tblW w:w="9280" w:type="dxa"/>
        <w:tblInd w:w="93" w:type="dxa"/>
        <w:shd w:val="clear" w:color="auto" w:fill="auto"/>
        <w:tblLayout w:type="fixed"/>
        <w:tblCellMar>
          <w:top w:w="0" w:type="dxa"/>
          <w:left w:w="108" w:type="dxa"/>
          <w:bottom w:w="0" w:type="dxa"/>
          <w:right w:w="108" w:type="dxa"/>
        </w:tblCellMar>
      </w:tblPr>
      <w:tblGrid>
        <w:gridCol w:w="694"/>
        <w:gridCol w:w="665"/>
        <w:gridCol w:w="724"/>
        <w:gridCol w:w="369"/>
        <w:gridCol w:w="1019"/>
        <w:gridCol w:w="511"/>
        <w:gridCol w:w="1110"/>
        <w:gridCol w:w="1020"/>
        <w:gridCol w:w="3168"/>
      </w:tblGrid>
      <w:tr>
        <w:tblPrEx>
          <w:shd w:val="clear" w:color="auto" w:fill="auto"/>
          <w:tblCellMar>
            <w:top w:w="0" w:type="dxa"/>
            <w:left w:w="108" w:type="dxa"/>
            <w:bottom w:w="0" w:type="dxa"/>
            <w:right w:w="108" w:type="dxa"/>
          </w:tblCellMar>
        </w:tblPrEx>
        <w:trPr>
          <w:trHeight w:val="1148" w:hRule="atLeast"/>
        </w:trPr>
        <w:tc>
          <w:tcPr>
            <w:tcW w:w="92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765" w:hRule="atLeast"/>
        </w:trPr>
        <w:tc>
          <w:tcPr>
            <w:tcW w:w="92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382" w:hRule="atLeast"/>
        </w:trPr>
        <w:tc>
          <w:tcPr>
            <w:tcW w:w="9280" w:type="dxa"/>
            <w:gridSpan w:val="9"/>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777" w:hRule="atLeast"/>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58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地委组织部驻村工作经费</w:t>
            </w:r>
          </w:p>
        </w:tc>
      </w:tr>
      <w:tr>
        <w:tblPrEx>
          <w:shd w:val="clear" w:color="auto" w:fill="auto"/>
          <w:tblCellMar>
            <w:top w:w="0" w:type="dxa"/>
            <w:left w:w="108" w:type="dxa"/>
            <w:bottom w:w="0" w:type="dxa"/>
            <w:right w:w="108" w:type="dxa"/>
          </w:tblCellMar>
        </w:tblPrEx>
        <w:trPr>
          <w:trHeight w:val="777" w:hRule="atLeast"/>
        </w:trPr>
        <w:tc>
          <w:tcPr>
            <w:tcW w:w="69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3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中国共产党塔城地区委员会组织部</w:t>
            </w:r>
          </w:p>
        </w:tc>
      </w:tr>
      <w:tr>
        <w:tblPrEx>
          <w:shd w:val="clear" w:color="auto" w:fill="auto"/>
          <w:tblCellMar>
            <w:top w:w="0" w:type="dxa"/>
            <w:left w:w="108" w:type="dxa"/>
            <w:bottom w:w="0" w:type="dxa"/>
            <w:right w:w="108" w:type="dxa"/>
          </w:tblCellMar>
        </w:tblPrEx>
        <w:trPr>
          <w:trHeight w:val="1160" w:hRule="atLeast"/>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1389" w:type="dxa"/>
            <w:gridSpan w:val="2"/>
            <w:tcBorders>
              <w:top w:val="single" w:color="auto" w:sz="4" w:space="0"/>
              <w:left w:val="single" w:color="auto" w:sz="4" w:space="0"/>
              <w:bottom w:val="single" w:color="auto" w:sz="4" w:space="0"/>
              <w:right w:val="nil"/>
            </w:tcBorders>
            <w:shd w:val="clear" w:color="auto" w:fill="auto"/>
            <w:noWrap/>
            <w:vAlign w:val="bottom"/>
          </w:tcPr>
          <w:p>
            <w:pPr>
              <w:rPr>
                <w:rFonts w:hint="eastAsia" w:ascii="Arial" w:hAnsi="Arial" w:cs="Arial"/>
                <w:i w:val="0"/>
                <w:iCs w:val="0"/>
                <w:color w:val="000000"/>
                <w:sz w:val="20"/>
                <w:szCs w:val="20"/>
                <w:u w:val="none"/>
              </w:rPr>
            </w:pPr>
          </w:p>
        </w:tc>
        <w:tc>
          <w:tcPr>
            <w:tcW w:w="369" w:type="dxa"/>
            <w:tcBorders>
              <w:top w:val="single" w:color="auto" w:sz="4" w:space="0"/>
              <w:left w:val="nil"/>
              <w:bottom w:val="single" w:color="auto" w:sz="4" w:space="0"/>
              <w:right w:val="single" w:color="auto" w:sz="4" w:space="0"/>
            </w:tcBorders>
            <w:shd w:val="clear" w:color="auto" w:fill="auto"/>
            <w:noWrap/>
            <w:vAlign w:val="bottom"/>
          </w:tcPr>
          <w:p>
            <w:pPr>
              <w:rPr>
                <w:rFonts w:hint="default" w:ascii="Arial" w:hAnsi="Arial" w:cs="Arial"/>
                <w:i w:val="0"/>
                <w:iCs w:val="0"/>
                <w:color w:val="000000"/>
                <w:sz w:val="20"/>
                <w:szCs w:val="20"/>
                <w:u w:val="none"/>
              </w:rPr>
            </w:pPr>
          </w:p>
        </w:tc>
        <w:tc>
          <w:tcPr>
            <w:tcW w:w="101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162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777" w:hRule="atLeast"/>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758" w:type="dxa"/>
            <w:gridSpan w:val="3"/>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1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90</w:t>
            </w:r>
          </w:p>
        </w:tc>
        <w:tc>
          <w:tcPr>
            <w:tcW w:w="16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71.41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71.41</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108" w:type="dxa"/>
            <w:bottom w:w="0" w:type="dxa"/>
            <w:right w:w="108" w:type="dxa"/>
          </w:tblCellMar>
        </w:tblPrEx>
        <w:trPr>
          <w:trHeight w:val="495" w:hRule="atLeast"/>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5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90.00</w:t>
            </w:r>
          </w:p>
        </w:tc>
        <w:tc>
          <w:tcPr>
            <w:tcW w:w="16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71.41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71.41</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542" w:hRule="atLeast"/>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5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6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395" w:hRule="atLeast"/>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5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6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542" w:hRule="atLeast"/>
        </w:trPr>
        <w:tc>
          <w:tcPr>
            <w:tcW w:w="69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3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4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777" w:hRule="atLeast"/>
        </w:trPr>
        <w:tc>
          <w:tcPr>
            <w:tcW w:w="69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保障地区驻村工作领导小组办公室正常运转。</w:t>
            </w:r>
          </w:p>
        </w:tc>
        <w:tc>
          <w:tcPr>
            <w:tcW w:w="4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保障地区驻村工作领导小组办公室正常运转。</w:t>
            </w:r>
          </w:p>
        </w:tc>
      </w:tr>
      <w:tr>
        <w:tblPrEx>
          <w:shd w:val="clear" w:color="auto" w:fill="auto"/>
          <w:tblCellMar>
            <w:top w:w="0" w:type="dxa"/>
            <w:left w:w="108" w:type="dxa"/>
            <w:bottom w:w="0" w:type="dxa"/>
            <w:right w:w="108" w:type="dxa"/>
          </w:tblCellMar>
        </w:tblPrEx>
        <w:trPr>
          <w:trHeight w:val="777" w:hRule="atLeast"/>
        </w:trPr>
        <w:tc>
          <w:tcPr>
            <w:tcW w:w="694"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实际完成值</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777" w:hRule="atLeast"/>
        </w:trPr>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指导调研全年次数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12次</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6次</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原因影响，未完成全年调研次数</w:t>
            </w:r>
          </w:p>
        </w:tc>
      </w:tr>
      <w:tr>
        <w:tblPrEx>
          <w:shd w:val="clear" w:color="auto" w:fill="auto"/>
          <w:tblCellMar>
            <w:top w:w="0" w:type="dxa"/>
            <w:left w:w="108" w:type="dxa"/>
            <w:bottom w:w="0" w:type="dxa"/>
            <w:right w:w="108" w:type="dxa"/>
          </w:tblCellMar>
        </w:tblPrEx>
        <w:trPr>
          <w:trHeight w:val="506"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工作推进会</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1次</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14"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工作调度会</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1次</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777"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成立</w:t>
            </w:r>
            <w:r>
              <w:rPr>
                <w:rFonts w:hint="eastAsia" w:ascii="宋体" w:hAnsi="宋体" w:cs="宋体"/>
                <w:i w:val="0"/>
                <w:color w:val="000000"/>
                <w:kern w:val="0"/>
                <w:sz w:val="18"/>
                <w:szCs w:val="18"/>
                <w:u w:val="none"/>
                <w:lang w:val="en-US" w:eastAsia="zh-CN" w:bidi="ar"/>
              </w:rPr>
              <w:t>驻村</w:t>
            </w:r>
            <w:r>
              <w:rPr>
                <w:rFonts w:hint="eastAsia" w:ascii="宋体" w:hAnsi="宋体" w:eastAsia="宋体" w:cs="宋体"/>
                <w:i w:val="0"/>
                <w:color w:val="000000"/>
                <w:kern w:val="0"/>
                <w:sz w:val="18"/>
                <w:szCs w:val="18"/>
                <w:u w:val="none"/>
                <w:lang w:val="en-US" w:eastAsia="zh-CN" w:bidi="ar"/>
              </w:rPr>
              <w:t>工作考核小组</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3个</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3个</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95"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调研指导全覆盖县市</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7个</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7个</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6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督导派出单位协助工作队完成驻村工作任务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效果显著</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效果显著</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41"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督导任务完成时间</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12个月</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88"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考核任务完成时间</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12个月</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777"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办公费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10.5万元</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原因影响，未完成年初预算指标额</w:t>
            </w:r>
          </w:p>
        </w:tc>
      </w:tr>
      <w:tr>
        <w:tblPrEx>
          <w:shd w:val="clear" w:color="auto" w:fill="auto"/>
          <w:tblCellMar>
            <w:top w:w="0" w:type="dxa"/>
            <w:left w:w="108" w:type="dxa"/>
            <w:bottom w:w="0" w:type="dxa"/>
            <w:right w:w="108" w:type="dxa"/>
          </w:tblCellMar>
        </w:tblPrEx>
        <w:trPr>
          <w:trHeight w:val="777"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印刷费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1.99万元</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原因影响，未完成年初预算指标额</w:t>
            </w:r>
          </w:p>
        </w:tc>
      </w:tr>
      <w:tr>
        <w:tblPrEx>
          <w:shd w:val="clear" w:color="auto" w:fill="auto"/>
          <w:tblCellMar>
            <w:top w:w="0" w:type="dxa"/>
            <w:left w:w="108" w:type="dxa"/>
            <w:bottom w:w="0" w:type="dxa"/>
            <w:right w:w="108" w:type="dxa"/>
          </w:tblCellMar>
        </w:tblPrEx>
        <w:trPr>
          <w:trHeight w:val="777"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差旅费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≤50万元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42.1万元</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原因影响，未完成年初预算指标额</w:t>
            </w:r>
          </w:p>
        </w:tc>
      </w:tr>
      <w:tr>
        <w:tblPrEx>
          <w:shd w:val="clear" w:color="auto" w:fill="auto"/>
          <w:tblCellMar>
            <w:top w:w="0" w:type="dxa"/>
            <w:left w:w="108" w:type="dxa"/>
            <w:bottom w:w="0" w:type="dxa"/>
            <w:right w:w="108" w:type="dxa"/>
          </w:tblCellMar>
        </w:tblPrEx>
        <w:trPr>
          <w:trHeight w:val="404"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会议费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1万元</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95"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5万元</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777"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其他工作经费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≤3.15万无</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1.39万元</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原因影响，未完成年初预算指标额</w:t>
            </w:r>
          </w:p>
        </w:tc>
      </w:tr>
      <w:tr>
        <w:tblPrEx>
          <w:shd w:val="clear" w:color="auto" w:fill="auto"/>
          <w:tblCellMar>
            <w:top w:w="0" w:type="dxa"/>
            <w:left w:w="108" w:type="dxa"/>
            <w:bottom w:w="0" w:type="dxa"/>
            <w:right w:w="108" w:type="dxa"/>
          </w:tblCellMar>
        </w:tblPrEx>
        <w:trPr>
          <w:trHeight w:val="777"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物业管理费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≤0.35万元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0.2万元</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原因影响，未完成年初预算指标额</w:t>
            </w:r>
          </w:p>
        </w:tc>
      </w:tr>
      <w:tr>
        <w:tblPrEx>
          <w:shd w:val="clear" w:color="auto" w:fill="auto"/>
          <w:tblCellMar>
            <w:top w:w="0" w:type="dxa"/>
            <w:left w:w="108" w:type="dxa"/>
            <w:bottom w:w="0" w:type="dxa"/>
            <w:right w:w="108" w:type="dxa"/>
          </w:tblCellMar>
        </w:tblPrEx>
        <w:trPr>
          <w:trHeight w:val="777"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维修（护）费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2.1万元</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原因影响，未完成年初预算指标额</w:t>
            </w:r>
          </w:p>
        </w:tc>
      </w:tr>
      <w:tr>
        <w:tblPrEx>
          <w:shd w:val="clear" w:color="auto" w:fill="auto"/>
          <w:tblCellMar>
            <w:top w:w="0" w:type="dxa"/>
            <w:left w:w="108" w:type="dxa"/>
            <w:bottom w:w="0" w:type="dxa"/>
            <w:right w:w="108" w:type="dxa"/>
          </w:tblCellMar>
        </w:tblPrEx>
        <w:trPr>
          <w:trHeight w:val="777"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劳务费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0.35万元</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原因影响，未完成年初预算指标额</w:t>
            </w:r>
          </w:p>
        </w:tc>
      </w:tr>
      <w:tr>
        <w:tblPrEx>
          <w:shd w:val="clear" w:color="auto" w:fill="auto"/>
          <w:tblCellMar>
            <w:top w:w="0" w:type="dxa"/>
            <w:left w:w="108" w:type="dxa"/>
            <w:bottom w:w="0" w:type="dxa"/>
            <w:right w:w="108" w:type="dxa"/>
          </w:tblCellMar>
        </w:tblPrEx>
        <w:trPr>
          <w:trHeight w:val="777"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培训费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0.04</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bookmarkStart w:id="2" w:name="_GoBack"/>
            <w:bookmarkEnd w:id="2"/>
            <w:r>
              <w:rPr>
                <w:rFonts w:hint="eastAsia" w:ascii="宋体" w:hAnsi="宋体" w:eastAsia="宋体" w:cs="宋体"/>
                <w:i w:val="0"/>
                <w:color w:val="000000"/>
                <w:kern w:val="0"/>
                <w:sz w:val="18"/>
                <w:szCs w:val="18"/>
                <w:u w:val="none"/>
                <w:lang w:val="en-US" w:eastAsia="zh-CN" w:bidi="ar"/>
              </w:rPr>
              <w:t>原因影响，未完成年初预算指标额</w:t>
            </w:r>
          </w:p>
        </w:tc>
      </w:tr>
      <w:tr>
        <w:tblPrEx>
          <w:shd w:val="clear" w:color="auto" w:fill="auto"/>
          <w:tblCellMar>
            <w:top w:w="0" w:type="dxa"/>
            <w:left w:w="108" w:type="dxa"/>
            <w:bottom w:w="0" w:type="dxa"/>
            <w:right w:w="108" w:type="dxa"/>
          </w:tblCellMar>
        </w:tblPrEx>
        <w:trPr>
          <w:trHeight w:val="395"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邮电费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1.5万元</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777"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把党的政策宣传到最后一公里</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效果明显</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241"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提升党的人民群众中的威望</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效果明显</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6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加强党的基层阵地建设</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效果显著</w:t>
            </w:r>
          </w:p>
        </w:tc>
        <w:tc>
          <w:tcPr>
            <w:tcW w:w="31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291" w:hRule="atLeast"/>
        </w:trPr>
        <w:tc>
          <w:tcPr>
            <w:tcW w:w="694" w:type="dxa"/>
            <w:vMerge w:val="continue"/>
            <w:tcBorders>
              <w:top w:val="single" w:color="000000"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5" w:type="dxa"/>
            <w:tcBorders>
              <w:top w:val="single" w:color="000000"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93" w:type="dxa"/>
            <w:gridSpan w:val="2"/>
            <w:tcBorders>
              <w:top w:val="single" w:color="000000"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530" w:type="dxa"/>
            <w:gridSpan w:val="2"/>
            <w:tcBorders>
              <w:top w:val="single" w:color="000000"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color w:val="000000"/>
                <w:kern w:val="0"/>
                <w:sz w:val="18"/>
                <w:szCs w:val="18"/>
                <w:u w:val="none"/>
                <w:lang w:val="en-US" w:eastAsia="zh-CN" w:bidi="ar"/>
              </w:rPr>
              <w:t>驻村</w:t>
            </w:r>
            <w:r>
              <w:rPr>
                <w:rFonts w:hint="eastAsia" w:ascii="宋体" w:hAnsi="宋体" w:eastAsia="宋体" w:cs="宋体"/>
                <w:i w:val="0"/>
                <w:color w:val="000000"/>
                <w:kern w:val="0"/>
                <w:sz w:val="18"/>
                <w:szCs w:val="18"/>
                <w:u w:val="none"/>
                <w:lang w:val="en-US" w:eastAsia="zh-CN" w:bidi="ar"/>
              </w:rPr>
              <w:t>工作队的满意度</w:t>
            </w:r>
          </w:p>
        </w:tc>
        <w:tc>
          <w:tcPr>
            <w:tcW w:w="1110" w:type="dxa"/>
            <w:tcBorders>
              <w:top w:val="single" w:color="000000"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020" w:type="dxa"/>
            <w:tcBorders>
              <w:top w:val="single" w:color="000000"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99%</w:t>
            </w:r>
          </w:p>
        </w:tc>
        <w:tc>
          <w:tcPr>
            <w:tcW w:w="3168" w:type="dxa"/>
            <w:tcBorders>
              <w:top w:val="single" w:color="000000"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392" w:hRule="atLeast"/>
        </w:trPr>
        <w:tc>
          <w:tcPr>
            <w:tcW w:w="9280" w:type="dxa"/>
            <w:gridSpan w:val="9"/>
            <w:tcBorders>
              <w:top w:val="single" w:color="auto"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bl>
    <w:p>
      <w:pPr>
        <w:keepNext w:val="0"/>
        <w:keepLines w:val="0"/>
        <w:pageBreakBefore w:val="0"/>
        <w:widowControl w:val="0"/>
        <w:tabs>
          <w:tab w:val="left" w:pos="1917"/>
        </w:tabs>
        <w:kinsoku/>
        <w:wordWrap/>
        <w:overflowPunct/>
        <w:topLinePunct w:val="0"/>
        <w:autoSpaceDE/>
        <w:autoSpaceDN/>
        <w:bidi w:val="0"/>
        <w:adjustRightInd/>
        <w:snapToGrid/>
        <w:textAlignment w:val="auto"/>
        <w:rPr>
          <w:rFonts w:hint="eastAsia" w:eastAsia="宋体"/>
          <w:lang w:eastAsia="zh-CN"/>
        </w:rPr>
      </w:pPr>
    </w:p>
    <w:p>
      <w:pPr>
        <w:spacing w:line="540" w:lineRule="exact"/>
        <w:ind w:firstLine="640"/>
        <w:rPr>
          <w:rStyle w:val="20"/>
          <w:rFonts w:ascii="黑体" w:hAnsi="黑体" w:eastAsia="黑体"/>
          <w:bCs w:val="0"/>
          <w:spacing w:val="-4"/>
          <w:sz w:val="32"/>
          <w:szCs w:val="32"/>
        </w:rPr>
      </w:pPr>
    </w:p>
    <w:p>
      <w:pPr>
        <w:tabs>
          <w:tab w:val="left" w:pos="6792"/>
        </w:tabs>
        <w:spacing w:line="540" w:lineRule="exact"/>
        <w:ind w:firstLine="640"/>
        <w:rPr>
          <w:rStyle w:val="20"/>
          <w:rFonts w:hint="eastAsia" w:ascii="黑体" w:hAnsi="黑体" w:eastAsia="黑体"/>
          <w:bCs w:val="0"/>
          <w:spacing w:val="-4"/>
          <w:sz w:val="32"/>
          <w:szCs w:val="32"/>
          <w:lang w:eastAsia="zh-CN"/>
        </w:rPr>
      </w:pPr>
      <w:r>
        <w:rPr>
          <w:rStyle w:val="20"/>
          <w:rFonts w:hint="eastAsia" w:ascii="黑体" w:hAnsi="黑体" w:eastAsia="黑体"/>
          <w:bCs w:val="0"/>
          <w:spacing w:val="-4"/>
          <w:sz w:val="32"/>
          <w:szCs w:val="32"/>
          <w:lang w:eastAsia="zh-CN"/>
        </w:rPr>
        <w:tab/>
      </w:r>
    </w:p>
    <w:p>
      <w:pPr>
        <w:pStyle w:val="2"/>
        <w:rPr>
          <w:rFonts w:hint="eastAsia"/>
          <w:lang w:eastAsia="zh-CN"/>
        </w:rPr>
      </w:pPr>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rPr>
          <w:rStyle w:val="20"/>
          <w:rFonts w:ascii="仿宋" w:hAnsi="仿宋" w:eastAsia="仿宋"/>
          <w:b w:val="0"/>
          <w:spacing w:val="-4"/>
          <w:sz w:val="32"/>
          <w:szCs w:val="32"/>
        </w:rPr>
      </w:pPr>
    </w:p>
    <w:p>
      <w:pPr>
        <w:pStyle w:val="2"/>
      </w:pPr>
    </w:p>
    <w:p/>
    <w:p>
      <w:pPr>
        <w:pStyle w:val="2"/>
      </w:pPr>
    </w:p>
    <w:p/>
    <w:p>
      <w:pPr>
        <w:pStyle w:val="2"/>
      </w:pPr>
    </w:p>
    <w:p/>
    <w:p>
      <w:pPr>
        <w:pStyle w:val="2"/>
      </w:pPr>
    </w:p>
    <w:p/>
    <w:p>
      <w:pPr>
        <w:pStyle w:val="2"/>
      </w:pPr>
    </w:p>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pPr>
        <w:ind w:left="199"/>
      </w:pPr>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abstractNum w:abstractNumId="7">
    <w:nsid w:val="77FBA22E"/>
    <w:multiLevelType w:val="singleLevel"/>
    <w:tmpl w:val="77FBA22E"/>
    <w:lvl w:ilvl="0" w:tentative="0">
      <w:start w:val="2"/>
      <w:numFmt w:val="decimal"/>
      <w:suff w:val="nothing"/>
      <w:lvlText w:val="（%1）"/>
      <w:lvlJc w:val="left"/>
    </w:lvl>
  </w:abstractNum>
  <w:num w:numId="1">
    <w:abstractNumId w:val="2"/>
  </w:num>
  <w:num w:numId="2">
    <w:abstractNumId w:val="7"/>
  </w:num>
  <w:num w:numId="3">
    <w:abstractNumId w:val="1"/>
  </w:num>
  <w:num w:numId="4">
    <w:abstractNumId w:val="5"/>
  </w:num>
  <w:num w:numId="5">
    <w:abstractNumId w:val="4"/>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0E718F"/>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1672DAC"/>
    <w:rsid w:val="024D5196"/>
    <w:rsid w:val="041526F6"/>
    <w:rsid w:val="051A56F5"/>
    <w:rsid w:val="05AD67AE"/>
    <w:rsid w:val="066D6EAA"/>
    <w:rsid w:val="075B1052"/>
    <w:rsid w:val="07D77566"/>
    <w:rsid w:val="07F93478"/>
    <w:rsid w:val="08C662D4"/>
    <w:rsid w:val="08E0442B"/>
    <w:rsid w:val="09BD4D95"/>
    <w:rsid w:val="0DE116A4"/>
    <w:rsid w:val="0E4E5C95"/>
    <w:rsid w:val="0F7151C7"/>
    <w:rsid w:val="0F8D41CB"/>
    <w:rsid w:val="10015225"/>
    <w:rsid w:val="11C75270"/>
    <w:rsid w:val="12637CC3"/>
    <w:rsid w:val="12E657C5"/>
    <w:rsid w:val="15A17731"/>
    <w:rsid w:val="167C7687"/>
    <w:rsid w:val="168B3546"/>
    <w:rsid w:val="16DB4417"/>
    <w:rsid w:val="17141F95"/>
    <w:rsid w:val="18DF2CDD"/>
    <w:rsid w:val="199012AB"/>
    <w:rsid w:val="1A2374E0"/>
    <w:rsid w:val="1A482B54"/>
    <w:rsid w:val="1C317CE2"/>
    <w:rsid w:val="1DA54F64"/>
    <w:rsid w:val="1DD45808"/>
    <w:rsid w:val="1DED42AC"/>
    <w:rsid w:val="20005763"/>
    <w:rsid w:val="209B5D19"/>
    <w:rsid w:val="20FB313D"/>
    <w:rsid w:val="220B4804"/>
    <w:rsid w:val="24881FE6"/>
    <w:rsid w:val="24CB6896"/>
    <w:rsid w:val="25751AEE"/>
    <w:rsid w:val="259711BF"/>
    <w:rsid w:val="282475E3"/>
    <w:rsid w:val="29E72CEF"/>
    <w:rsid w:val="2A5774FA"/>
    <w:rsid w:val="2B26597C"/>
    <w:rsid w:val="2C5837C1"/>
    <w:rsid w:val="2C6100C1"/>
    <w:rsid w:val="2DEF583D"/>
    <w:rsid w:val="2EE06422"/>
    <w:rsid w:val="31DA5065"/>
    <w:rsid w:val="3264220D"/>
    <w:rsid w:val="34236862"/>
    <w:rsid w:val="34411E95"/>
    <w:rsid w:val="346073C4"/>
    <w:rsid w:val="360D4F3B"/>
    <w:rsid w:val="36F3392D"/>
    <w:rsid w:val="37097C46"/>
    <w:rsid w:val="371E65F0"/>
    <w:rsid w:val="3836086A"/>
    <w:rsid w:val="3963178C"/>
    <w:rsid w:val="3B26206E"/>
    <w:rsid w:val="3EF52899"/>
    <w:rsid w:val="41CC2676"/>
    <w:rsid w:val="426B7355"/>
    <w:rsid w:val="43B72B91"/>
    <w:rsid w:val="46B21672"/>
    <w:rsid w:val="46C06F24"/>
    <w:rsid w:val="49857B4D"/>
    <w:rsid w:val="4A181015"/>
    <w:rsid w:val="4BEE18D3"/>
    <w:rsid w:val="4E4F6B67"/>
    <w:rsid w:val="4F4F4F46"/>
    <w:rsid w:val="4F552460"/>
    <w:rsid w:val="4FCC6863"/>
    <w:rsid w:val="500A214A"/>
    <w:rsid w:val="522D604D"/>
    <w:rsid w:val="52427533"/>
    <w:rsid w:val="5297585E"/>
    <w:rsid w:val="52AD7D6F"/>
    <w:rsid w:val="530741C6"/>
    <w:rsid w:val="53244CE8"/>
    <w:rsid w:val="53AE03A5"/>
    <w:rsid w:val="54B90193"/>
    <w:rsid w:val="55061E60"/>
    <w:rsid w:val="5549519D"/>
    <w:rsid w:val="5557596B"/>
    <w:rsid w:val="56044F15"/>
    <w:rsid w:val="576B5493"/>
    <w:rsid w:val="59116C98"/>
    <w:rsid w:val="59AE3BB1"/>
    <w:rsid w:val="5A9F3EA0"/>
    <w:rsid w:val="5B596DFC"/>
    <w:rsid w:val="5DF03945"/>
    <w:rsid w:val="5EDC20CF"/>
    <w:rsid w:val="5F277955"/>
    <w:rsid w:val="5F935B86"/>
    <w:rsid w:val="60856924"/>
    <w:rsid w:val="60DC12BC"/>
    <w:rsid w:val="62C81623"/>
    <w:rsid w:val="637C2815"/>
    <w:rsid w:val="63B05BF3"/>
    <w:rsid w:val="64393CE3"/>
    <w:rsid w:val="64833FF6"/>
    <w:rsid w:val="65330C07"/>
    <w:rsid w:val="657511A4"/>
    <w:rsid w:val="664006D3"/>
    <w:rsid w:val="67691A52"/>
    <w:rsid w:val="68E25708"/>
    <w:rsid w:val="6B300990"/>
    <w:rsid w:val="6B7E2D0A"/>
    <w:rsid w:val="6E455177"/>
    <w:rsid w:val="6FDE0FEF"/>
    <w:rsid w:val="710902FF"/>
    <w:rsid w:val="729A604C"/>
    <w:rsid w:val="75335F1B"/>
    <w:rsid w:val="77002A76"/>
    <w:rsid w:val="771E3701"/>
    <w:rsid w:val="77F766C7"/>
    <w:rsid w:val="789F4FEB"/>
    <w:rsid w:val="798C7FED"/>
    <w:rsid w:val="7A353D0B"/>
    <w:rsid w:val="7B7745B9"/>
    <w:rsid w:val="7C0F04F7"/>
    <w:rsid w:val="7D3A5E2F"/>
    <w:rsid w:val="7D442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7"/>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Body Text First Indent"/>
    <w:basedOn w:val="12"/>
    <w:qFormat/>
    <w:uiPriority w:val="0"/>
    <w:pPr>
      <w:spacing w:after="0"/>
      <w:ind w:firstLine="200" w:firstLineChars="200"/>
    </w:p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字符"/>
    <w:basedOn w:val="19"/>
    <w:link w:val="3"/>
    <w:qFormat/>
    <w:uiPriority w:val="9"/>
    <w:rPr>
      <w:rFonts w:asciiTheme="majorHAnsi" w:hAnsiTheme="majorHAnsi" w:eastAsiaTheme="majorEastAsia"/>
      <w:b/>
      <w:bCs/>
      <w:kern w:val="32"/>
      <w:sz w:val="32"/>
      <w:szCs w:val="32"/>
    </w:rPr>
  </w:style>
  <w:style w:type="character" w:customStyle="1" w:styleId="23">
    <w:name w:val="标题 2 字符"/>
    <w:basedOn w:val="19"/>
    <w:link w:val="4"/>
    <w:semiHidden/>
    <w:qFormat/>
    <w:uiPriority w:val="9"/>
    <w:rPr>
      <w:rFonts w:asciiTheme="majorHAnsi" w:hAnsiTheme="majorHAnsi" w:eastAsiaTheme="majorEastAsia"/>
      <w:b/>
      <w:bCs/>
      <w:i/>
      <w:iCs/>
      <w:sz w:val="28"/>
      <w:szCs w:val="28"/>
    </w:rPr>
  </w:style>
  <w:style w:type="character" w:customStyle="1" w:styleId="24">
    <w:name w:val="标题 3 字符"/>
    <w:basedOn w:val="19"/>
    <w:link w:val="5"/>
    <w:semiHidden/>
    <w:qFormat/>
    <w:uiPriority w:val="9"/>
    <w:rPr>
      <w:rFonts w:asciiTheme="majorHAnsi" w:hAnsiTheme="majorHAnsi" w:eastAsiaTheme="majorEastAsia"/>
      <w:b/>
      <w:bCs/>
      <w:sz w:val="26"/>
      <w:szCs w:val="26"/>
    </w:rPr>
  </w:style>
  <w:style w:type="character" w:customStyle="1" w:styleId="25">
    <w:name w:val="标题 4 字符"/>
    <w:basedOn w:val="19"/>
    <w:link w:val="6"/>
    <w:semiHidden/>
    <w:qFormat/>
    <w:uiPriority w:val="9"/>
    <w:rPr>
      <w:b/>
      <w:bCs/>
      <w:sz w:val="28"/>
      <w:szCs w:val="28"/>
    </w:rPr>
  </w:style>
  <w:style w:type="character" w:customStyle="1" w:styleId="26">
    <w:name w:val="标题 5 字符"/>
    <w:basedOn w:val="19"/>
    <w:link w:val="7"/>
    <w:semiHidden/>
    <w:qFormat/>
    <w:uiPriority w:val="9"/>
    <w:rPr>
      <w:b/>
      <w:bCs/>
      <w:i/>
      <w:iCs/>
      <w:sz w:val="26"/>
      <w:szCs w:val="26"/>
    </w:rPr>
  </w:style>
  <w:style w:type="character" w:customStyle="1" w:styleId="27">
    <w:name w:val="标题 6 字符"/>
    <w:basedOn w:val="19"/>
    <w:link w:val="8"/>
    <w:semiHidden/>
    <w:qFormat/>
    <w:uiPriority w:val="9"/>
    <w:rPr>
      <w:b/>
      <w:bCs/>
    </w:rPr>
  </w:style>
  <w:style w:type="character" w:customStyle="1" w:styleId="28">
    <w:name w:val="标题 7 字符"/>
    <w:basedOn w:val="19"/>
    <w:link w:val="9"/>
    <w:semiHidden/>
    <w:qFormat/>
    <w:uiPriority w:val="9"/>
    <w:rPr>
      <w:sz w:val="24"/>
      <w:szCs w:val="24"/>
    </w:rPr>
  </w:style>
  <w:style w:type="character" w:customStyle="1" w:styleId="29">
    <w:name w:val="标题 8 字符"/>
    <w:basedOn w:val="19"/>
    <w:link w:val="10"/>
    <w:semiHidden/>
    <w:qFormat/>
    <w:uiPriority w:val="9"/>
    <w:rPr>
      <w:i/>
      <w:iCs/>
      <w:sz w:val="24"/>
      <w:szCs w:val="24"/>
    </w:rPr>
  </w:style>
  <w:style w:type="character" w:customStyle="1" w:styleId="30">
    <w:name w:val="标题 9 字符"/>
    <w:basedOn w:val="19"/>
    <w:link w:val="11"/>
    <w:semiHidden/>
    <w:qFormat/>
    <w:uiPriority w:val="9"/>
    <w:rPr>
      <w:rFonts w:asciiTheme="majorHAnsi" w:hAnsiTheme="majorHAnsi" w:eastAsiaTheme="majorEastAsia"/>
    </w:rPr>
  </w:style>
  <w:style w:type="character" w:customStyle="1" w:styleId="31">
    <w:name w:val="标题 字符"/>
    <w:basedOn w:val="19"/>
    <w:link w:val="2"/>
    <w:qFormat/>
    <w:uiPriority w:val="10"/>
    <w:rPr>
      <w:rFonts w:asciiTheme="majorHAnsi" w:hAnsiTheme="majorHAnsi" w:eastAsiaTheme="majorEastAsia"/>
      <w:b/>
      <w:bCs/>
      <w:kern w:val="28"/>
      <w:sz w:val="32"/>
      <w:szCs w:val="32"/>
    </w:rPr>
  </w:style>
  <w:style w:type="character" w:customStyle="1" w:styleId="32">
    <w:name w:val="副标题 字符"/>
    <w:basedOn w:val="19"/>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9"/>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3"/>
    <w:next w:val="1"/>
    <w:semiHidden/>
    <w:unhideWhenUsed/>
    <w:qFormat/>
    <w:uiPriority w:val="39"/>
    <w:pPr>
      <w:outlineLvl w:val="9"/>
    </w:pPr>
    <w:rPr>
      <w:lang w:eastAsia="en-US" w:bidi="en-US"/>
    </w:rPr>
  </w:style>
  <w:style w:type="character" w:customStyle="1" w:styleId="45">
    <w:name w:val="页眉 字符"/>
    <w:basedOn w:val="19"/>
    <w:link w:val="15"/>
    <w:qFormat/>
    <w:uiPriority w:val="99"/>
    <w:rPr>
      <w:rFonts w:ascii="Calibri" w:hAnsi="Calibri" w:eastAsia="宋体"/>
      <w:kern w:val="2"/>
      <w:sz w:val="18"/>
      <w:szCs w:val="18"/>
    </w:rPr>
  </w:style>
  <w:style w:type="character" w:customStyle="1" w:styleId="46">
    <w:name w:val="页脚 字符"/>
    <w:basedOn w:val="19"/>
    <w:link w:val="14"/>
    <w:qFormat/>
    <w:uiPriority w:val="99"/>
    <w:rPr>
      <w:rFonts w:ascii="Calibri" w:hAnsi="Calibri" w:eastAsia="宋体"/>
      <w:kern w:val="2"/>
      <w:sz w:val="18"/>
      <w:szCs w:val="18"/>
    </w:rPr>
  </w:style>
  <w:style w:type="character" w:customStyle="1" w:styleId="47">
    <w:name w:val="批注框文本 字符"/>
    <w:basedOn w:val="19"/>
    <w:link w:val="13"/>
    <w:semiHidden/>
    <w:qFormat/>
    <w:uiPriority w:val="99"/>
    <w:rPr>
      <w:rFonts w:ascii="Times New Roman" w:hAnsi="Times New Roman" w:eastAsia="宋体"/>
      <w:kern w:val="2"/>
      <w:sz w:val="18"/>
      <w:szCs w:val="18"/>
    </w:rPr>
  </w:style>
  <w:style w:type="paragraph" w:customStyle="1" w:styleId="48">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49">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0</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2025-09-09T08:30:48Z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124821E0F75043B2AF9DDE95DEF9E9A2</vt:lpwstr>
  </property>
  <property fmtid="{D5CDD505-2E9C-101B-9397-08002B2CF9AE}" pid="4" name="KSOSaveFontToCloudKey">
    <vt:lpwstr>1174200665_cloud</vt:lpwstr>
  </property>
</Properties>
</file>