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b/>
          <w:bCs/>
          <w:kern w:val="0"/>
          <w:sz w:val="52"/>
          <w:szCs w:val="52"/>
        </w:rPr>
      </w:pPr>
    </w:p>
    <w:p>
      <w:pPr>
        <w:spacing w:line="540" w:lineRule="exact"/>
        <w:jc w:val="center"/>
        <w:rPr>
          <w:rFonts w:ascii="华文中宋" w:hAnsi="华文中宋" w:eastAsia="华文中宋"/>
          <w:b/>
          <w:bCs/>
          <w:kern w:val="0"/>
          <w:sz w:val="52"/>
          <w:szCs w:val="52"/>
        </w:rPr>
      </w:pPr>
    </w:p>
    <w:p>
      <w:pPr>
        <w:spacing w:line="540" w:lineRule="exact"/>
        <w:jc w:val="center"/>
        <w:rPr>
          <w:rFonts w:ascii="华文中宋" w:hAnsi="华文中宋" w:eastAsia="华文中宋"/>
          <w:b/>
          <w:bCs/>
          <w:kern w:val="0"/>
          <w:sz w:val="52"/>
          <w:szCs w:val="52"/>
        </w:rPr>
      </w:pPr>
    </w:p>
    <w:p>
      <w:pPr>
        <w:spacing w:line="540" w:lineRule="exact"/>
        <w:jc w:val="center"/>
        <w:rPr>
          <w:rFonts w:ascii="华文中宋" w:hAnsi="华文中宋" w:eastAsia="华文中宋"/>
          <w:b/>
          <w:bCs/>
          <w:kern w:val="0"/>
          <w:sz w:val="52"/>
          <w:szCs w:val="52"/>
        </w:rPr>
      </w:pPr>
    </w:p>
    <w:p>
      <w:pPr>
        <w:spacing w:line="540" w:lineRule="exact"/>
        <w:jc w:val="center"/>
        <w:rPr>
          <w:rFonts w:ascii="华文中宋" w:hAnsi="华文中宋" w:eastAsia="华文中宋"/>
          <w:b/>
          <w:bCs/>
          <w:kern w:val="0"/>
          <w:sz w:val="52"/>
          <w:szCs w:val="52"/>
        </w:rPr>
      </w:pPr>
    </w:p>
    <w:p>
      <w:pPr>
        <w:spacing w:line="540" w:lineRule="exact"/>
        <w:jc w:val="center"/>
        <w:rPr>
          <w:rFonts w:ascii="华文中宋" w:hAnsi="华文中宋" w:eastAsia="华文中宋"/>
          <w:b/>
          <w:bCs/>
          <w:kern w:val="0"/>
          <w:sz w:val="52"/>
          <w:szCs w:val="52"/>
        </w:rPr>
      </w:pPr>
    </w:p>
    <w:p>
      <w:pPr>
        <w:spacing w:line="540" w:lineRule="exact"/>
        <w:jc w:val="center"/>
        <w:rPr>
          <w:rFonts w:hint="eastAsia" w:ascii="方正小标宋_GBK" w:hAnsi="华文中宋" w:eastAsia="方正小标宋_GBK" w:cs="方正小标宋_GBK"/>
          <w:kern w:val="0"/>
          <w:sz w:val="44"/>
          <w:szCs w:val="44"/>
        </w:rPr>
      </w:pPr>
      <w:r>
        <w:rPr>
          <w:rFonts w:hint="eastAsia" w:ascii="方正小标宋_GBK" w:hAnsi="华文中宋" w:eastAsia="方正小标宋_GBK" w:cs="方正小标宋_GBK"/>
          <w:kern w:val="0"/>
          <w:sz w:val="44"/>
          <w:szCs w:val="44"/>
        </w:rPr>
        <w:t>中共塔城地区委员会机构编制委员会</w:t>
      </w:r>
      <w:r>
        <w:rPr>
          <w:rFonts w:ascii="方正小标宋_GBK" w:hAnsi="华文中宋" w:eastAsia="方正小标宋_GBK" w:cs="方正小标宋_GBK"/>
          <w:kern w:val="0"/>
          <w:sz w:val="44"/>
          <w:szCs w:val="44"/>
        </w:rPr>
        <w:t xml:space="preserve"> </w:t>
      </w:r>
      <w:r>
        <w:rPr>
          <w:rFonts w:hint="eastAsia" w:ascii="方正小标宋_GBK" w:hAnsi="华文中宋" w:eastAsia="方正小标宋_GBK" w:cs="方正小标宋_GBK"/>
          <w:kern w:val="0"/>
          <w:sz w:val="44"/>
          <w:szCs w:val="44"/>
        </w:rPr>
        <w:t>机构编制工作经费项目支出</w:t>
      </w:r>
    </w:p>
    <w:p>
      <w:pPr>
        <w:spacing w:line="540" w:lineRule="exact"/>
        <w:jc w:val="center"/>
        <w:rPr>
          <w:rFonts w:ascii="方正小标宋_GBK" w:hAnsi="华文中宋" w:eastAsia="方正小标宋_GBK"/>
          <w:kern w:val="0"/>
          <w:sz w:val="44"/>
          <w:szCs w:val="44"/>
        </w:rPr>
      </w:pPr>
      <w:r>
        <w:rPr>
          <w:rFonts w:hint="eastAsia" w:ascii="方正小标宋_GBK" w:hAnsi="华文中宋" w:eastAsia="方正小标宋_GBK" w:cs="方正小标宋_GBK"/>
          <w:kern w:val="0"/>
          <w:sz w:val="44"/>
          <w:szCs w:val="44"/>
        </w:rPr>
        <w:t>绩效评价报告</w:t>
      </w:r>
    </w:p>
    <w:p>
      <w:pPr>
        <w:spacing w:line="540" w:lineRule="exact"/>
        <w:jc w:val="center"/>
        <w:rPr>
          <w:rFonts w:ascii="华文中宋" w:hAnsi="华文中宋" w:eastAsia="华文中宋"/>
          <w:b/>
          <w:bCs/>
          <w:kern w:val="0"/>
          <w:sz w:val="52"/>
          <w:szCs w:val="52"/>
        </w:rPr>
      </w:pPr>
    </w:p>
    <w:p>
      <w:pPr>
        <w:spacing w:line="540" w:lineRule="exact"/>
        <w:jc w:val="center"/>
        <w:rPr>
          <w:rFonts w:hint="eastAsia" w:ascii="仿宋" w:hAnsi="仿宋" w:eastAsia="仿宋" w:cs="仿宋"/>
          <w:kern w:val="0"/>
          <w:sz w:val="36"/>
          <w:szCs w:val="36"/>
        </w:rPr>
      </w:pPr>
      <w:r>
        <w:rPr>
          <w:rFonts w:hint="eastAsia" w:ascii="仿宋" w:hAnsi="仿宋" w:eastAsia="仿宋" w:cs="仿宋"/>
          <w:kern w:val="0"/>
          <w:sz w:val="36"/>
          <w:szCs w:val="36"/>
        </w:rPr>
        <w:t>（ 2020年度）</w:t>
      </w:r>
    </w:p>
    <w:p>
      <w:pPr>
        <w:spacing w:line="540" w:lineRule="exact"/>
        <w:jc w:val="center"/>
        <w:rPr>
          <w:rFonts w:hAnsi="宋体" w:eastAsia="仿宋_GB2312"/>
          <w:kern w:val="0"/>
          <w:sz w:val="30"/>
          <w:szCs w:val="30"/>
        </w:rPr>
      </w:pPr>
    </w:p>
    <w:p>
      <w:pPr>
        <w:spacing w:line="540" w:lineRule="exact"/>
        <w:jc w:val="center"/>
        <w:rPr>
          <w:rFonts w:hAnsi="宋体" w:eastAsia="仿宋_GB2312"/>
          <w:kern w:val="0"/>
          <w:sz w:val="30"/>
          <w:szCs w:val="30"/>
        </w:rPr>
      </w:pPr>
    </w:p>
    <w:p>
      <w:pPr>
        <w:spacing w:line="540" w:lineRule="exact"/>
        <w:jc w:val="center"/>
        <w:rPr>
          <w:rFonts w:hAnsi="宋体" w:eastAsia="仿宋_GB2312"/>
          <w:kern w:val="0"/>
          <w:sz w:val="30"/>
          <w:szCs w:val="30"/>
        </w:rPr>
      </w:pPr>
    </w:p>
    <w:p>
      <w:pPr>
        <w:spacing w:line="540" w:lineRule="exact"/>
        <w:jc w:val="center"/>
        <w:rPr>
          <w:rFonts w:hAnsi="宋体" w:eastAsia="仿宋_GB2312"/>
          <w:kern w:val="0"/>
          <w:sz w:val="30"/>
          <w:szCs w:val="30"/>
        </w:rPr>
      </w:pPr>
    </w:p>
    <w:p>
      <w:pPr>
        <w:spacing w:line="540" w:lineRule="exact"/>
        <w:rPr>
          <w:rFonts w:hAnsi="宋体" w:eastAsia="仿宋_GB2312"/>
          <w:kern w:val="0"/>
          <w:sz w:val="30"/>
          <w:szCs w:val="30"/>
        </w:rPr>
      </w:pPr>
    </w:p>
    <w:p>
      <w:pPr>
        <w:spacing w:line="700" w:lineRule="exact"/>
        <w:ind w:firstLine="720" w:firstLineChars="200"/>
        <w:jc w:val="left"/>
        <w:rPr>
          <w:rFonts w:hAnsi="宋体" w:eastAsia="仿宋_GB2312"/>
          <w:kern w:val="0"/>
          <w:sz w:val="36"/>
          <w:szCs w:val="36"/>
        </w:rPr>
      </w:pPr>
      <w:r>
        <w:rPr>
          <w:rFonts w:hint="eastAsia" w:hAnsi="宋体" w:eastAsia="仿宋_GB2312" w:cs="仿宋_GB2312"/>
          <w:kern w:val="0"/>
          <w:sz w:val="36"/>
          <w:szCs w:val="36"/>
        </w:rPr>
        <w:t>项目名称：机构编制工作经费</w:t>
      </w:r>
    </w:p>
    <w:p>
      <w:pPr>
        <w:spacing w:line="700" w:lineRule="exact"/>
        <w:ind w:firstLine="720" w:firstLineChars="200"/>
        <w:jc w:val="left"/>
        <w:rPr>
          <w:rFonts w:hAnsi="宋体" w:eastAsia="仿宋_GB2312"/>
          <w:kern w:val="0"/>
          <w:sz w:val="36"/>
          <w:szCs w:val="36"/>
        </w:rPr>
      </w:pPr>
      <w:r>
        <w:rPr>
          <w:rFonts w:hint="eastAsia" w:hAnsi="宋体" w:eastAsia="仿宋_GB2312" w:cs="仿宋_GB2312"/>
          <w:kern w:val="0"/>
          <w:sz w:val="36"/>
          <w:szCs w:val="36"/>
        </w:rPr>
        <w:t>实施单位（公章）：中共塔城地委编办</w:t>
      </w:r>
    </w:p>
    <w:p>
      <w:pPr>
        <w:spacing w:line="700" w:lineRule="exact"/>
        <w:ind w:firstLine="720" w:firstLineChars="200"/>
        <w:jc w:val="left"/>
        <w:rPr>
          <w:rFonts w:hAnsi="宋体" w:eastAsia="仿宋_GB2312"/>
          <w:kern w:val="0"/>
          <w:sz w:val="36"/>
          <w:szCs w:val="36"/>
        </w:rPr>
      </w:pPr>
      <w:r>
        <w:rPr>
          <w:rFonts w:hint="eastAsia" w:hAnsi="宋体" w:eastAsia="仿宋_GB2312" w:cs="仿宋_GB2312"/>
          <w:kern w:val="0"/>
          <w:sz w:val="36"/>
          <w:szCs w:val="36"/>
        </w:rPr>
        <w:t>主管部门（公章）：中共塔城地委编办</w:t>
      </w:r>
    </w:p>
    <w:p>
      <w:pPr>
        <w:spacing w:line="700" w:lineRule="exact"/>
        <w:ind w:firstLine="720" w:firstLineChars="200"/>
        <w:jc w:val="left"/>
        <w:rPr>
          <w:rFonts w:hAnsi="宋体" w:eastAsia="仿宋_GB2312"/>
          <w:kern w:val="0"/>
          <w:sz w:val="36"/>
          <w:szCs w:val="36"/>
        </w:rPr>
      </w:pPr>
      <w:r>
        <w:rPr>
          <w:rFonts w:hint="eastAsia" w:hAnsi="宋体" w:eastAsia="仿宋_GB2312" w:cs="仿宋_GB2312"/>
          <w:kern w:val="0"/>
          <w:sz w:val="36"/>
          <w:szCs w:val="36"/>
        </w:rPr>
        <w:t>项目负责人（签章）：付新源</w:t>
      </w:r>
    </w:p>
    <w:p>
      <w:pPr>
        <w:spacing w:line="700" w:lineRule="exact"/>
        <w:ind w:firstLine="720" w:firstLineChars="200"/>
        <w:jc w:val="left"/>
        <w:rPr>
          <w:rFonts w:hAnsi="宋体" w:eastAsia="仿宋_GB2312"/>
          <w:kern w:val="0"/>
          <w:sz w:val="36"/>
          <w:szCs w:val="36"/>
        </w:rPr>
      </w:pPr>
      <w:r>
        <w:rPr>
          <w:rFonts w:hint="eastAsia" w:hAnsi="宋体" w:eastAsia="仿宋_GB2312" w:cs="仿宋_GB2312"/>
          <w:kern w:val="0"/>
          <w:sz w:val="36"/>
          <w:szCs w:val="36"/>
        </w:rPr>
        <w:t>填报时间：</w:t>
      </w:r>
      <w:r>
        <w:rPr>
          <w:rFonts w:hAnsi="宋体" w:eastAsia="仿宋_GB2312"/>
          <w:kern w:val="0"/>
          <w:sz w:val="36"/>
          <w:szCs w:val="36"/>
        </w:rPr>
        <w:t>2021</w:t>
      </w:r>
      <w:r>
        <w:rPr>
          <w:rFonts w:hint="eastAsia" w:hAnsi="宋体" w:eastAsia="仿宋_GB2312" w:cs="仿宋_GB2312"/>
          <w:kern w:val="0"/>
          <w:sz w:val="36"/>
          <w:szCs w:val="36"/>
        </w:rPr>
        <w:t>年</w:t>
      </w:r>
      <w:r>
        <w:rPr>
          <w:rFonts w:hAnsi="宋体" w:eastAsia="仿宋_GB2312"/>
          <w:kern w:val="0"/>
          <w:sz w:val="36"/>
          <w:szCs w:val="36"/>
        </w:rPr>
        <w:t>3</w:t>
      </w:r>
      <w:r>
        <w:rPr>
          <w:rFonts w:hint="eastAsia" w:hAnsi="宋体" w:eastAsia="仿宋_GB2312" w:cs="仿宋_GB2312"/>
          <w:kern w:val="0"/>
          <w:sz w:val="36"/>
          <w:szCs w:val="36"/>
        </w:rPr>
        <w:t>月</w:t>
      </w:r>
      <w:r>
        <w:rPr>
          <w:rFonts w:hAnsi="宋体" w:eastAsia="仿宋_GB2312"/>
          <w:kern w:val="0"/>
          <w:sz w:val="36"/>
          <w:szCs w:val="36"/>
        </w:rPr>
        <w:t>31</w:t>
      </w:r>
      <w:r>
        <w:rPr>
          <w:rFonts w:hint="eastAsia" w:hAnsi="宋体" w:eastAsia="仿宋_GB2312" w:cs="仿宋_GB2312"/>
          <w:kern w:val="0"/>
          <w:sz w:val="36"/>
          <w:szCs w:val="36"/>
        </w:rPr>
        <w:t>日</w:t>
      </w:r>
    </w:p>
    <w:p>
      <w:pPr>
        <w:spacing w:line="540" w:lineRule="exact"/>
        <w:jc w:val="center"/>
        <w:rPr>
          <w:rFonts w:hAnsi="宋体" w:eastAsia="仿宋_GB2312"/>
          <w:kern w:val="0"/>
          <w:sz w:val="30"/>
          <w:szCs w:val="30"/>
        </w:rPr>
      </w:pPr>
    </w:p>
    <w:p>
      <w:pPr>
        <w:spacing w:line="540" w:lineRule="exact"/>
        <w:rPr>
          <w:rStyle w:val="22"/>
          <w:rFonts w:ascii="黑体" w:hAnsi="黑体" w:eastAsia="黑体"/>
          <w:b w:val="0"/>
          <w:bCs w:val="0"/>
          <w:spacing w:val="-4"/>
          <w:sz w:val="32"/>
          <w:szCs w:val="32"/>
        </w:rPr>
      </w:pPr>
    </w:p>
    <w:p>
      <w:pPr>
        <w:spacing w:line="540" w:lineRule="exact"/>
        <w:ind w:firstLine="640"/>
        <w:rPr>
          <w:rStyle w:val="22"/>
          <w:rFonts w:ascii="黑体" w:hAnsi="黑体" w:eastAsia="黑体"/>
          <w:b w:val="0"/>
          <w:bCs w:val="0"/>
          <w:spacing w:val="-4"/>
          <w:sz w:val="32"/>
          <w:szCs w:val="32"/>
        </w:rPr>
      </w:pPr>
    </w:p>
    <w:p>
      <w:pPr>
        <w:keepNext w:val="0"/>
        <w:keepLines w:val="0"/>
        <w:pageBreakBefore w:val="0"/>
        <w:kinsoku/>
        <w:wordWrap/>
        <w:overflowPunct/>
        <w:topLinePunct w:val="0"/>
        <w:autoSpaceDE/>
        <w:autoSpaceDN/>
        <w:bidi w:val="0"/>
        <w:adjustRightInd/>
        <w:snapToGrid/>
        <w:spacing w:line="560" w:lineRule="atLeast"/>
        <w:textAlignment w:val="auto"/>
        <w:rPr>
          <w:rStyle w:val="22"/>
          <w:rFonts w:ascii="黑体" w:hAnsi="黑体" w:eastAsia="黑体"/>
          <w:b w:val="0"/>
          <w:bCs w:val="0"/>
          <w:spacing w:val="-4"/>
          <w:sz w:val="32"/>
          <w:szCs w:val="32"/>
        </w:rPr>
      </w:pPr>
    </w:p>
    <w:p>
      <w:pPr>
        <w:keepNext w:val="0"/>
        <w:keepLines w:val="0"/>
        <w:pageBreakBefore w:val="0"/>
        <w:kinsoku/>
        <w:wordWrap/>
        <w:overflowPunct/>
        <w:topLinePunct w:val="0"/>
        <w:autoSpaceDE/>
        <w:autoSpaceDN/>
        <w:bidi w:val="0"/>
        <w:adjustRightInd/>
        <w:snapToGrid/>
        <w:spacing w:line="560" w:lineRule="atLeast"/>
        <w:textAlignment w:val="auto"/>
        <w:rPr>
          <w:rFonts w:ascii="黑体" w:hAnsi="黑体" w:eastAsia="黑体"/>
          <w:sz w:val="32"/>
          <w:szCs w:val="32"/>
        </w:rPr>
      </w:pPr>
      <w:r>
        <w:rPr>
          <w:rFonts w:hint="eastAsia" w:ascii="黑体" w:hAnsi="黑体" w:eastAsia="黑体" w:cs="黑体"/>
          <w:sz w:val="32"/>
          <w:szCs w:val="32"/>
        </w:rPr>
        <w:t>一、基本情况</w:t>
      </w:r>
    </w:p>
    <w:p>
      <w:pPr>
        <w:keepNext w:val="0"/>
        <w:keepLines w:val="0"/>
        <w:pageBreakBefore w:val="0"/>
        <w:kinsoku/>
        <w:wordWrap/>
        <w:overflowPunct/>
        <w:topLinePunct w:val="0"/>
        <w:autoSpaceDE/>
        <w:autoSpaceDN/>
        <w:bidi w:val="0"/>
        <w:adjustRightInd/>
        <w:snapToGrid/>
        <w:spacing w:line="560" w:lineRule="atLeast"/>
        <w:ind w:firstLine="643" w:firstLineChars="200"/>
        <w:textAlignment w:val="auto"/>
        <w:rPr>
          <w:rFonts w:ascii="楷体_GB2312" w:hAnsi="楷体_GB2312" w:eastAsia="楷体_GB2312"/>
          <w:b/>
          <w:bCs/>
          <w:sz w:val="32"/>
          <w:szCs w:val="32"/>
        </w:rPr>
      </w:pPr>
      <w:r>
        <w:rPr>
          <w:rFonts w:hint="eastAsia" w:ascii="楷体_GB2312" w:hAnsi="楷体_GB2312" w:eastAsia="楷体_GB2312" w:cs="楷体_GB2312"/>
          <w:b/>
          <w:bCs/>
          <w:sz w:val="32"/>
          <w:szCs w:val="32"/>
        </w:rPr>
        <w:t>（一）项目概况</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sz w:val="32"/>
          <w:szCs w:val="32"/>
        </w:rPr>
      </w:pPr>
      <w:r>
        <w:rPr>
          <w:rFonts w:hint="eastAsia" w:ascii="仿宋" w:hAnsi="仿宋" w:eastAsia="仿宋" w:cs="仿宋"/>
          <w:sz w:val="32"/>
          <w:szCs w:val="32"/>
        </w:rPr>
        <w:t>中共塔城地委机构编制委员会办公室，机构规格正县级，是地委主管全地区行政管理体制改革、机构改革和机构编制管理的职能部门。党委工作机关，归口组织部管理。</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党和国家机构职能体系是中国特色社会主义制度的重要组成部分，是我们党治国理政的重要保障。立足中国特色社会主义进入新时代的历史定位，立足我国社会主要矛盾的变化，深化党和国家机构改革，是贯彻落实党的十九大精神的重要内容，是坚持和加强党的全面领导、坚持和完善中国特色社会主义制度的重要任务，关系改革开放和社会主义现代化建设全局，关系全面建成小康社会、实现中华民族伟大复兴中国梦。 </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（2）项目实施的历史概况</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sz w:val="32"/>
          <w:szCs w:val="32"/>
          <w:lang w:val="zh-CN"/>
        </w:rPr>
      </w:pPr>
      <w:r>
        <w:rPr>
          <w:rFonts w:hint="eastAsia" w:ascii="仿宋" w:hAnsi="仿宋" w:eastAsia="仿宋" w:cs="仿宋"/>
          <w:color w:val="000000"/>
          <w:sz w:val="32"/>
          <w:szCs w:val="32"/>
        </w:rPr>
        <w:t>地委编办</w:t>
      </w:r>
      <w:r>
        <w:rPr>
          <w:rFonts w:hint="eastAsia" w:ascii="仿宋" w:hAnsi="仿宋" w:eastAsia="仿宋" w:cs="仿宋"/>
          <w:sz w:val="32"/>
          <w:szCs w:val="32"/>
          <w:lang w:val="zh-CN"/>
        </w:rPr>
        <w:t>以习近平新时代中国特色社会主义思想为指导，深入贯彻党的十九大和十九届二中、三中、四中全会精神，贯彻落实习近平总书记关于新疆工作的重要讲话和重要指示批示精神，贯彻落实新时代党的治疆方略、特别是社会稳定和长治久安总目标，</w:t>
      </w:r>
      <w:r>
        <w:rPr>
          <w:rFonts w:hint="eastAsia" w:ascii="仿宋" w:hAnsi="仿宋" w:eastAsia="仿宋" w:cs="仿宋"/>
          <w:sz w:val="32"/>
          <w:szCs w:val="32"/>
        </w:rPr>
        <w:t>根据</w:t>
      </w:r>
      <w:r>
        <w:rPr>
          <w:rFonts w:hint="eastAsia" w:ascii="仿宋" w:hAnsi="仿宋" w:eastAsia="仿宋" w:cs="仿宋"/>
          <w:sz w:val="32"/>
          <w:szCs w:val="32"/>
          <w:lang w:val="zh-CN"/>
        </w:rPr>
        <w:t>中央编委、</w:t>
      </w:r>
      <w:r>
        <w:rPr>
          <w:rFonts w:hint="eastAsia" w:ascii="仿宋" w:hAnsi="仿宋" w:eastAsia="仿宋" w:cs="仿宋"/>
          <w:sz w:val="32"/>
          <w:szCs w:val="32"/>
        </w:rPr>
        <w:t>自治区编办主任会议</w:t>
      </w:r>
      <w:r>
        <w:rPr>
          <w:rFonts w:hint="eastAsia" w:ascii="仿宋" w:hAnsi="仿宋" w:eastAsia="仿宋" w:cs="仿宋"/>
          <w:sz w:val="32"/>
          <w:szCs w:val="32"/>
          <w:lang w:val="zh-CN"/>
        </w:rPr>
        <w:t>精神，</w:t>
      </w:r>
      <w:r>
        <w:rPr>
          <w:rFonts w:hint="eastAsia" w:ascii="仿宋" w:hAnsi="仿宋" w:eastAsia="仿宋" w:cs="仿宋"/>
          <w:sz w:val="32"/>
          <w:szCs w:val="32"/>
        </w:rPr>
        <w:t>结合地委</w:t>
      </w:r>
      <w:r>
        <w:rPr>
          <w:rFonts w:hint="eastAsia" w:ascii="仿宋" w:hAnsi="仿宋" w:eastAsia="仿宋" w:cs="仿宋"/>
          <w:sz w:val="32"/>
          <w:szCs w:val="32"/>
          <w:lang w:val="zh-CN"/>
        </w:rPr>
        <w:t>工作</w:t>
      </w:r>
      <w:r>
        <w:rPr>
          <w:rFonts w:hint="eastAsia" w:ascii="仿宋" w:hAnsi="仿宋" w:eastAsia="仿宋" w:cs="仿宋"/>
          <w:sz w:val="32"/>
          <w:szCs w:val="32"/>
        </w:rPr>
        <w:t>要求和编办工作部署</w:t>
      </w:r>
      <w:r>
        <w:rPr>
          <w:rFonts w:hint="eastAsia" w:ascii="仿宋" w:hAnsi="仿宋" w:eastAsia="仿宋" w:cs="仿宋"/>
          <w:sz w:val="32"/>
          <w:szCs w:val="32"/>
          <w:lang w:val="zh-CN"/>
        </w:rPr>
        <w:t>，坚持稳中求进工作总基调，以加强党的全面领导为统领，以贯彻党的机构编制工作条例为着力点，健全完善党管机构编制制度体系，巩固深化机构改革成果，稳步推进事业单位改革，统筹配置机构编制资源，为推进</w:t>
      </w:r>
      <w:r>
        <w:rPr>
          <w:rFonts w:hint="eastAsia" w:ascii="仿宋" w:hAnsi="仿宋" w:eastAsia="仿宋" w:cs="仿宋"/>
          <w:sz w:val="32"/>
          <w:szCs w:val="32"/>
        </w:rPr>
        <w:t>塔城地区</w:t>
      </w:r>
      <w:r>
        <w:rPr>
          <w:rFonts w:hint="eastAsia" w:ascii="仿宋" w:hAnsi="仿宋" w:eastAsia="仿宋" w:cs="仿宋"/>
          <w:sz w:val="32"/>
          <w:szCs w:val="32"/>
          <w:lang w:val="zh-CN"/>
        </w:rPr>
        <w:t>治理体系和治理能力现代化、实现社会稳定和长治久安总目标提供更加坚强有力的体制机制保障。</w:t>
      </w:r>
    </w:p>
    <w:p>
      <w:pPr>
        <w:keepNext w:val="0"/>
        <w:keepLines w:val="0"/>
        <w:pageBreakBefore w:val="0"/>
        <w:numPr>
          <w:ilvl w:val="0"/>
          <w:numId w:val="1"/>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b/>
          <w:bCs/>
          <w:sz w:val="32"/>
          <w:szCs w:val="32"/>
        </w:rPr>
      </w:pPr>
      <w:r>
        <w:rPr>
          <w:rFonts w:hint="eastAsia" w:ascii="仿宋_GB2312" w:hAnsi="仿宋_GB2312" w:eastAsia="仿宋_GB2312" w:cs="仿宋_GB2312"/>
          <w:b/>
          <w:bCs/>
          <w:sz w:val="32"/>
          <w:szCs w:val="32"/>
        </w:rPr>
        <w:t>项目主要内容及实施情况</w:t>
      </w:r>
    </w:p>
    <w:p>
      <w:pPr>
        <w:pStyle w:val="2"/>
        <w:keepNext w:val="0"/>
        <w:keepLines w:val="0"/>
        <w:pageBreakBefore w:val="0"/>
        <w:kinsoku/>
        <w:wordWrap/>
        <w:overflowPunct/>
        <w:topLinePunct w:val="0"/>
        <w:autoSpaceDE/>
        <w:autoSpaceDN/>
        <w:bidi w:val="0"/>
        <w:adjustRightInd/>
        <w:snapToGrid/>
        <w:spacing w:before="0" w:after="0" w:line="560" w:lineRule="atLeast"/>
        <w:ind w:firstLine="643" w:firstLineChars="200"/>
        <w:jc w:val="both"/>
        <w:textAlignment w:val="auto"/>
        <w:rPr>
          <w:rFonts w:ascii="仿宋" w:hAnsi="仿宋" w:eastAsia="仿宋" w:cs="Times New Roman"/>
          <w:b w:val="0"/>
          <w:bCs w:val="0"/>
          <w:kern w:val="2"/>
        </w:rPr>
      </w:pPr>
      <w:r>
        <w:rPr>
          <w:rFonts w:hint="eastAsia" w:eastAsia="仿宋_GB2312" w:cs="仿宋_GB2312"/>
          <w:kern w:val="2"/>
        </w:rPr>
        <w:t>项目主要内容：</w:t>
      </w:r>
      <w:r>
        <w:rPr>
          <w:rFonts w:hint="eastAsia" w:ascii="仿宋" w:hAnsi="仿宋" w:eastAsia="仿宋" w:cs="仿宋"/>
          <w:b w:val="0"/>
          <w:bCs w:val="0"/>
        </w:rPr>
        <w:t>机构编制部门以习近平新时代中国特色社会主义思想为指导，聚焦新时代党的治疆方略、特别是社会稳定和长治久安总目标，狠抓地委和自治区党委编办部署落实，全面完成地区机构编制管理和各项机构改革任务，不断深化各领域改革，加大机构编制资源统筹使用力度，切实服务保障自治区稳定发展改革大局，各项工作取得了显著成效。</w:t>
      </w:r>
    </w:p>
    <w:p>
      <w:pPr>
        <w:pStyle w:val="2"/>
        <w:keepNext w:val="0"/>
        <w:keepLines w:val="0"/>
        <w:pageBreakBefore w:val="0"/>
        <w:kinsoku/>
        <w:wordWrap/>
        <w:overflowPunct/>
        <w:topLinePunct w:val="0"/>
        <w:autoSpaceDE/>
        <w:autoSpaceDN/>
        <w:bidi w:val="0"/>
        <w:adjustRightInd/>
        <w:snapToGrid/>
        <w:spacing w:before="0" w:after="0" w:line="560" w:lineRule="atLeast"/>
        <w:ind w:firstLine="643" w:firstLineChars="200"/>
        <w:jc w:val="both"/>
        <w:textAlignment w:val="auto"/>
        <w:rPr>
          <w:rFonts w:ascii="仿宋" w:hAnsi="仿宋" w:eastAsia="仿宋" w:cs="Times New Roman"/>
          <w:b w:val="0"/>
          <w:bCs w:val="0"/>
          <w:kern w:val="2"/>
        </w:rPr>
      </w:pPr>
      <w:r>
        <w:rPr>
          <w:rFonts w:hint="eastAsia" w:ascii="仿宋_GB2312" w:hAnsi="仿宋_GB2312" w:eastAsia="仿宋_GB2312" w:cs="仿宋_GB2312"/>
        </w:rPr>
        <w:t>项目实施情况：</w:t>
      </w:r>
      <w:r>
        <w:rPr>
          <w:rFonts w:hint="eastAsia" w:ascii="仿宋_GB2312" w:hAnsi="仿宋_GB2312" w:eastAsia="仿宋_GB2312" w:cs="仿宋_GB2312"/>
          <w:b w:val="0"/>
          <w:bCs w:val="0"/>
        </w:rPr>
        <w:t>项目目前已经完成实际设立的目标，项目在实施过程中严格按照目标设立的各阶段任务进行开展工作，在前期立项过程中严格把质量关，建立安全防护机制，保证项目实施各阶段安全顺利进行。</w:t>
      </w:r>
      <w:r>
        <w:rPr>
          <w:rFonts w:hint="eastAsia" w:ascii="仿宋" w:hAnsi="仿宋" w:eastAsia="仿宋" w:cs="仿宋"/>
          <w:b w:val="0"/>
          <w:bCs w:val="0"/>
        </w:rPr>
        <w:t>机构编制部门地县两级不断强化归口管理意识，健全完善党委对机构编制的管理和领导；积极巩固深化机构改革成果；稳步推进事业单位改革，</w:t>
      </w:r>
      <w:r>
        <w:rPr>
          <w:rFonts w:hint="eastAsia" w:ascii="仿宋" w:hAnsi="仿宋" w:eastAsia="仿宋" w:cs="仿宋"/>
          <w:b w:val="0"/>
          <w:bCs w:val="0"/>
          <w:color w:val="000000"/>
        </w:rPr>
        <w:t>制定了《经营类事业单位改革工作方案》，按期</w:t>
      </w:r>
      <w:r>
        <w:rPr>
          <w:rFonts w:hint="eastAsia" w:ascii="仿宋" w:hAnsi="仿宋" w:eastAsia="仿宋" w:cs="仿宋"/>
          <w:b w:val="0"/>
          <w:bCs w:val="0"/>
        </w:rPr>
        <w:t>完成</w:t>
      </w:r>
      <w:r>
        <w:rPr>
          <w:rFonts w:ascii="仿宋" w:hAnsi="仿宋" w:eastAsia="仿宋" w:cs="仿宋"/>
          <w:b w:val="0"/>
          <w:bCs w:val="0"/>
        </w:rPr>
        <w:t>29</w:t>
      </w:r>
      <w:r>
        <w:rPr>
          <w:rFonts w:hint="eastAsia" w:ascii="仿宋" w:hAnsi="仿宋" w:eastAsia="仿宋" w:cs="仿宋"/>
          <w:b w:val="0"/>
          <w:bCs w:val="0"/>
        </w:rPr>
        <w:t>个涉改单位改革；推进基层整合审批服务执法力量，制定《优化乡镇、街道机构设置推进基层整合审批服务执法力量实施方案》，按规定完成乡镇（街道）机构改革工作；统筹配置各类机构编制资源，围绕地区经济社会发展等中心工作需要，地县两级共统筹调剂行政编制若干名，部份事业编制；及时主持召开编委会，推动机构编制工作规范化；服务保障全地区经济社会发展等重点领域用编需求，为实现社会稳定和长治久安总目标提供了有力的体制机制保障。</w:t>
      </w:r>
    </w:p>
    <w:p>
      <w:pPr>
        <w:keepNext w:val="0"/>
        <w:keepLines w:val="0"/>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sz w:val="32"/>
          <w:szCs w:val="32"/>
        </w:rPr>
      </w:pPr>
      <w:r>
        <w:rPr>
          <w:rFonts w:hint="eastAsia" w:ascii="仿宋_GB2312" w:hAnsi="仿宋_GB2312" w:eastAsia="仿宋_GB2312" w:cs="仿宋_GB2312"/>
          <w:sz w:val="32"/>
          <w:szCs w:val="32"/>
        </w:rPr>
        <w:t>本项目总投资</w:t>
      </w:r>
      <w:r>
        <w:rPr>
          <w:rFonts w:ascii="仿宋_GB2312" w:hAnsi="仿宋_GB2312" w:eastAsia="仿宋_GB2312" w:cs="仿宋_GB2312"/>
          <w:sz w:val="32"/>
          <w:szCs w:val="32"/>
        </w:rPr>
        <w:t>15</w:t>
      </w:r>
      <w:r>
        <w:rPr>
          <w:rFonts w:hint="eastAsia" w:ascii="仿宋_GB2312" w:hAnsi="仿宋_GB2312" w:eastAsia="仿宋_GB2312" w:cs="仿宋_GB2312"/>
          <w:sz w:val="32"/>
          <w:szCs w:val="32"/>
        </w:rPr>
        <w:t>万元，其中：财政本级资金</w:t>
      </w:r>
      <w:r>
        <w:rPr>
          <w:rFonts w:ascii="仿宋_GB2312" w:hAnsi="仿宋_GB2312" w:eastAsia="仿宋_GB2312" w:cs="仿宋_GB2312"/>
          <w:sz w:val="32"/>
          <w:szCs w:val="32"/>
        </w:rPr>
        <w:t>15</w:t>
      </w:r>
      <w:r>
        <w:rPr>
          <w:rFonts w:hint="eastAsia" w:ascii="仿宋_GB2312" w:hAnsi="仿宋_GB2312" w:eastAsia="仿宋_GB2312" w:cs="仿宋_GB2312"/>
          <w:sz w:val="32"/>
          <w:szCs w:val="32"/>
        </w:rPr>
        <w:t>万元。项目实际支出</w:t>
      </w:r>
      <w:r>
        <w:rPr>
          <w:rFonts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w:t>
      </w:r>
      <w:r>
        <w:rPr>
          <w:rFonts w:ascii="仿宋_GB2312" w:hAnsi="仿宋_GB2312" w:eastAsia="仿宋_GB2312" w:cs="仿宋_GB2312"/>
          <w:sz w:val="32"/>
          <w:szCs w:val="32"/>
        </w:rPr>
        <w:t>13</w:t>
      </w:r>
      <w:r>
        <w:rPr>
          <w:rFonts w:hint="eastAsia" w:ascii="仿宋_GB2312" w:hAnsi="仿宋_GB2312" w:eastAsia="仿宋_GB2312" w:cs="仿宋_GB2312"/>
          <w:sz w:val="32"/>
          <w:szCs w:val="32"/>
        </w:rPr>
        <w:t>万元，支出率为</w:t>
      </w:r>
      <w:r>
        <w:rPr>
          <w:rFonts w:ascii="仿宋_GB2312" w:hAnsi="仿宋_GB2312" w:eastAsia="仿宋_GB2312" w:cs="仿宋_GB2312"/>
          <w:sz w:val="32"/>
          <w:szCs w:val="32"/>
        </w:rPr>
        <w:t>47.5</w:t>
      </w:r>
      <w:r>
        <w:rPr>
          <w:rFonts w:hint="eastAsia" w:ascii="仿宋_GB2312" w:hAnsi="仿宋_GB2312" w:eastAsia="仿宋_GB2312" w:cs="仿宋_GB2312"/>
          <w:sz w:val="32"/>
          <w:szCs w:val="32"/>
          <w:lang w:val="en-US" w:eastAsia="zh-CN"/>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 w:hAnsi="仿宋" w:eastAsia="仿宋"/>
          <w:sz w:val="32"/>
          <w:szCs w:val="32"/>
        </w:rPr>
      </w:pPr>
      <w:r>
        <w:rPr>
          <w:rFonts w:ascii="仿宋" w:hAnsi="仿宋" w:eastAsia="仿宋" w:cs="仿宋"/>
          <w:sz w:val="32"/>
          <w:szCs w:val="32"/>
        </w:rPr>
        <w:t>3</w:t>
      </w:r>
      <w:r>
        <w:rPr>
          <w:rFonts w:hint="eastAsia" w:ascii="仿宋" w:hAnsi="仿宋" w:eastAsia="仿宋" w:cs="仿宋"/>
          <w:sz w:val="32"/>
          <w:szCs w:val="32"/>
        </w:rPr>
        <w:t>、资金投入和使用情况</w:t>
      </w:r>
    </w:p>
    <w:p>
      <w:pPr>
        <w:keepNext w:val="0"/>
        <w:keepLines w:val="0"/>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2020年中共塔城地委编办申请项目机构编制工作经费预算15万元，实际拨付15万元，实际支付7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13万元，其中，党政机构改革工作办公费3</w:t>
      </w:r>
      <w:r>
        <w:rPr>
          <w:rFonts w:hint="eastAsia" w:ascii="仿宋_GB2312" w:hAnsi="仿宋_GB2312" w:eastAsia="仿宋_GB2312" w:cs="仿宋_GB2312"/>
          <w:sz w:val="32"/>
          <w:szCs w:val="32"/>
          <w:lang w:val="en-US" w:eastAsia="zh-CN"/>
        </w:rPr>
        <w:t>万</w:t>
      </w:r>
      <w:r>
        <w:rPr>
          <w:rFonts w:hint="eastAsia" w:ascii="仿宋_GB2312" w:hAnsi="仿宋_GB2312" w:eastAsia="仿宋_GB2312" w:cs="仿宋_GB2312"/>
          <w:sz w:val="32"/>
          <w:szCs w:val="32"/>
        </w:rPr>
        <w:t>元，办公设备购置费2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84</w:t>
      </w:r>
      <w:r>
        <w:rPr>
          <w:rFonts w:hint="eastAsia" w:ascii="仿宋_GB2312" w:hAnsi="仿宋_GB2312" w:eastAsia="仿宋_GB2312" w:cs="仿宋_GB2312"/>
          <w:sz w:val="32"/>
          <w:szCs w:val="32"/>
          <w:lang w:val="en-US" w:eastAsia="zh-CN"/>
        </w:rPr>
        <w:t>万</w:t>
      </w:r>
      <w:r>
        <w:rPr>
          <w:rFonts w:hint="eastAsia" w:ascii="仿宋_GB2312" w:hAnsi="仿宋_GB2312" w:eastAsia="仿宋_GB2312" w:cs="仿宋_GB2312"/>
          <w:sz w:val="32"/>
          <w:szCs w:val="32"/>
        </w:rPr>
        <w:t>元，公车运行费1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9万</w:t>
      </w:r>
      <w:r>
        <w:rPr>
          <w:rFonts w:hint="eastAsia" w:ascii="仿宋_GB2312" w:hAnsi="仿宋_GB2312" w:eastAsia="仿宋_GB2312" w:cs="仿宋_GB2312"/>
          <w:sz w:val="32"/>
          <w:szCs w:val="32"/>
        </w:rPr>
        <w:t>元。</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b/>
          <w:bCs/>
          <w:sz w:val="32"/>
          <w:szCs w:val="32"/>
        </w:rPr>
      </w:pPr>
      <w:r>
        <w:rPr>
          <w:rFonts w:hint="eastAsia" w:ascii="楷体_GB2312" w:hAnsi="楷体_GB2312" w:eastAsia="楷体_GB2312" w:cs="楷体_GB2312"/>
          <w:b/>
          <w:bCs/>
          <w:sz w:val="32"/>
          <w:szCs w:val="32"/>
        </w:rPr>
        <w:t>（二）项目绩效目标</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b/>
          <w:bCs/>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、总体目标</w:t>
      </w:r>
    </w:p>
    <w:p>
      <w:pPr>
        <w:keepNext w:val="0"/>
        <w:keepLines w:val="0"/>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做好地区深化党政机构改革和事业单位改革工作，优化职能配置，提高效率效能，积极构建系统完备，科学规范、运行高效的机构职能体系，为地区社会稳定长治久安和经济社会发展提供有力的体制机制保障。</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b/>
          <w:bCs/>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、阶段性目标</w:t>
      </w:r>
    </w:p>
    <w:p>
      <w:pPr>
        <w:keepNext w:val="0"/>
        <w:keepLines w:val="0"/>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（1）做好事业单位登记和事业单位法人年度报告工作。</w:t>
      </w:r>
    </w:p>
    <w:p>
      <w:pPr>
        <w:keepNext w:val="0"/>
        <w:keepLines w:val="0"/>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（2）做好机构编制年度统计和实名制数据库管理工作。</w:t>
      </w:r>
    </w:p>
    <w:p>
      <w:pPr>
        <w:keepNext w:val="0"/>
        <w:keepLines w:val="0"/>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（3）做好各类招录计划审核上报。</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cs="黑体"/>
          <w:sz w:val="32"/>
          <w:szCs w:val="32"/>
        </w:rPr>
        <w:t>二、绩效评价工作开展情况</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楷体" w:hAnsi="楷体" w:eastAsia="楷体"/>
          <w:b/>
          <w:bCs/>
          <w:sz w:val="32"/>
          <w:szCs w:val="32"/>
        </w:rPr>
      </w:pPr>
      <w:r>
        <w:rPr>
          <w:rFonts w:hint="eastAsia" w:ascii="楷体" w:hAnsi="楷体" w:eastAsia="楷体" w:cs="楷体"/>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 w:hAnsi="仿宋" w:eastAsia="仿宋" w:cs="仿宋"/>
          <w:sz w:val="32"/>
          <w:szCs w:val="32"/>
        </w:rPr>
      </w:pPr>
      <w:r>
        <w:rPr>
          <w:rFonts w:hint="eastAsia" w:ascii="仿宋" w:hAnsi="仿宋" w:eastAsia="仿宋" w:cs="仿宋"/>
          <w:sz w:val="32"/>
          <w:szCs w:val="32"/>
        </w:rPr>
        <w:t>为全面了解机构编制工作经费预算编制合理性、资金使用合规性、项目管理的规范性、项目目标的实现情况、服务对象的满意度等，通过本次绩效评价来总结经验和教训，促进项目成果转化和应用，为今后类似项目的长效管理，提供可行性参考建议。</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highlight w:val="none"/>
        </w:rPr>
      </w:pPr>
      <w:r>
        <w:rPr>
          <w:rFonts w:hint="eastAsia" w:ascii="仿宋_GB2312" w:hAnsi="仿宋_GB2312" w:eastAsia="仿宋_GB2312" w:cs="仿宋_GB2312"/>
          <w:b/>
          <w:bCs/>
          <w:highlight w:val="none"/>
        </w:rPr>
        <w:t>2、绩效评价的对象</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机构编制工作经费</w:t>
      </w:r>
      <w:r>
        <w:rPr>
          <w:rFonts w:hint="eastAsia" w:ascii="仿宋_GB2312" w:hAnsi="仿宋_GB2312" w:eastAsia="仿宋_GB2312" w:cs="仿宋_GB2312"/>
          <w:color w:val="auto"/>
          <w:sz w:val="32"/>
          <w:szCs w:val="32"/>
          <w:highlight w:val="none"/>
          <w:lang w:val="en-US" w:eastAsia="zh-CN"/>
        </w:rPr>
        <w:t>项目。</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3、绩效评价的范围</w:t>
      </w:r>
    </w:p>
    <w:p>
      <w:pPr>
        <w:keepNext w:val="0"/>
        <w:keepLines w:val="0"/>
        <w:pageBreakBefore w:val="0"/>
        <w:kinsoku/>
        <w:wordWrap/>
        <w:overflowPunct/>
        <w:topLinePunct w:val="0"/>
        <w:autoSpaceDE/>
        <w:autoSpaceDN/>
        <w:bidi w:val="0"/>
        <w:adjustRightInd/>
        <w:snapToGrid/>
        <w:spacing w:line="560" w:lineRule="atLeast"/>
        <w:ind w:firstLine="641"/>
        <w:textAlignment w:val="auto"/>
      </w:pPr>
      <w:r>
        <w:rPr>
          <w:rFonts w:hint="default" w:ascii="仿宋_GB2312" w:hAnsi="仿宋_GB2312" w:eastAsia="仿宋_GB2312" w:cs="仿宋_GB2312"/>
          <w:color w:val="auto"/>
          <w:sz w:val="32"/>
          <w:szCs w:val="32"/>
          <w:highlight w:val="none"/>
          <w:lang w:val="en-US" w:eastAsia="zh-CN"/>
        </w:rPr>
        <w:t>从机构编制工作经费</w:t>
      </w:r>
      <w:r>
        <w:rPr>
          <w:rFonts w:hint="eastAsia" w:ascii="仿宋_GB2312" w:hAnsi="仿宋_GB2312" w:eastAsia="仿宋_GB2312" w:cs="仿宋_GB2312"/>
          <w:color w:val="auto"/>
          <w:sz w:val="32"/>
          <w:szCs w:val="32"/>
          <w:highlight w:val="none"/>
          <w:lang w:val="en-US" w:eastAsia="zh-CN"/>
        </w:rPr>
        <w:t>项目</w:t>
      </w:r>
      <w:r>
        <w:rPr>
          <w:rFonts w:hint="default" w:ascii="仿宋_GB2312" w:hAnsi="仿宋_GB2312" w:eastAsia="仿宋_GB2312" w:cs="仿宋_GB2312"/>
          <w:color w:val="auto"/>
          <w:sz w:val="32"/>
          <w:szCs w:val="32"/>
          <w:highlight w:val="none"/>
          <w:lang w:val="en-US" w:eastAsia="zh-CN"/>
        </w:rPr>
        <w:t>的决策、过程、产出、效益等方面进行评价。</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w:t>
      </w:r>
      <w:r>
        <w:rPr>
          <w:rFonts w:ascii="楷体_GB2312" w:hAnsi="楷体_GB2312" w:eastAsia="楷体_GB2312" w:cs="楷体_GB2312"/>
          <w:b/>
          <w:bCs/>
          <w:sz w:val="32"/>
          <w:szCs w:val="32"/>
        </w:rPr>
        <w:t>1</w:t>
      </w:r>
      <w:r>
        <w:rPr>
          <w:rFonts w:hint="eastAsia" w:ascii="楷体_GB2312" w:hAnsi="楷体_GB2312" w:eastAsia="楷体_GB2312" w:cs="楷体_GB2312"/>
          <w:b/>
          <w:bCs/>
          <w:sz w:val="32"/>
          <w:szCs w:val="32"/>
        </w:rPr>
        <w:t>）、评价方法、评价标准。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Times New Roman"/>
          <w:b/>
          <w:bCs/>
        </w:rPr>
      </w:pPr>
      <w:r>
        <w:rPr>
          <w:rFonts w:ascii="仿宋_GB2312" w:hAnsi="仿宋_GB2312" w:eastAsia="仿宋_GB2312" w:cs="仿宋_GB2312"/>
          <w:b/>
          <w:bCs/>
        </w:rPr>
        <w:t>1</w:t>
      </w:r>
      <w:r>
        <w:rPr>
          <w:rFonts w:hint="eastAsia" w:ascii="仿宋_GB2312" w:hAnsi="仿宋_GB2312" w:eastAsia="仿宋_GB2312" w:cs="仿宋_GB2312"/>
          <w:b/>
          <w:bCs/>
        </w:rPr>
        <w:t>、绩效评价原则</w:t>
      </w:r>
    </w:p>
    <w:p>
      <w:pPr>
        <w:keepNext w:val="0"/>
        <w:keepLines w:val="0"/>
        <w:pageBreakBefore w:val="0"/>
        <w:kinsoku/>
        <w:wordWrap/>
        <w:overflowPunct/>
        <w:topLinePunct w:val="0"/>
        <w:autoSpaceDE/>
        <w:autoSpaceDN/>
        <w:bidi w:val="0"/>
        <w:adjustRightInd/>
        <w:snapToGrid/>
        <w:spacing w:line="560" w:lineRule="atLeast"/>
        <w:ind w:firstLine="640"/>
        <w:textAlignment w:val="auto"/>
        <w:rPr>
          <w:rFonts w:ascii="仿宋_GB2312" w:hAnsi="仿宋_GB2312" w:eastAsia="仿宋_GB2312"/>
          <w:sz w:val="32"/>
          <w:szCs w:val="32"/>
        </w:rPr>
      </w:pPr>
      <w:r>
        <w:rPr>
          <w:rFonts w:hint="eastAsia" w:ascii="仿宋_GB2312" w:hAnsi="仿宋_GB2312" w:eastAsia="仿宋_GB2312" w:cs="仿宋_GB2312"/>
          <w:color w:val="000000"/>
          <w:sz w:val="32"/>
          <w:szCs w:val="32"/>
        </w:rPr>
        <w:t>本次项目绩效评价遵循以下基本原则：</w:t>
      </w:r>
    </w:p>
    <w:p>
      <w:pPr>
        <w:pStyle w:val="2"/>
        <w:keepNext w:val="0"/>
        <w:keepLines w:val="0"/>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Times New Roman"/>
          <w:b w:val="0"/>
          <w:bCs w:val="0"/>
        </w:rPr>
      </w:pPr>
      <w:r>
        <w:rPr>
          <w:rFonts w:hint="eastAsia" w:ascii="仿宋_GB2312" w:hAnsi="仿宋_GB2312" w:eastAsia="仿宋_GB2312" w:cs="仿宋_GB2312"/>
          <w:b w:val="0"/>
          <w:bCs w:val="0"/>
        </w:rPr>
        <w:t>（</w:t>
      </w:r>
      <w:r>
        <w:rPr>
          <w:rFonts w:ascii="仿宋_GB2312" w:hAnsi="仿宋_GB2312" w:eastAsia="仿宋_GB2312" w:cs="仿宋_GB2312"/>
          <w:b w:val="0"/>
          <w:bCs w:val="0"/>
        </w:rPr>
        <w:t>1</w:t>
      </w:r>
      <w:r>
        <w:rPr>
          <w:rFonts w:hint="eastAsia" w:ascii="仿宋_GB2312" w:hAnsi="仿宋_GB2312" w:eastAsia="仿宋_GB2312" w:cs="仿宋_GB2312"/>
          <w:b w:val="0"/>
          <w:bCs w:val="0"/>
        </w:rPr>
        <w:t>）科学公正。绩效评价应当运用科学合理的方法，按照规范的程序，对项目绩效进行客观、公正的反映。</w:t>
      </w:r>
    </w:p>
    <w:p>
      <w:pPr>
        <w:pStyle w:val="2"/>
        <w:keepNext w:val="0"/>
        <w:keepLines w:val="0"/>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Times New Roman"/>
          <w:b w:val="0"/>
          <w:bCs w:val="0"/>
        </w:rPr>
      </w:pPr>
      <w:r>
        <w:rPr>
          <w:rFonts w:hint="eastAsia" w:ascii="仿宋_GB2312" w:hAnsi="仿宋_GB2312" w:eastAsia="仿宋_GB2312" w:cs="仿宋_GB2312"/>
          <w:b w:val="0"/>
          <w:bCs w:val="0"/>
        </w:rPr>
        <w:t>（</w:t>
      </w:r>
      <w:r>
        <w:rPr>
          <w:rFonts w:ascii="仿宋_GB2312" w:hAnsi="仿宋_GB2312" w:eastAsia="仿宋_GB2312" w:cs="仿宋_GB2312"/>
          <w:b w:val="0"/>
          <w:bCs w:val="0"/>
        </w:rPr>
        <w:t>2</w:t>
      </w:r>
      <w:r>
        <w:rPr>
          <w:rFonts w:hint="eastAsia" w:ascii="仿宋_GB2312" w:hAnsi="仿宋_GB2312" w:eastAsia="仿宋_GB2312" w:cs="仿宋_GB2312"/>
          <w:b w:val="0"/>
          <w:bCs w:val="0"/>
        </w:rPr>
        <w:t>）统筹兼顾。单位自评、部门评价和财政评价应职责明确，各有侧重，相互衔接。单位自评应由项目单位自主实施，即“谁支出、谁自评”。部门评价和财政评价应在单位自评的基础上开展。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Times New Roman"/>
          <w:b w:val="0"/>
          <w:bCs w:val="0"/>
        </w:rPr>
      </w:pPr>
      <w:r>
        <w:rPr>
          <w:rFonts w:hint="eastAsia" w:ascii="仿宋_GB2312" w:hAnsi="仿宋_GB2312" w:eastAsia="仿宋_GB2312" w:cs="仿宋_GB2312"/>
          <w:b w:val="0"/>
          <w:bCs w:val="0"/>
        </w:rPr>
        <w:t>（</w:t>
      </w:r>
      <w:r>
        <w:rPr>
          <w:rFonts w:ascii="仿宋_GB2312" w:hAnsi="仿宋_GB2312" w:eastAsia="仿宋_GB2312" w:cs="仿宋_GB2312"/>
          <w:b w:val="0"/>
          <w:bCs w:val="0"/>
        </w:rPr>
        <w:t>3</w:t>
      </w:r>
      <w:r>
        <w:rPr>
          <w:rFonts w:hint="eastAsia" w:ascii="仿宋_GB2312" w:hAnsi="仿宋_GB2312" w:eastAsia="仿宋_GB2312" w:cs="仿宋_GB2312"/>
          <w:b w:val="0"/>
          <w:bCs w:val="0"/>
        </w:rPr>
        <w:t>）激励约束。绩效评价结果应与预算安排、政策调整、改进管理实质性挂钩，体现奖优罚劣和激励相容导向，有效要安排、低效要压减、无效要问责。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Times New Roman"/>
          <w:b w:val="0"/>
          <w:bCs w:val="0"/>
        </w:rPr>
      </w:pPr>
      <w:r>
        <w:rPr>
          <w:rFonts w:hint="eastAsia" w:ascii="仿宋_GB2312" w:hAnsi="仿宋_GB2312" w:eastAsia="仿宋_GB2312" w:cs="仿宋_GB2312"/>
          <w:b w:val="0"/>
          <w:bCs w:val="0"/>
        </w:rPr>
        <w:t>（</w:t>
      </w:r>
      <w:r>
        <w:rPr>
          <w:rFonts w:ascii="仿宋_GB2312" w:hAnsi="仿宋_GB2312" w:eastAsia="仿宋_GB2312" w:cs="仿宋_GB2312"/>
          <w:b w:val="0"/>
          <w:bCs w:val="0"/>
        </w:rPr>
        <w:t>4</w:t>
      </w:r>
      <w:r>
        <w:rPr>
          <w:rFonts w:hint="eastAsia" w:ascii="仿宋_GB2312" w:hAnsi="仿宋_GB2312" w:eastAsia="仿宋_GB2312" w:cs="仿宋_GB2312"/>
          <w:b w:val="0"/>
          <w:bCs w:val="0"/>
        </w:rPr>
        <w:t>）公开透明。绩效评价结果应依法依规公开，并自觉接受社会监督。</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Times New Roman"/>
          <w:b/>
          <w:bCs/>
        </w:rPr>
      </w:pPr>
      <w:r>
        <w:rPr>
          <w:rFonts w:ascii="仿宋_GB2312" w:hAnsi="仿宋_GB2312" w:eastAsia="仿宋_GB2312" w:cs="仿宋_GB2312"/>
          <w:b/>
          <w:bCs/>
        </w:rPr>
        <w:t>2</w:t>
      </w:r>
      <w:r>
        <w:rPr>
          <w:rFonts w:hint="eastAsia" w:ascii="仿宋_GB2312" w:hAnsi="仿宋_GB2312" w:eastAsia="仿宋_GB2312" w:cs="仿宋_GB2312"/>
          <w:b/>
          <w:bCs/>
        </w:rPr>
        <w:t>、评价指标体系</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宋体"/>
          <w:color w:val="000000"/>
          <w:sz w:val="32"/>
          <w:szCs w:val="32"/>
        </w:rPr>
      </w:pPr>
      <w:r>
        <w:rPr>
          <w:rFonts w:hint="eastAsia" w:ascii="仿宋_GB2312" w:hAnsi="仿宋_GB2312" w:eastAsia="仿宋_GB2312" w:cs="仿宋_GB2312"/>
          <w:color w:val="000000"/>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olor w:val="000000"/>
          <w:spacing w:val="17"/>
          <w:sz w:val="32"/>
          <w:szCs w:val="32"/>
        </w:rPr>
      </w:pPr>
      <w:r>
        <w:rPr>
          <w:rFonts w:hint="eastAsia" w:ascii="仿宋_GB2312" w:hAnsi="仿宋_GB2312" w:eastAsia="仿宋_GB2312" w:cs="仿宋_GB2312"/>
          <w:color w:val="000000"/>
          <w:spacing w:val="17"/>
          <w:sz w:val="32"/>
          <w:szCs w:val="32"/>
        </w:rPr>
        <w:t>（</w:t>
      </w:r>
      <w:r>
        <w:rPr>
          <w:rFonts w:ascii="仿宋_GB2312" w:hAnsi="仿宋_GB2312" w:eastAsia="仿宋_GB2312" w:cs="仿宋_GB2312"/>
          <w:color w:val="000000"/>
          <w:spacing w:val="17"/>
          <w:sz w:val="32"/>
          <w:szCs w:val="32"/>
        </w:rPr>
        <w:t>1</w:t>
      </w:r>
      <w:r>
        <w:rPr>
          <w:rFonts w:hint="eastAsia" w:ascii="仿宋_GB2312" w:hAnsi="仿宋_GB2312" w:eastAsia="仿宋_GB2312" w:cs="仿宋_GB2312"/>
          <w:color w:val="000000"/>
          <w:spacing w:val="17"/>
          <w:sz w:val="32"/>
          <w:szCs w:val="32"/>
        </w:rPr>
        <w:t>）确定评价指标</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olor w:val="000000"/>
          <w:spacing w:val="17"/>
          <w:sz w:val="32"/>
          <w:szCs w:val="32"/>
        </w:rPr>
      </w:pPr>
      <w:r>
        <w:rPr>
          <w:rFonts w:hint="eastAsia" w:ascii="仿宋_GB2312" w:hAnsi="仿宋_GB2312" w:eastAsia="仿宋_GB2312" w:cs="仿宋_GB2312"/>
          <w:color w:val="000000"/>
          <w:spacing w:val="17"/>
          <w:sz w:val="32"/>
          <w:szCs w:val="32"/>
        </w:rPr>
        <w:t>（</w:t>
      </w:r>
      <w:r>
        <w:rPr>
          <w:rFonts w:ascii="仿宋_GB2312" w:hAnsi="仿宋_GB2312" w:eastAsia="仿宋_GB2312" w:cs="仿宋_GB2312"/>
          <w:color w:val="000000"/>
          <w:spacing w:val="17"/>
          <w:sz w:val="32"/>
          <w:szCs w:val="32"/>
        </w:rPr>
        <w:t>2</w:t>
      </w:r>
      <w:r>
        <w:rPr>
          <w:rFonts w:hint="eastAsia" w:ascii="仿宋_GB2312" w:hAnsi="仿宋_GB2312" w:eastAsia="仿宋_GB2312" w:cs="仿宋_GB2312"/>
          <w:color w:val="000000"/>
          <w:spacing w:val="17"/>
          <w:sz w:val="32"/>
          <w:szCs w:val="32"/>
        </w:rPr>
        <w:t>）确定权重</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olor w:val="000000"/>
          <w:sz w:val="32"/>
          <w:szCs w:val="32"/>
        </w:rPr>
      </w:pPr>
      <w:r>
        <w:rPr>
          <w:rFonts w:hint="eastAsia" w:ascii="仿宋_GB2312" w:hAnsi="仿宋_GB2312" w:eastAsia="仿宋_GB2312" w:cs="仿宋_GB2312"/>
          <w:color w:val="000000"/>
          <w:sz w:val="32"/>
          <w:szCs w:val="32"/>
        </w:rPr>
        <w:t>确定各个指标相对于项目总体绩效的权重分值。在绩效评价指标体系中，项目决策权重占</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，项目过程权重占</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，项目产出权重值占</w:t>
      </w:r>
      <w:r>
        <w:rPr>
          <w:rFonts w:hint="eastAsia" w:ascii="仿宋_GB2312" w:hAnsi="仿宋_GB2312" w:eastAsia="仿宋_GB2312" w:cs="仿宋_GB2312"/>
          <w:color w:val="000000"/>
          <w:sz w:val="32"/>
          <w:szCs w:val="32"/>
          <w:lang w:val="en-US" w:eastAsia="zh-CN"/>
        </w:rPr>
        <w:t>50</w:t>
      </w:r>
      <w:r>
        <w:rPr>
          <w:rFonts w:hint="eastAsia" w:ascii="仿宋_GB2312" w:hAnsi="仿宋_GB2312" w:eastAsia="仿宋_GB2312" w:cs="仿宋_GB2312"/>
          <w:color w:val="000000"/>
          <w:sz w:val="32"/>
          <w:szCs w:val="32"/>
        </w:rPr>
        <w:t>，项目效益权重值占</w:t>
      </w:r>
      <w:r>
        <w:rPr>
          <w:rFonts w:hint="eastAsia" w:ascii="仿宋_GB2312" w:hAnsi="仿宋_GB2312" w:eastAsia="仿宋_GB2312" w:cs="仿宋_GB2312"/>
          <w:color w:val="000000"/>
          <w:sz w:val="32"/>
          <w:szCs w:val="32"/>
          <w:lang w:val="en-US" w:eastAsia="zh-CN"/>
        </w:rPr>
        <w:t>40</w:t>
      </w:r>
      <w:r>
        <w:rPr>
          <w:rFonts w:hint="eastAsia" w:ascii="仿宋_GB2312" w:hAnsi="仿宋_GB2312" w:eastAsia="仿宋_GB2312" w:cs="仿宋_GB2312"/>
          <w:color w:val="000000"/>
          <w:sz w:val="32"/>
          <w:szCs w:val="32"/>
        </w:rPr>
        <w:t>。</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olor w:val="000000"/>
          <w:spacing w:val="17"/>
          <w:sz w:val="32"/>
          <w:szCs w:val="32"/>
        </w:rPr>
      </w:pPr>
      <w:r>
        <w:rPr>
          <w:rFonts w:hint="eastAsia" w:ascii="仿宋_GB2312" w:hAnsi="仿宋_GB2312" w:eastAsia="仿宋_GB2312" w:cs="仿宋_GB2312"/>
          <w:color w:val="000000"/>
          <w:spacing w:val="17"/>
          <w:sz w:val="32"/>
          <w:szCs w:val="32"/>
        </w:rPr>
        <w:t>（</w:t>
      </w:r>
      <w:r>
        <w:rPr>
          <w:rFonts w:ascii="仿宋_GB2312" w:hAnsi="仿宋_GB2312" w:eastAsia="仿宋_GB2312" w:cs="仿宋_GB2312"/>
          <w:color w:val="000000"/>
          <w:spacing w:val="17"/>
          <w:sz w:val="32"/>
          <w:szCs w:val="32"/>
        </w:rPr>
        <w:t>3</w:t>
      </w:r>
      <w:r>
        <w:rPr>
          <w:rFonts w:hint="eastAsia" w:ascii="仿宋_GB2312" w:hAnsi="仿宋_GB2312" w:eastAsia="仿宋_GB2312" w:cs="仿宋_GB2312"/>
          <w:color w:val="000000"/>
          <w:spacing w:val="17"/>
          <w:sz w:val="32"/>
          <w:szCs w:val="32"/>
        </w:rPr>
        <w:t>）确定指标标准值</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Times New Roman"/>
          <w:b w:val="0"/>
          <w:bCs w:val="0"/>
          <w:color w:val="000000"/>
        </w:rPr>
      </w:pPr>
      <w:r>
        <w:rPr>
          <w:rFonts w:hint="eastAsia" w:ascii="仿宋_GB2312" w:hAnsi="仿宋_GB2312" w:eastAsia="仿宋_GB2312" w:cs="仿宋_GB2312"/>
          <w:b w:val="0"/>
          <w:bCs w:val="0"/>
          <w:color w:val="000000"/>
          <w:kern w:val="2"/>
        </w:rPr>
        <w:t>绩效评价总分值</w:t>
      </w:r>
      <w:r>
        <w:rPr>
          <w:rFonts w:ascii="仿宋_GB2312" w:hAnsi="仿宋_GB2312" w:eastAsia="仿宋_GB2312" w:cs="仿宋_GB2312"/>
          <w:b w:val="0"/>
          <w:bCs w:val="0"/>
          <w:color w:val="000000"/>
          <w:kern w:val="2"/>
        </w:rPr>
        <w:t>100</w:t>
      </w:r>
      <w:r>
        <w:rPr>
          <w:rFonts w:hint="eastAsia" w:ascii="仿宋_GB2312" w:hAnsi="仿宋_GB2312" w:eastAsia="仿宋_GB2312" w:cs="仿宋_GB2312"/>
          <w:b w:val="0"/>
          <w:bCs w:val="0"/>
          <w:color w:val="000000"/>
          <w:kern w:val="2"/>
        </w:rPr>
        <w:t>分，根据综合评分结果，评价计分</w:t>
      </w:r>
      <w:r>
        <w:rPr>
          <w:rFonts w:ascii="仿宋_GB2312" w:hAnsi="仿宋_GB2312" w:eastAsia="仿宋_GB2312" w:cs="仿宋_GB2312"/>
          <w:b w:val="0"/>
          <w:bCs w:val="0"/>
          <w:color w:val="000000"/>
          <w:kern w:val="2"/>
        </w:rPr>
        <w:t>90</w:t>
      </w:r>
      <w:r>
        <w:rPr>
          <w:rFonts w:hint="eastAsia" w:ascii="仿宋_GB2312" w:hAnsi="仿宋_GB2312" w:eastAsia="仿宋_GB2312" w:cs="仿宋_GB2312"/>
          <w:b w:val="0"/>
          <w:bCs w:val="0"/>
          <w:color w:val="000000"/>
          <w:kern w:val="2"/>
        </w:rPr>
        <w:t>分</w:t>
      </w:r>
      <w:r>
        <w:rPr>
          <w:rFonts w:ascii="仿宋_GB2312" w:hAnsi="仿宋_GB2312" w:eastAsia="仿宋_GB2312" w:cs="仿宋_GB2312"/>
          <w:b w:val="0"/>
          <w:bCs w:val="0"/>
          <w:color w:val="000000"/>
          <w:kern w:val="2"/>
        </w:rPr>
        <w:t>-100</w:t>
      </w:r>
      <w:r>
        <w:rPr>
          <w:rFonts w:hint="eastAsia" w:ascii="仿宋_GB2312" w:hAnsi="仿宋_GB2312" w:eastAsia="仿宋_GB2312" w:cs="仿宋_GB2312"/>
          <w:b w:val="0"/>
          <w:bCs w:val="0"/>
          <w:color w:val="000000"/>
          <w:kern w:val="2"/>
        </w:rPr>
        <w:t>分（含</w:t>
      </w:r>
      <w:r>
        <w:rPr>
          <w:rFonts w:ascii="仿宋_GB2312" w:hAnsi="仿宋_GB2312" w:eastAsia="仿宋_GB2312" w:cs="仿宋_GB2312"/>
          <w:b w:val="0"/>
          <w:bCs w:val="0"/>
          <w:color w:val="000000"/>
          <w:kern w:val="2"/>
        </w:rPr>
        <w:t>90</w:t>
      </w:r>
      <w:r>
        <w:rPr>
          <w:rFonts w:hint="eastAsia" w:ascii="仿宋_GB2312" w:hAnsi="仿宋_GB2312" w:eastAsia="仿宋_GB2312" w:cs="仿宋_GB2312"/>
          <w:b w:val="0"/>
          <w:bCs w:val="0"/>
          <w:color w:val="000000"/>
          <w:kern w:val="2"/>
        </w:rPr>
        <w:t>分）对应的评分结果级别为优，</w:t>
      </w:r>
      <w:r>
        <w:rPr>
          <w:rFonts w:ascii="仿宋_GB2312" w:hAnsi="仿宋_GB2312" w:eastAsia="仿宋_GB2312" w:cs="仿宋_GB2312"/>
          <w:b w:val="0"/>
          <w:bCs w:val="0"/>
          <w:color w:val="000000"/>
          <w:kern w:val="2"/>
        </w:rPr>
        <w:t>80-90</w:t>
      </w:r>
      <w:r>
        <w:rPr>
          <w:rFonts w:hint="eastAsia" w:ascii="仿宋_GB2312" w:hAnsi="仿宋_GB2312" w:eastAsia="仿宋_GB2312" w:cs="仿宋_GB2312"/>
          <w:b w:val="0"/>
          <w:bCs w:val="0"/>
          <w:color w:val="000000"/>
          <w:kern w:val="2"/>
        </w:rPr>
        <w:t>分（含</w:t>
      </w:r>
      <w:r>
        <w:rPr>
          <w:rFonts w:ascii="仿宋_GB2312" w:hAnsi="仿宋_GB2312" w:eastAsia="仿宋_GB2312" w:cs="仿宋_GB2312"/>
          <w:b w:val="0"/>
          <w:bCs w:val="0"/>
          <w:color w:val="000000"/>
          <w:kern w:val="2"/>
        </w:rPr>
        <w:t>80</w:t>
      </w:r>
      <w:r>
        <w:rPr>
          <w:rFonts w:hint="eastAsia" w:ascii="仿宋_GB2312" w:hAnsi="仿宋_GB2312" w:eastAsia="仿宋_GB2312" w:cs="仿宋_GB2312"/>
          <w:b w:val="0"/>
          <w:bCs w:val="0"/>
          <w:color w:val="000000"/>
          <w:kern w:val="2"/>
        </w:rPr>
        <w:t>分）对应的评分结果级别为良，</w:t>
      </w:r>
      <w:r>
        <w:rPr>
          <w:rFonts w:ascii="仿宋_GB2312" w:hAnsi="仿宋_GB2312" w:eastAsia="仿宋_GB2312" w:cs="仿宋_GB2312"/>
          <w:b w:val="0"/>
          <w:bCs w:val="0"/>
          <w:color w:val="000000"/>
          <w:kern w:val="2"/>
        </w:rPr>
        <w:t>60-80</w:t>
      </w:r>
      <w:r>
        <w:rPr>
          <w:rFonts w:hint="eastAsia" w:ascii="仿宋_GB2312" w:hAnsi="仿宋_GB2312" w:eastAsia="仿宋_GB2312" w:cs="仿宋_GB2312"/>
          <w:b w:val="0"/>
          <w:bCs w:val="0"/>
          <w:color w:val="000000"/>
          <w:kern w:val="2"/>
        </w:rPr>
        <w:t>分（含</w:t>
      </w:r>
      <w:r>
        <w:rPr>
          <w:rFonts w:ascii="仿宋_GB2312" w:hAnsi="仿宋_GB2312" w:eastAsia="仿宋_GB2312" w:cs="仿宋_GB2312"/>
          <w:b w:val="0"/>
          <w:bCs w:val="0"/>
          <w:color w:val="000000"/>
          <w:kern w:val="2"/>
        </w:rPr>
        <w:t>60</w:t>
      </w:r>
      <w:r>
        <w:rPr>
          <w:rFonts w:hint="eastAsia" w:ascii="仿宋_GB2312" w:hAnsi="仿宋_GB2312" w:eastAsia="仿宋_GB2312" w:cs="仿宋_GB2312"/>
          <w:b w:val="0"/>
          <w:bCs w:val="0"/>
          <w:color w:val="000000"/>
          <w:kern w:val="2"/>
        </w:rPr>
        <w:t>分）对应的评分结果级别为中，</w:t>
      </w:r>
      <w:r>
        <w:rPr>
          <w:rFonts w:ascii="仿宋_GB2312" w:hAnsi="仿宋_GB2312" w:eastAsia="仿宋_GB2312" w:cs="仿宋_GB2312"/>
          <w:b w:val="0"/>
          <w:bCs w:val="0"/>
          <w:color w:val="000000"/>
          <w:kern w:val="2"/>
        </w:rPr>
        <w:t>60</w:t>
      </w:r>
      <w:r>
        <w:rPr>
          <w:rFonts w:hint="eastAsia" w:ascii="仿宋_GB2312" w:hAnsi="仿宋_GB2312" w:eastAsia="仿宋_GB2312" w:cs="仿宋_GB2312"/>
          <w:b w:val="0"/>
          <w:bCs w:val="0"/>
          <w:color w:val="000000"/>
          <w:kern w:val="2"/>
        </w:rPr>
        <w:t>分以下对应的评分结果级别为差。</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具体评价指标体系详情见附件1</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Times New Roman"/>
          <w:b/>
          <w:bCs/>
        </w:rPr>
      </w:pPr>
      <w:r>
        <w:rPr>
          <w:rFonts w:ascii="仿宋_GB2312" w:hAnsi="仿宋_GB2312" w:eastAsia="仿宋_GB2312" w:cs="仿宋_GB2312"/>
          <w:b/>
          <w:bCs/>
        </w:rPr>
        <w:t>3</w:t>
      </w:r>
      <w:r>
        <w:rPr>
          <w:rFonts w:hint="eastAsia" w:ascii="仿宋_GB2312" w:hAnsi="仿宋_GB2312" w:eastAsia="仿宋_GB2312" w:cs="仿宋_GB2312"/>
          <w:b/>
          <w:bCs/>
        </w:rPr>
        <w:t>、绩效评价方法</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ascii="仿宋_GB2312" w:hAnsi="仿宋_GB2312" w:eastAsia="仿宋_GB2312" w:cs="仿宋_GB2312"/>
          <w:color w:val="000000"/>
          <w:spacing w:val="17"/>
          <w:sz w:val="32"/>
          <w:szCs w:val="32"/>
        </w:rPr>
        <w:t xml:space="preserve">  </w:t>
      </w:r>
      <w:r>
        <w:rPr>
          <w:rFonts w:hint="eastAsia" w:ascii="仿宋_GB2312" w:hAnsi="仿宋_GB2312" w:eastAsia="仿宋_GB2312" w:cs="仿宋_GB2312"/>
          <w:color w:val="000000"/>
          <w:spacing w:val="17"/>
          <w:sz w:val="32"/>
          <w:szCs w:val="32"/>
        </w:rPr>
        <w:t>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olor w:val="000000"/>
          <w:spacing w:val="17"/>
          <w:sz w:val="32"/>
          <w:szCs w:val="32"/>
        </w:rPr>
      </w:pPr>
      <w:r>
        <w:rPr>
          <w:rFonts w:hint="eastAsia" w:ascii="仿宋_GB2312" w:hAnsi="仿宋_GB2312" w:eastAsia="仿宋_GB2312" w:cs="仿宋_GB2312"/>
          <w:color w:val="000000"/>
          <w:spacing w:val="17"/>
          <w:sz w:val="32"/>
          <w:szCs w:val="32"/>
        </w:rPr>
        <w:t>（</w:t>
      </w:r>
      <w:r>
        <w:rPr>
          <w:rFonts w:ascii="仿宋_GB2312" w:hAnsi="仿宋_GB2312" w:eastAsia="仿宋_GB2312" w:cs="仿宋_GB2312"/>
          <w:color w:val="000000"/>
          <w:spacing w:val="17"/>
          <w:sz w:val="32"/>
          <w:szCs w:val="32"/>
        </w:rPr>
        <w:t>1</w:t>
      </w:r>
      <w:r>
        <w:rPr>
          <w:rFonts w:hint="eastAsia" w:ascii="仿宋_GB2312" w:hAnsi="仿宋_GB2312" w:eastAsia="仿宋_GB2312" w:cs="仿宋_GB2312"/>
          <w:color w:val="000000"/>
          <w:spacing w:val="17"/>
          <w:sz w:val="32"/>
          <w:szCs w:val="32"/>
        </w:rPr>
        <w:t>）比较法</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olor w:val="000000"/>
          <w:spacing w:val="17"/>
          <w:sz w:val="32"/>
          <w:szCs w:val="32"/>
        </w:rPr>
      </w:pPr>
      <w:r>
        <w:rPr>
          <w:rFonts w:hint="eastAsia" w:ascii="仿宋_GB2312" w:hAnsi="仿宋_GB2312" w:eastAsia="仿宋_GB2312" w:cs="仿宋_GB2312"/>
          <w:color w:val="000000"/>
          <w:spacing w:val="17"/>
          <w:sz w:val="32"/>
          <w:szCs w:val="32"/>
        </w:rPr>
        <w:t>（</w:t>
      </w:r>
      <w:r>
        <w:rPr>
          <w:rFonts w:ascii="仿宋_GB2312" w:hAnsi="仿宋_GB2312" w:eastAsia="仿宋_GB2312" w:cs="仿宋_GB2312"/>
          <w:color w:val="000000"/>
          <w:spacing w:val="17"/>
          <w:sz w:val="32"/>
          <w:szCs w:val="32"/>
        </w:rPr>
        <w:t>2</w:t>
      </w:r>
      <w:r>
        <w:rPr>
          <w:rFonts w:hint="eastAsia" w:ascii="仿宋_GB2312" w:hAnsi="仿宋_GB2312" w:eastAsia="仿宋_GB2312" w:cs="仿宋_GB2312"/>
          <w:color w:val="000000"/>
          <w:spacing w:val="17"/>
          <w:sz w:val="32"/>
          <w:szCs w:val="32"/>
        </w:rPr>
        <w:t>）因素分析法</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w:t>
      </w:r>
      <w:r>
        <w:rPr>
          <w:rFonts w:hint="eastAsia" w:ascii="仿宋_GB2312" w:hAnsi="仿宋_GB2312" w:eastAsia="仿宋_GB2312" w:cs="仿宋_GB2312"/>
          <w:b/>
          <w:bCs/>
        </w:rPr>
        <w:t>、绩效评价</w:t>
      </w:r>
      <w:r>
        <w:rPr>
          <w:rFonts w:hint="eastAsia" w:ascii="仿宋_GB2312" w:hAnsi="仿宋_GB2312" w:eastAsia="仿宋_GB2312" w:cs="仿宋_GB2312"/>
          <w:b/>
          <w:bCs/>
          <w:lang w:val="en-US" w:eastAsia="zh-CN"/>
        </w:rPr>
        <w:t>标准</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本次评价主要采用了计划标准和行业标准。</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eastAsia" w:ascii="楷体_GB2312" w:hAnsi="楷体_GB2312" w:eastAsia="楷体_GB2312" w:cs="楷体_GB2312"/>
          <w:b/>
          <w:bCs/>
          <w:sz w:val="32"/>
          <w:szCs w:val="32"/>
          <w:highlight w:val="none"/>
          <w:shd w:val="clear" w:color="auto" w:fill="auto"/>
          <w:lang w:val="en-US" w:eastAsia="zh-CN"/>
        </w:rPr>
      </w:pPr>
      <w:r>
        <w:rPr>
          <w:rFonts w:hint="eastAsia" w:ascii="楷体_GB2312" w:hAnsi="楷体_GB2312" w:eastAsia="楷体_GB2312" w:cs="楷体_GB2312"/>
          <w:b/>
          <w:bCs/>
          <w:sz w:val="32"/>
          <w:szCs w:val="32"/>
          <w:highlight w:val="none"/>
          <w:shd w:val="clear" w:color="auto" w:fill="auto"/>
          <w:lang w:val="en-US" w:eastAsia="zh-CN"/>
        </w:rPr>
        <w:t>（三）绩效评价工作过程</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numPr>
          <w:ilvl w:val="0"/>
          <w:numId w:val="2"/>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cs="黑体"/>
          <w:sz w:val="32"/>
          <w:szCs w:val="32"/>
        </w:rPr>
        <w:t>综合评价情况及评价结论（附相关评分表）</w:t>
      </w:r>
    </w:p>
    <w:p>
      <w:pPr>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b/>
          <w:bCs/>
          <w:color w:val="000000"/>
          <w:sz w:val="32"/>
          <w:szCs w:val="32"/>
        </w:rPr>
      </w:pPr>
      <w:r>
        <w:rPr>
          <w:rFonts w:ascii="仿宋_GB2312" w:hAnsi="仿宋_GB2312" w:cs="仿宋_GB2312"/>
          <w:color w:val="0000FF"/>
          <w:sz w:val="32"/>
          <w:szCs w:val="32"/>
        </w:rPr>
        <w:t xml:space="preserve"> </w:t>
      </w:r>
      <w:r>
        <w:rPr>
          <w:rFonts w:hint="eastAsia" w:ascii="仿宋" w:hAnsi="仿宋" w:eastAsia="仿宋" w:cs="仿宋"/>
          <w:color w:val="000000"/>
          <w:sz w:val="32"/>
          <w:szCs w:val="32"/>
        </w:rPr>
        <w:t>“塔城地委编办【</w:t>
      </w:r>
      <w:r>
        <w:rPr>
          <w:rFonts w:ascii="仿宋" w:hAnsi="仿宋" w:eastAsia="仿宋" w:cs="仿宋"/>
          <w:color w:val="000000"/>
          <w:sz w:val="32"/>
          <w:szCs w:val="32"/>
        </w:rPr>
        <w:t>2020</w:t>
      </w:r>
      <w:r>
        <w:rPr>
          <w:rFonts w:hint="eastAsia" w:ascii="仿宋" w:hAnsi="仿宋" w:eastAsia="仿宋" w:cs="仿宋"/>
          <w:color w:val="000000"/>
          <w:sz w:val="32"/>
          <w:szCs w:val="32"/>
        </w:rPr>
        <w:t>年机构编制工作经费】项目”从项目的完成情况看，项目工作去年因</w:t>
      </w:r>
      <w:bookmarkStart w:id="1" w:name="_GoBack"/>
      <w:bookmarkEnd w:id="1"/>
      <w:r>
        <w:rPr>
          <w:rFonts w:hint="eastAsia" w:ascii="仿宋" w:hAnsi="仿宋" w:eastAsia="仿宋" w:cs="仿宋"/>
          <w:color w:val="000000"/>
          <w:sz w:val="32"/>
          <w:szCs w:val="32"/>
          <w:lang w:eastAsia="zh-CN"/>
        </w:rPr>
        <w:t>传染病防控</w:t>
      </w:r>
      <w:r>
        <w:rPr>
          <w:rFonts w:hint="eastAsia" w:ascii="仿宋" w:hAnsi="仿宋" w:eastAsia="仿宋" w:cs="仿宋"/>
          <w:color w:val="000000"/>
          <w:sz w:val="32"/>
          <w:szCs w:val="32"/>
        </w:rPr>
        <w:t>工作的影响，虽然能按照年初工作计划的按排，逐步分节点完成，但有部份工作未能完全落实；从项目的效果看，项目自</w:t>
      </w:r>
      <w:r>
        <w:rPr>
          <w:rFonts w:ascii="仿宋" w:hAnsi="仿宋" w:eastAsia="仿宋" w:cs="仿宋"/>
          <w:color w:val="000000"/>
          <w:sz w:val="32"/>
          <w:szCs w:val="32"/>
        </w:rPr>
        <w:t>2020</w:t>
      </w:r>
      <w:r>
        <w:rPr>
          <w:rFonts w:hint="eastAsia" w:ascii="仿宋" w:hAnsi="仿宋" w:eastAsia="仿宋" w:cs="仿宋"/>
          <w:color w:val="000000"/>
          <w:sz w:val="32"/>
          <w:szCs w:val="32"/>
        </w:rPr>
        <w:t>年实施以来，本项目绩效情况较好，全面扎实推进了编办各项重点工作的开展和落实，党政机构改革工作办公费</w:t>
      </w:r>
      <w:r>
        <w:rPr>
          <w:rFonts w:ascii="仿宋" w:hAnsi="仿宋" w:eastAsia="仿宋" w:cs="仿宋"/>
          <w:color w:val="000000"/>
          <w:sz w:val="32"/>
          <w:szCs w:val="32"/>
        </w:rPr>
        <w:t>3</w:t>
      </w:r>
      <w:r>
        <w:rPr>
          <w:rFonts w:hint="eastAsia" w:ascii="仿宋" w:hAnsi="仿宋" w:eastAsia="仿宋" w:cs="仿宋"/>
          <w:color w:val="000000"/>
          <w:sz w:val="32"/>
          <w:szCs w:val="32"/>
          <w:lang w:val="en-US" w:eastAsia="zh-CN"/>
        </w:rPr>
        <w:t>万</w:t>
      </w:r>
      <w:r>
        <w:rPr>
          <w:rFonts w:hint="eastAsia" w:ascii="仿宋" w:hAnsi="仿宋" w:eastAsia="仿宋" w:cs="仿宋"/>
          <w:color w:val="000000"/>
          <w:sz w:val="32"/>
          <w:szCs w:val="32"/>
        </w:rPr>
        <w:t>元，办公设备购置费</w:t>
      </w:r>
      <w:r>
        <w:rPr>
          <w:rFonts w:ascii="仿宋" w:hAnsi="仿宋" w:eastAsia="仿宋" w:cs="仿宋"/>
          <w:color w:val="000000"/>
          <w:sz w:val="32"/>
          <w:szCs w:val="32"/>
        </w:rPr>
        <w:t>2</w:t>
      </w:r>
      <w:r>
        <w:rPr>
          <w:rFonts w:hint="eastAsia" w:ascii="仿宋" w:hAnsi="仿宋" w:eastAsia="仿宋" w:cs="仿宋"/>
          <w:color w:val="000000"/>
          <w:sz w:val="32"/>
          <w:szCs w:val="32"/>
          <w:lang w:val="en-US" w:eastAsia="zh-CN"/>
        </w:rPr>
        <w:t>.</w:t>
      </w:r>
      <w:r>
        <w:rPr>
          <w:rFonts w:ascii="仿宋" w:hAnsi="仿宋" w:eastAsia="仿宋" w:cs="仿宋"/>
          <w:color w:val="000000"/>
          <w:sz w:val="32"/>
          <w:szCs w:val="32"/>
        </w:rPr>
        <w:t>84</w:t>
      </w:r>
      <w:r>
        <w:rPr>
          <w:rFonts w:hint="eastAsia" w:ascii="仿宋" w:hAnsi="仿宋" w:eastAsia="仿宋" w:cs="仿宋"/>
          <w:color w:val="000000"/>
          <w:sz w:val="32"/>
          <w:szCs w:val="32"/>
          <w:lang w:val="en-US" w:eastAsia="zh-CN"/>
        </w:rPr>
        <w:t>万</w:t>
      </w:r>
      <w:r>
        <w:rPr>
          <w:rFonts w:hint="eastAsia" w:ascii="仿宋" w:hAnsi="仿宋" w:eastAsia="仿宋" w:cs="仿宋"/>
          <w:color w:val="000000"/>
          <w:sz w:val="32"/>
          <w:szCs w:val="32"/>
        </w:rPr>
        <w:t>元，公车运行费</w:t>
      </w:r>
      <w:r>
        <w:rPr>
          <w:rFonts w:ascii="仿宋" w:hAnsi="仿宋" w:eastAsia="仿宋" w:cs="仿宋"/>
          <w:color w:val="000000"/>
          <w:sz w:val="32"/>
          <w:szCs w:val="32"/>
        </w:rPr>
        <w:t>1</w:t>
      </w:r>
      <w:r>
        <w:rPr>
          <w:rFonts w:hint="eastAsia" w:ascii="仿宋" w:hAnsi="仿宋" w:eastAsia="仿宋" w:cs="仿宋"/>
          <w:color w:val="000000"/>
          <w:sz w:val="32"/>
          <w:szCs w:val="32"/>
          <w:lang w:val="en-US" w:eastAsia="zh-CN"/>
        </w:rPr>
        <w:t>.</w:t>
      </w:r>
      <w:r>
        <w:rPr>
          <w:rFonts w:ascii="仿宋" w:hAnsi="仿宋" w:eastAsia="仿宋" w:cs="仿宋"/>
          <w:color w:val="000000"/>
          <w:sz w:val="32"/>
          <w:szCs w:val="32"/>
        </w:rPr>
        <w:t>2</w:t>
      </w:r>
      <w:r>
        <w:rPr>
          <w:rFonts w:hint="eastAsia" w:ascii="仿宋" w:hAnsi="仿宋" w:eastAsia="仿宋" w:cs="仿宋"/>
          <w:color w:val="000000"/>
          <w:sz w:val="32"/>
          <w:szCs w:val="32"/>
          <w:lang w:val="en-US" w:eastAsia="zh-CN"/>
        </w:rPr>
        <w:t>9万</w:t>
      </w:r>
      <w:r>
        <w:rPr>
          <w:rFonts w:hint="eastAsia" w:ascii="仿宋" w:hAnsi="仿宋" w:eastAsia="仿宋" w:cs="仿宋"/>
          <w:color w:val="000000"/>
          <w:sz w:val="32"/>
          <w:szCs w:val="32"/>
        </w:rPr>
        <w:t>元。对“机构编制工作经费”项目进行客观评价，最终评分结果：总得分为</w:t>
      </w:r>
      <w:r>
        <w:rPr>
          <w:rFonts w:ascii="仿宋" w:hAnsi="仿宋" w:eastAsia="仿宋" w:cs="仿宋"/>
          <w:color w:val="000000"/>
          <w:sz w:val="32"/>
          <w:szCs w:val="32"/>
        </w:rPr>
        <w:t>8</w:t>
      </w:r>
      <w:r>
        <w:rPr>
          <w:rFonts w:hint="eastAsia" w:ascii="仿宋" w:hAnsi="仿宋" w:eastAsia="仿宋" w:cs="仿宋"/>
          <w:color w:val="000000"/>
          <w:sz w:val="32"/>
          <w:szCs w:val="32"/>
          <w:lang w:val="en-US" w:eastAsia="zh-CN"/>
        </w:rPr>
        <w:t>9</w:t>
      </w:r>
      <w:r>
        <w:rPr>
          <w:rFonts w:hint="eastAsia" w:ascii="仿宋" w:hAnsi="仿宋" w:eastAsia="仿宋" w:cs="仿宋"/>
          <w:color w:val="000000"/>
          <w:sz w:val="32"/>
          <w:szCs w:val="32"/>
        </w:rPr>
        <w:t>分，属于“良”。其中，项目决策类指标权重为</w:t>
      </w:r>
      <w:r>
        <w:rPr>
          <w:rFonts w:ascii="仿宋" w:hAnsi="仿宋" w:eastAsia="仿宋" w:cs="仿宋"/>
          <w:color w:val="000000"/>
          <w:sz w:val="32"/>
          <w:szCs w:val="32"/>
        </w:rPr>
        <w:t>5</w:t>
      </w:r>
      <w:r>
        <w:rPr>
          <w:rFonts w:hint="eastAsia" w:ascii="仿宋" w:hAnsi="仿宋" w:eastAsia="仿宋" w:cs="仿宋"/>
          <w:color w:val="000000"/>
          <w:sz w:val="32"/>
          <w:szCs w:val="32"/>
        </w:rPr>
        <w:t>分，得分为</w:t>
      </w:r>
      <w:r>
        <w:rPr>
          <w:rFonts w:ascii="仿宋" w:hAnsi="仿宋" w:eastAsia="仿宋" w:cs="仿宋"/>
          <w:color w:val="000000"/>
          <w:sz w:val="32"/>
          <w:szCs w:val="32"/>
        </w:rPr>
        <w:t xml:space="preserve"> 5</w:t>
      </w:r>
      <w:r>
        <w:rPr>
          <w:rFonts w:hint="eastAsia" w:ascii="仿宋" w:hAnsi="仿宋" w:eastAsia="仿宋" w:cs="仿宋"/>
          <w:color w:val="000000"/>
          <w:sz w:val="32"/>
          <w:szCs w:val="32"/>
        </w:rPr>
        <w:t>分，得分率为</w:t>
      </w:r>
      <w:r>
        <w:rPr>
          <w:rFonts w:ascii="仿宋" w:hAnsi="仿宋" w:eastAsia="仿宋" w:cs="仿宋"/>
          <w:color w:val="000000"/>
          <w:sz w:val="32"/>
          <w:szCs w:val="32"/>
        </w:rPr>
        <w:t xml:space="preserve"> 100%</w:t>
      </w:r>
      <w:r>
        <w:rPr>
          <w:rFonts w:hint="eastAsia" w:ascii="仿宋" w:hAnsi="仿宋" w:eastAsia="仿宋" w:cs="仿宋"/>
          <w:color w:val="000000"/>
          <w:sz w:val="32"/>
          <w:szCs w:val="32"/>
        </w:rPr>
        <w:t>。项目过程类指标权重为</w:t>
      </w:r>
      <w:r>
        <w:rPr>
          <w:rFonts w:ascii="仿宋" w:hAnsi="仿宋" w:eastAsia="仿宋" w:cs="仿宋"/>
          <w:color w:val="000000"/>
          <w:sz w:val="32"/>
          <w:szCs w:val="32"/>
        </w:rPr>
        <w:t>5</w:t>
      </w:r>
      <w:r>
        <w:rPr>
          <w:rFonts w:hint="eastAsia" w:ascii="仿宋" w:hAnsi="仿宋" w:eastAsia="仿宋" w:cs="仿宋"/>
          <w:color w:val="000000"/>
          <w:sz w:val="32"/>
          <w:szCs w:val="32"/>
        </w:rPr>
        <w:t>分，得分为</w:t>
      </w:r>
      <w:r>
        <w:rPr>
          <w:rFonts w:ascii="仿宋" w:hAnsi="仿宋" w:eastAsia="仿宋" w:cs="仿宋"/>
          <w:color w:val="000000"/>
          <w:sz w:val="32"/>
          <w:szCs w:val="32"/>
        </w:rPr>
        <w:t xml:space="preserve">5 </w:t>
      </w:r>
      <w:r>
        <w:rPr>
          <w:rFonts w:hint="eastAsia" w:ascii="仿宋" w:hAnsi="仿宋" w:eastAsia="仿宋" w:cs="仿宋"/>
          <w:color w:val="000000"/>
          <w:sz w:val="32"/>
          <w:szCs w:val="32"/>
        </w:rPr>
        <w:t>分，得分率为</w:t>
      </w:r>
      <w:r>
        <w:rPr>
          <w:rFonts w:ascii="仿宋" w:hAnsi="仿宋" w:eastAsia="仿宋" w:cs="仿宋"/>
          <w:color w:val="000000"/>
          <w:sz w:val="32"/>
          <w:szCs w:val="32"/>
        </w:rPr>
        <w:t xml:space="preserve"> 100%</w:t>
      </w:r>
      <w:r>
        <w:rPr>
          <w:rFonts w:hint="eastAsia" w:ascii="仿宋" w:hAnsi="仿宋" w:eastAsia="仿宋" w:cs="仿宋"/>
          <w:color w:val="000000"/>
          <w:sz w:val="32"/>
          <w:szCs w:val="32"/>
        </w:rPr>
        <w:t>。项目产出类指标权重为</w:t>
      </w:r>
      <w:r>
        <w:rPr>
          <w:rFonts w:ascii="仿宋" w:hAnsi="仿宋" w:eastAsia="仿宋" w:cs="仿宋"/>
          <w:color w:val="000000"/>
          <w:sz w:val="32"/>
          <w:szCs w:val="32"/>
        </w:rPr>
        <w:t>50</w:t>
      </w:r>
      <w:r>
        <w:rPr>
          <w:rFonts w:hint="eastAsia" w:ascii="仿宋" w:hAnsi="仿宋" w:eastAsia="仿宋" w:cs="仿宋"/>
          <w:color w:val="000000"/>
          <w:sz w:val="32"/>
          <w:szCs w:val="32"/>
        </w:rPr>
        <w:t>分，得分为</w:t>
      </w:r>
      <w:r>
        <w:rPr>
          <w:rFonts w:ascii="仿宋" w:hAnsi="仿宋" w:eastAsia="仿宋" w:cs="仿宋"/>
          <w:color w:val="000000"/>
          <w:sz w:val="32"/>
          <w:szCs w:val="32"/>
        </w:rPr>
        <w:t>41</w:t>
      </w:r>
      <w:r>
        <w:rPr>
          <w:rFonts w:hint="eastAsia" w:ascii="仿宋" w:hAnsi="仿宋" w:eastAsia="仿宋" w:cs="仿宋"/>
          <w:color w:val="000000"/>
          <w:sz w:val="32"/>
          <w:szCs w:val="32"/>
        </w:rPr>
        <w:t>分，得分率为</w:t>
      </w:r>
      <w:r>
        <w:rPr>
          <w:rFonts w:ascii="仿宋" w:hAnsi="仿宋" w:eastAsia="仿宋" w:cs="仿宋"/>
          <w:color w:val="000000"/>
          <w:sz w:val="32"/>
          <w:szCs w:val="32"/>
        </w:rPr>
        <w:t xml:space="preserve"> 82%</w:t>
      </w:r>
      <w:r>
        <w:rPr>
          <w:rFonts w:hint="eastAsia" w:ascii="仿宋" w:hAnsi="仿宋" w:eastAsia="仿宋" w:cs="仿宋"/>
          <w:color w:val="000000"/>
          <w:sz w:val="32"/>
          <w:szCs w:val="32"/>
        </w:rPr>
        <w:t>。项目效益类指标权重为</w:t>
      </w:r>
      <w:r>
        <w:rPr>
          <w:rFonts w:ascii="仿宋" w:hAnsi="仿宋" w:eastAsia="仿宋" w:cs="仿宋"/>
          <w:color w:val="000000"/>
          <w:sz w:val="32"/>
          <w:szCs w:val="32"/>
        </w:rPr>
        <w:t>40</w:t>
      </w:r>
      <w:r>
        <w:rPr>
          <w:rFonts w:hint="eastAsia" w:ascii="仿宋" w:hAnsi="仿宋" w:eastAsia="仿宋" w:cs="仿宋"/>
          <w:color w:val="000000"/>
          <w:sz w:val="32"/>
          <w:szCs w:val="32"/>
        </w:rPr>
        <w:t>分，得分为</w:t>
      </w:r>
      <w:r>
        <w:rPr>
          <w:rFonts w:ascii="仿宋" w:hAnsi="仿宋" w:eastAsia="仿宋" w:cs="仿宋"/>
          <w:color w:val="000000"/>
          <w:sz w:val="32"/>
          <w:szCs w:val="32"/>
        </w:rPr>
        <w:t>38</w:t>
      </w:r>
      <w:r>
        <w:rPr>
          <w:rFonts w:hint="eastAsia" w:ascii="仿宋" w:hAnsi="仿宋" w:eastAsia="仿宋" w:cs="仿宋"/>
          <w:color w:val="000000"/>
          <w:sz w:val="32"/>
          <w:szCs w:val="32"/>
        </w:rPr>
        <w:t>分，得分率为</w:t>
      </w:r>
      <w:r>
        <w:rPr>
          <w:rFonts w:ascii="仿宋" w:hAnsi="仿宋" w:eastAsia="仿宋" w:cs="仿宋"/>
          <w:color w:val="000000"/>
          <w:sz w:val="32"/>
          <w:szCs w:val="32"/>
        </w:rPr>
        <w:t xml:space="preserve"> 95%</w:t>
      </w:r>
      <w:r>
        <w:rPr>
          <w:rFonts w:hint="eastAsia" w:ascii="仿宋" w:hAnsi="仿宋" w:eastAsia="仿宋" w:cs="仿宋"/>
          <w:color w:val="000000"/>
          <w:sz w:val="32"/>
          <w:szCs w:val="32"/>
        </w:rPr>
        <w:t>。</w:t>
      </w:r>
    </w:p>
    <w:p>
      <w:pPr>
        <w:pStyle w:val="2"/>
        <w:keepNext w:val="0"/>
        <w:keepLines w:val="0"/>
        <w:pageBreakBefore w:val="0"/>
        <w:kinsoku/>
        <w:wordWrap/>
        <w:overflowPunct/>
        <w:topLinePunct w:val="0"/>
        <w:autoSpaceDE/>
        <w:autoSpaceDN/>
        <w:bidi w:val="0"/>
        <w:adjustRightInd/>
        <w:snapToGrid/>
        <w:spacing w:before="0" w:after="0" w:line="560" w:lineRule="atLeast"/>
        <w:textAlignment w:val="auto"/>
        <w:rPr>
          <w:rFonts w:ascii="仿宋_GB2312" w:hAnsi="仿宋_GB2312" w:eastAsia="仿宋_GB2312" w:cs="Times New Roman"/>
          <w:sz w:val="30"/>
          <w:szCs w:val="30"/>
        </w:rPr>
      </w:pPr>
      <w:r>
        <w:rPr>
          <w:rFonts w:hint="eastAsia" w:ascii="仿宋_GB2312" w:hAnsi="仿宋_GB2312" w:eastAsia="仿宋_GB2312" w:cs="仿宋_GB2312"/>
          <w:sz w:val="30"/>
          <w:szCs w:val="30"/>
        </w:rPr>
        <w:t>表</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综合评分表</w:t>
      </w:r>
    </w:p>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决策　</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　</w:t>
            </w:r>
          </w:p>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　</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kern w:val="0"/>
                <w:sz w:val="22"/>
                <w:szCs w:val="22"/>
              </w:rPr>
              <w:t>5</w:t>
            </w:r>
            <w:r>
              <w:rPr>
                <w:rFonts w:hint="eastAsia" w:ascii="宋体" w:hAnsi="宋体" w:cs="宋体"/>
                <w:kern w:val="0"/>
                <w:sz w:val="22"/>
                <w:szCs w:val="22"/>
              </w:rPr>
              <w:t>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立项依据</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0.5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0.5</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0.5</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立项程序</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0.5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0.5</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0.5</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绩效目标</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绩效指标</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预算编制</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资金分配</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3" w:hRule="atLeast"/>
        </w:trPr>
        <w:tc>
          <w:tcPr>
            <w:tcW w:w="1104" w:type="dxa"/>
            <w:vMerge w:val="restart"/>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过程</w:t>
            </w:r>
          </w:p>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kern w:val="0"/>
                <w:sz w:val="22"/>
                <w:szCs w:val="22"/>
              </w:rPr>
              <w:t>5</w:t>
            </w:r>
            <w:r>
              <w:rPr>
                <w:rFonts w:hint="eastAsia" w:ascii="宋体" w:hAnsi="宋体" w:cs="宋体"/>
                <w:kern w:val="0"/>
                <w:sz w:val="22"/>
                <w:szCs w:val="22"/>
              </w:rPr>
              <w:t>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283"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资金使用</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管理制度</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制度执行</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5"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kern w:val="0"/>
                <w:sz w:val="22"/>
                <w:szCs w:val="22"/>
              </w:rPr>
              <w:t>50</w:t>
            </w:r>
            <w:r>
              <w:rPr>
                <w:rFonts w:hint="eastAsia" w:ascii="宋体" w:hAnsi="宋体" w:cs="宋体"/>
                <w:kern w:val="0"/>
                <w:sz w:val="22"/>
                <w:szCs w:val="22"/>
              </w:rPr>
              <w:t>分</w:t>
            </w: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66.67%</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283" w:type="dxa"/>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73.33%</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1"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40</w:t>
            </w:r>
            <w:r>
              <w:rPr>
                <w:rFonts w:hint="eastAsia" w:ascii="宋体" w:hAnsi="宋体" w:cs="宋体"/>
                <w:color w:val="000000"/>
                <w:kern w:val="0"/>
                <w:sz w:val="22"/>
                <w:szCs w:val="22"/>
              </w:rPr>
              <w:t>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实施效益</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30</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30</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28</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95%</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ascii="宋体" w:hAnsi="宋体" w:cs="宋体"/>
                <w:color w:val="000000"/>
                <w:kern w:val="0"/>
                <w:sz w:val="22"/>
                <w:szCs w:val="22"/>
              </w:rPr>
              <w:t>10</w:t>
            </w:r>
          </w:p>
        </w:tc>
      </w:tr>
    </w:tbl>
    <w:p>
      <w:pPr>
        <w:keepNext w:val="0"/>
        <w:keepLines w:val="0"/>
        <w:pageBreakBefore w:val="0"/>
        <w:kinsoku/>
        <w:wordWrap/>
        <w:overflowPunct/>
        <w:topLinePunct w:val="0"/>
        <w:autoSpaceDE/>
        <w:autoSpaceDN/>
        <w:bidi w:val="0"/>
        <w:adjustRightInd/>
        <w:snapToGrid/>
        <w:spacing w:line="560" w:lineRule="atLeast"/>
        <w:ind w:firstLine="320" w:firstLineChars="100"/>
        <w:textAlignment w:val="auto"/>
        <w:rPr>
          <w:rFonts w:ascii="黑体" w:hAnsi="黑体" w:eastAsia="黑体"/>
          <w:sz w:val="32"/>
          <w:szCs w:val="32"/>
        </w:rPr>
      </w:pPr>
      <w:r>
        <w:rPr>
          <w:rFonts w:hint="eastAsia" w:ascii="黑体" w:hAnsi="黑体" w:eastAsia="黑体" w:cs="黑体"/>
          <w:sz w:val="32"/>
          <w:szCs w:val="32"/>
        </w:rPr>
        <w:t>四、绩效评价指标分析</w:t>
      </w:r>
    </w:p>
    <w:p>
      <w:pPr>
        <w:pStyle w:val="2"/>
        <w:keepNext w:val="0"/>
        <w:keepLines w:val="0"/>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ascii="楷体_GB2312" w:hAnsi="楷体_GB2312" w:eastAsia="楷体_GB2312" w:cs="Times New Roman"/>
        </w:rPr>
      </w:pPr>
      <w:r>
        <w:rPr>
          <w:rFonts w:hint="eastAsia" w:ascii="楷体_GB2312" w:hAnsi="楷体_GB2312" w:eastAsia="楷体_GB2312" w:cs="楷体_GB2312"/>
        </w:rPr>
        <w:t>（一）项目决策情况</w:t>
      </w:r>
    </w:p>
    <w:p>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val="0"/>
          <w:spacing w:val="-4"/>
          <w:kern w:val="2"/>
          <w:sz w:val="32"/>
          <w:szCs w:val="32"/>
          <w:lang w:val="en-US" w:eastAsia="zh-CN" w:bidi="ar"/>
        </w:rPr>
        <w:t>项目决策指标从项目立项、绩效目标、资金投入3个方面对项目的决策进行考察，项目决策类指标分值5分，实际得分5分，得分率100%。</w:t>
      </w:r>
    </w:p>
    <w:p>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val="0"/>
          <w:spacing w:val="-4"/>
          <w:kern w:val="2"/>
          <w:sz w:val="32"/>
          <w:szCs w:val="32"/>
          <w:lang w:val="en-US" w:eastAsia="zh-CN" w:bidi="ar"/>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2"/>
        <w:keepNext w:val="0"/>
        <w:keepLines w:val="0"/>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val="0"/>
          <w:spacing w:val="-4"/>
          <w:kern w:val="2"/>
          <w:sz w:val="32"/>
          <w:szCs w:val="32"/>
          <w:lang w:val="en-US" w:eastAsia="zh-CN" w:bidi="ar"/>
        </w:rPr>
        <w:t>项目过程指标从资金到位率、预算执行率、资金使用合规性、管理制度健全性、制度执行有效性5个方面对项目的管理情况进行考察。项目管理类指标分值5分，实际得分5分，得分率为100%。</w:t>
      </w:r>
    </w:p>
    <w:p>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val="0"/>
          <w:spacing w:val="-4"/>
          <w:kern w:val="2"/>
          <w:sz w:val="32"/>
          <w:szCs w:val="32"/>
          <w:lang w:val="en-US" w:eastAsia="zh-CN" w:bidi="ar"/>
        </w:rPr>
        <w:t>本项目资金的到位率100%，执行率47.53%，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2"/>
        <w:keepNext w:val="0"/>
        <w:keepLines w:val="0"/>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w:t>
      </w:r>
      <w:r>
        <w:rPr>
          <w:rFonts w:hint="eastAsia" w:ascii="楷体_GB2312" w:hAnsi="楷体_GB2312" w:eastAsia="楷体_GB2312" w:cs="楷体_GB2312"/>
          <w:lang w:eastAsia="zh-CN"/>
        </w:rPr>
        <w:t>）项目产出</w:t>
      </w:r>
    </w:p>
    <w:p>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val="0"/>
          <w:spacing w:val="-4"/>
          <w:kern w:val="2"/>
          <w:sz w:val="32"/>
          <w:szCs w:val="32"/>
          <w:lang w:val="en-US" w:eastAsia="zh-CN" w:bidi="ar"/>
        </w:rPr>
        <w:t>项目产出主要从项目产出数量、产出质量、产出时效、成本4个方面对项目的绩效情况进行评价。项目绩效类指标分值50分，实际得分41分，得分率为82%。项目绩效指标得分情况如表所示。</w:t>
      </w:r>
    </w:p>
    <w:p>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bCs w:val="0"/>
          <w:spacing w:val="-4"/>
          <w:sz w:val="32"/>
          <w:szCs w:val="32"/>
        </w:rPr>
        <w:t>数量指标：</w:t>
      </w:r>
      <w:r>
        <w:rPr>
          <w:rFonts w:hint="eastAsia" w:ascii="仿宋" w:hAnsi="仿宋" w:eastAsia="仿宋" w:cs="仿宋"/>
          <w:sz w:val="32"/>
          <w:szCs w:val="32"/>
          <w:lang w:val="en-US" w:eastAsia="zh-CN"/>
        </w:rPr>
        <w:t>2019年度事业单位法人年度报告个数</w:t>
      </w:r>
      <w:r>
        <w:rPr>
          <w:rFonts w:hint="eastAsia" w:ascii="仿宋" w:hAnsi="仿宋" w:eastAsia="仿宋" w:cs="仿宋"/>
          <w:sz w:val="32"/>
          <w:szCs w:val="32"/>
        </w:rPr>
        <w:t>，</w:t>
      </w:r>
      <w:r>
        <w:rPr>
          <w:rFonts w:hint="eastAsia" w:ascii="仿宋" w:hAnsi="仿宋" w:eastAsia="仿宋" w:cs="仿宋"/>
          <w:sz w:val="32"/>
          <w:szCs w:val="32"/>
          <w:lang w:val="en-US" w:eastAsia="zh-CN"/>
        </w:rPr>
        <w:t>年度</w:t>
      </w:r>
      <w:r>
        <w:rPr>
          <w:rStyle w:val="22"/>
          <w:rFonts w:hint="eastAsia" w:ascii="仿宋" w:hAnsi="仿宋" w:eastAsia="仿宋" w:cs="仿宋"/>
          <w:b w:val="0"/>
          <w:spacing w:val="-4"/>
          <w:kern w:val="2"/>
          <w:sz w:val="32"/>
          <w:szCs w:val="32"/>
          <w:lang w:val="en-US" w:eastAsia="zh-CN" w:bidi="ar"/>
        </w:rPr>
        <w:t>目标值125个，指标完成值125个，指标完成率100%；</w:t>
      </w:r>
    </w:p>
    <w:p>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val="0"/>
          <w:spacing w:val="-4"/>
          <w:kern w:val="2"/>
          <w:sz w:val="32"/>
          <w:szCs w:val="32"/>
          <w:lang w:val="en-US" w:eastAsia="zh-CN" w:bidi="ar"/>
        </w:rPr>
        <w:t>购买保密柜，预期指标值4个，年度目标值3个，指标完成率75%；</w:t>
      </w:r>
    </w:p>
    <w:p>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val="0"/>
          <w:spacing w:val="-4"/>
          <w:kern w:val="2"/>
          <w:sz w:val="32"/>
          <w:szCs w:val="32"/>
          <w:lang w:val="en-US" w:eastAsia="zh-CN" w:bidi="ar"/>
        </w:rPr>
        <w:t>购买碎纸机，预期指标值2个，年度目标值2个，指标完成率100%；</w:t>
      </w:r>
    </w:p>
    <w:p>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val="0"/>
          <w:spacing w:val="-4"/>
          <w:kern w:val="2"/>
          <w:sz w:val="32"/>
          <w:szCs w:val="32"/>
          <w:lang w:val="en-US" w:eastAsia="zh-CN" w:bidi="ar"/>
        </w:rPr>
        <w:t>购买台式计算机，预期指标值3个，年度目标值3个，指标完成率100%</w:t>
      </w:r>
    </w:p>
    <w:p>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3"/>
        <w:jc w:val="both"/>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bCs w:val="0"/>
          <w:spacing w:val="-4"/>
          <w:sz w:val="32"/>
          <w:szCs w:val="32"/>
        </w:rPr>
        <w:t>质量指标</w:t>
      </w:r>
      <w:r>
        <w:rPr>
          <w:rStyle w:val="22"/>
          <w:rFonts w:hint="eastAsia" w:ascii="仿宋" w:hAnsi="仿宋" w:eastAsia="仿宋" w:cs="仿宋"/>
          <w:b w:val="0"/>
          <w:bCs/>
          <w:spacing w:val="-4"/>
          <w:sz w:val="32"/>
          <w:szCs w:val="32"/>
        </w:rPr>
        <w:t>：</w:t>
      </w:r>
      <w:r>
        <w:rPr>
          <w:rFonts w:hint="eastAsia" w:ascii="仿宋" w:hAnsi="仿宋" w:eastAsia="仿宋" w:cs="仿宋"/>
          <w:sz w:val="32"/>
          <w:szCs w:val="32"/>
          <w:lang w:val="en-US" w:eastAsia="zh-CN"/>
        </w:rPr>
        <w:t>2019年度事业单位法人年度报告完成率</w:t>
      </w:r>
      <w:r>
        <w:rPr>
          <w:rFonts w:hint="eastAsia" w:ascii="仿宋" w:hAnsi="仿宋" w:eastAsia="仿宋" w:cs="仿宋"/>
          <w:sz w:val="32"/>
          <w:szCs w:val="32"/>
        </w:rPr>
        <w:t>，</w:t>
      </w:r>
      <w:r>
        <w:rPr>
          <w:rFonts w:hint="eastAsia" w:ascii="仿宋" w:hAnsi="仿宋" w:eastAsia="仿宋" w:cs="仿宋"/>
          <w:sz w:val="32"/>
          <w:szCs w:val="32"/>
          <w:lang w:val="en-US" w:eastAsia="zh-CN"/>
        </w:rPr>
        <w:t>年</w:t>
      </w:r>
      <w:r>
        <w:rPr>
          <w:rStyle w:val="22"/>
          <w:rFonts w:hint="eastAsia" w:ascii="仿宋" w:hAnsi="仿宋" w:eastAsia="仿宋" w:cs="仿宋"/>
          <w:b w:val="0"/>
          <w:spacing w:val="-4"/>
          <w:kern w:val="2"/>
          <w:sz w:val="32"/>
          <w:szCs w:val="32"/>
          <w:lang w:val="en-US" w:eastAsia="zh-CN" w:bidi="ar"/>
        </w:rPr>
        <w:t>度目标值100%，指标完成值100%，指标完成率100%；</w:t>
      </w:r>
    </w:p>
    <w:p>
      <w:pPr>
        <w:keepNext w:val="0"/>
        <w:keepLines w:val="0"/>
        <w:pageBreakBefore w:val="0"/>
        <w:kinsoku/>
        <w:wordWrap/>
        <w:overflowPunct/>
        <w:topLinePunct w:val="0"/>
        <w:autoSpaceDE/>
        <w:autoSpaceDN/>
        <w:bidi w:val="0"/>
        <w:adjustRightInd/>
        <w:snapToGrid/>
        <w:spacing w:line="560" w:lineRule="atLeast"/>
        <w:ind w:firstLine="641"/>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bCs w:val="0"/>
          <w:spacing w:val="-4"/>
          <w:sz w:val="32"/>
          <w:szCs w:val="32"/>
          <w:lang w:val="en-US" w:eastAsia="zh-CN"/>
        </w:rPr>
        <w:t>成本指标：</w:t>
      </w:r>
      <w:r>
        <w:rPr>
          <w:rStyle w:val="22"/>
          <w:rFonts w:hint="eastAsia" w:ascii="仿宋" w:hAnsi="仿宋" w:eastAsia="仿宋" w:cs="仿宋"/>
          <w:b w:val="0"/>
          <w:bCs/>
          <w:spacing w:val="-4"/>
          <w:sz w:val="32"/>
          <w:szCs w:val="32"/>
          <w:lang w:val="en-US" w:eastAsia="zh-CN"/>
        </w:rPr>
        <w:t>办公设备购置</w:t>
      </w:r>
      <w:r>
        <w:rPr>
          <w:rFonts w:hint="eastAsia" w:ascii="仿宋" w:hAnsi="仿宋" w:eastAsia="仿宋" w:cs="仿宋"/>
          <w:b w:val="0"/>
          <w:bCs/>
          <w:sz w:val="32"/>
          <w:szCs w:val="32"/>
        </w:rPr>
        <w:t>，</w:t>
      </w:r>
      <w:r>
        <w:rPr>
          <w:rFonts w:hint="eastAsia" w:ascii="仿宋" w:hAnsi="仿宋" w:eastAsia="仿宋" w:cs="仿宋"/>
          <w:sz w:val="32"/>
          <w:szCs w:val="32"/>
        </w:rPr>
        <w:t>预期指标值</w:t>
      </w:r>
      <w:r>
        <w:rPr>
          <w:rFonts w:hint="eastAsia" w:ascii="仿宋" w:hAnsi="仿宋" w:eastAsia="仿宋" w:cs="仿宋"/>
          <w:sz w:val="32"/>
          <w:szCs w:val="32"/>
          <w:lang w:val="en-US" w:eastAsia="zh-CN"/>
        </w:rPr>
        <w:t>≤10万元</w:t>
      </w:r>
      <w:r>
        <w:rPr>
          <w:rFonts w:hint="eastAsia" w:ascii="仿宋" w:hAnsi="仿宋" w:eastAsia="仿宋" w:cs="仿宋"/>
          <w:sz w:val="32"/>
          <w:szCs w:val="32"/>
        </w:rPr>
        <w:t>，</w:t>
      </w:r>
      <w:r>
        <w:rPr>
          <w:rFonts w:hint="eastAsia" w:ascii="仿宋" w:hAnsi="仿宋" w:eastAsia="仿宋" w:cs="仿宋"/>
          <w:sz w:val="32"/>
          <w:szCs w:val="32"/>
          <w:lang w:val="en-US" w:eastAsia="zh-CN"/>
        </w:rPr>
        <w:t>年度</w:t>
      </w:r>
      <w:r>
        <w:rPr>
          <w:rStyle w:val="22"/>
          <w:rFonts w:hint="eastAsia" w:ascii="仿宋" w:hAnsi="仿宋" w:eastAsia="仿宋" w:cs="仿宋"/>
          <w:b w:val="0"/>
          <w:spacing w:val="-4"/>
          <w:kern w:val="2"/>
          <w:sz w:val="32"/>
          <w:szCs w:val="32"/>
          <w:lang w:val="en-US" w:eastAsia="zh-CN" w:bidi="ar"/>
        </w:rPr>
        <w:t>目标值2.84万元，指标完成率100%；</w:t>
      </w:r>
    </w:p>
    <w:p>
      <w:pPr>
        <w:keepNext w:val="0"/>
        <w:keepLines w:val="0"/>
        <w:pageBreakBefore w:val="0"/>
        <w:kinsoku/>
        <w:wordWrap/>
        <w:overflowPunct/>
        <w:topLinePunct w:val="0"/>
        <w:autoSpaceDE/>
        <w:autoSpaceDN/>
        <w:bidi w:val="0"/>
        <w:adjustRightInd/>
        <w:snapToGrid/>
        <w:spacing w:line="560" w:lineRule="atLeast"/>
        <w:ind w:firstLine="641"/>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val="0"/>
          <w:spacing w:val="-4"/>
          <w:kern w:val="2"/>
          <w:sz w:val="32"/>
          <w:szCs w:val="32"/>
          <w:lang w:val="en-US" w:eastAsia="zh-CN" w:bidi="ar"/>
        </w:rPr>
        <w:t>办公费，预期指标值≤3万元，年度目标值3万元，指标完成率100%；</w:t>
      </w:r>
    </w:p>
    <w:p>
      <w:pPr>
        <w:keepNext w:val="0"/>
        <w:keepLines w:val="0"/>
        <w:pageBreakBefore w:val="0"/>
        <w:kinsoku/>
        <w:wordWrap/>
        <w:overflowPunct/>
        <w:topLinePunct w:val="0"/>
        <w:autoSpaceDE/>
        <w:autoSpaceDN/>
        <w:bidi w:val="0"/>
        <w:adjustRightInd/>
        <w:snapToGrid/>
        <w:spacing w:line="560" w:lineRule="atLeast"/>
        <w:ind w:firstLine="641"/>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val="0"/>
          <w:spacing w:val="-4"/>
          <w:kern w:val="2"/>
          <w:sz w:val="32"/>
          <w:szCs w:val="32"/>
          <w:lang w:val="en-US" w:eastAsia="zh-CN" w:bidi="ar"/>
        </w:rPr>
        <w:t>公车运行费，预期指标值≤2万元，年度目标值1.89万元，指标完成率100%；</w:t>
      </w:r>
    </w:p>
    <w:p>
      <w:pPr>
        <w:keepNext w:val="0"/>
        <w:keepLines w:val="0"/>
        <w:pageBreakBefore w:val="0"/>
        <w:kinsoku/>
        <w:wordWrap/>
        <w:overflowPunct/>
        <w:topLinePunct w:val="0"/>
        <w:autoSpaceDE/>
        <w:autoSpaceDN/>
        <w:bidi w:val="0"/>
        <w:adjustRightInd/>
        <w:snapToGrid/>
        <w:spacing w:line="560" w:lineRule="atLeast"/>
        <w:ind w:firstLine="641"/>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bCs w:val="0"/>
          <w:spacing w:val="-4"/>
          <w:sz w:val="32"/>
          <w:szCs w:val="32"/>
          <w:lang w:val="en-US" w:eastAsia="zh-CN"/>
        </w:rPr>
        <w:t>时效指标：</w:t>
      </w:r>
      <w:r>
        <w:rPr>
          <w:rFonts w:hint="eastAsia" w:ascii="仿宋" w:hAnsi="仿宋" w:eastAsia="仿宋" w:cs="仿宋"/>
          <w:sz w:val="32"/>
          <w:szCs w:val="32"/>
          <w:lang w:val="en-US" w:eastAsia="zh-CN"/>
        </w:rPr>
        <w:t>2019年度事业单位法人年度报告</w:t>
      </w:r>
      <w:r>
        <w:rPr>
          <w:rFonts w:hint="eastAsia" w:ascii="仿宋" w:hAnsi="仿宋" w:eastAsia="仿宋" w:cs="仿宋"/>
          <w:sz w:val="32"/>
          <w:szCs w:val="32"/>
        </w:rPr>
        <w:t>，预期指标</w:t>
      </w:r>
      <w:r>
        <w:rPr>
          <w:rStyle w:val="22"/>
          <w:rFonts w:hint="eastAsia" w:ascii="仿宋" w:hAnsi="仿宋" w:eastAsia="仿宋" w:cs="仿宋"/>
          <w:b w:val="0"/>
          <w:spacing w:val="-4"/>
          <w:kern w:val="2"/>
          <w:sz w:val="32"/>
          <w:szCs w:val="32"/>
          <w:lang w:val="en-US" w:eastAsia="zh-CN" w:bidi="ar"/>
        </w:rPr>
        <w:t>值4月，年度目标值4月，指标完成率100%；</w:t>
      </w:r>
    </w:p>
    <w:p>
      <w:pPr>
        <w:keepNext w:val="0"/>
        <w:keepLines w:val="0"/>
        <w:pageBreakBefore w:val="0"/>
        <w:kinsoku/>
        <w:wordWrap/>
        <w:overflowPunct/>
        <w:topLinePunct w:val="0"/>
        <w:autoSpaceDE/>
        <w:autoSpaceDN/>
        <w:bidi w:val="0"/>
        <w:adjustRightInd/>
        <w:snapToGrid/>
        <w:spacing w:line="560" w:lineRule="atLeast"/>
        <w:ind w:firstLine="641"/>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val="0"/>
          <w:spacing w:val="-4"/>
          <w:kern w:val="2"/>
          <w:sz w:val="32"/>
          <w:szCs w:val="32"/>
          <w:lang w:val="en-US" w:eastAsia="zh-CN" w:bidi="ar"/>
        </w:rPr>
        <w:t>2019年度机构编制统计工作，预期指标值2月，年度目标值2月，指标完成率100%；</w:t>
      </w:r>
    </w:p>
    <w:p>
      <w:pPr>
        <w:keepNext w:val="0"/>
        <w:keepLines w:val="0"/>
        <w:pageBreakBefore w:val="0"/>
        <w:kinsoku/>
        <w:wordWrap/>
        <w:overflowPunct/>
        <w:topLinePunct w:val="0"/>
        <w:autoSpaceDE/>
        <w:autoSpaceDN/>
        <w:bidi w:val="0"/>
        <w:adjustRightInd/>
        <w:snapToGrid/>
        <w:spacing w:line="560" w:lineRule="atLeast"/>
        <w:ind w:firstLine="641"/>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val="0"/>
          <w:spacing w:val="-4"/>
          <w:kern w:val="2"/>
          <w:sz w:val="32"/>
          <w:szCs w:val="32"/>
          <w:lang w:val="en-US" w:eastAsia="zh-CN" w:bidi="ar"/>
        </w:rPr>
        <w:t>招录审核上报时间，预期指标值10月，年度目标值10月，指标完成率100%；</w:t>
      </w:r>
    </w:p>
    <w:p>
      <w:pPr>
        <w:keepNext w:val="0"/>
        <w:keepLines w:val="0"/>
        <w:pageBreakBefore w:val="0"/>
        <w:kinsoku/>
        <w:wordWrap/>
        <w:overflowPunct/>
        <w:topLinePunct w:val="0"/>
        <w:autoSpaceDE/>
        <w:autoSpaceDN/>
        <w:bidi w:val="0"/>
        <w:adjustRightInd/>
        <w:snapToGrid/>
        <w:spacing w:line="560" w:lineRule="atLeast"/>
        <w:ind w:firstLine="641"/>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val="0"/>
          <w:spacing w:val="-4"/>
          <w:kern w:val="2"/>
          <w:sz w:val="32"/>
          <w:szCs w:val="32"/>
          <w:lang w:val="en-US" w:eastAsia="zh-CN" w:bidi="ar"/>
        </w:rPr>
        <w:t>实名制数据动态管理工作完成时间，预期指标值10月，年度目标值10月，指标完成率100%；</w:t>
      </w:r>
    </w:p>
    <w:p>
      <w:pPr>
        <w:pStyle w:val="2"/>
        <w:keepNext w:val="0"/>
        <w:keepLines w:val="0"/>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）效益情况</w:t>
      </w:r>
    </w:p>
    <w:p>
      <w:pPr>
        <w:keepNext w:val="0"/>
        <w:keepLines w:val="0"/>
        <w:pageBreakBefore w:val="0"/>
        <w:kinsoku/>
        <w:wordWrap/>
        <w:overflowPunct/>
        <w:topLinePunct w:val="0"/>
        <w:autoSpaceDE/>
        <w:autoSpaceDN/>
        <w:bidi w:val="0"/>
        <w:adjustRightInd/>
        <w:snapToGrid/>
        <w:spacing w:line="560" w:lineRule="atLeast"/>
        <w:ind w:firstLine="641"/>
        <w:textAlignment w:val="auto"/>
        <w:rPr>
          <w:rStyle w:val="22"/>
          <w:rFonts w:hint="eastAsia" w:ascii="仿宋" w:hAnsi="仿宋" w:eastAsia="仿宋" w:cs="仿宋"/>
          <w:b w:val="0"/>
          <w:spacing w:val="-4"/>
          <w:kern w:val="2"/>
          <w:sz w:val="32"/>
          <w:szCs w:val="32"/>
          <w:lang w:val="en-US" w:eastAsia="zh-CN" w:bidi="ar"/>
        </w:rPr>
      </w:pPr>
      <w:r>
        <w:rPr>
          <w:rStyle w:val="22"/>
          <w:rFonts w:hint="eastAsia" w:ascii="仿宋" w:hAnsi="仿宋" w:eastAsia="仿宋" w:cs="仿宋"/>
          <w:b w:val="0"/>
          <w:spacing w:val="-4"/>
          <w:kern w:val="2"/>
          <w:sz w:val="32"/>
          <w:szCs w:val="32"/>
          <w:lang w:val="en-US" w:eastAsia="zh-CN" w:bidi="ar"/>
        </w:rPr>
        <w:t>项目效益主要从项目实施效益、经济效益、社会效益、可持续影响指标、满意度5个方面对项目的绩效情况进行评价。项目绩效类指标分值40分，实际得分38分，得分率为95%。项目绩效指标得分情况如表所示。</w:t>
      </w:r>
    </w:p>
    <w:p>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jc w:val="both"/>
        <w:textAlignment w:val="auto"/>
        <w:rPr>
          <w:rStyle w:val="22"/>
          <w:rFonts w:hint="eastAsia" w:ascii="仿宋" w:hAnsi="仿宋" w:eastAsia="仿宋" w:cs="仿宋"/>
          <w:b w:val="0"/>
          <w:bCs/>
          <w:spacing w:val="-4"/>
          <w:sz w:val="32"/>
          <w:szCs w:val="32"/>
          <w:lang w:val="en-US" w:eastAsia="zh-CN"/>
        </w:rPr>
      </w:pPr>
      <w:r>
        <w:rPr>
          <w:rStyle w:val="22"/>
          <w:rFonts w:hint="eastAsia" w:ascii="仿宋" w:hAnsi="仿宋" w:eastAsia="仿宋" w:cs="仿宋"/>
          <w:b/>
          <w:bCs w:val="0"/>
          <w:spacing w:val="-4"/>
          <w:sz w:val="32"/>
          <w:szCs w:val="32"/>
          <w:lang w:val="en-US" w:eastAsia="zh-CN"/>
        </w:rPr>
        <w:t>社会效益指标：</w:t>
      </w:r>
      <w:r>
        <w:rPr>
          <w:rStyle w:val="22"/>
          <w:rFonts w:hint="eastAsia" w:ascii="仿宋" w:hAnsi="仿宋" w:eastAsia="仿宋" w:cs="仿宋"/>
          <w:b w:val="0"/>
          <w:bCs/>
          <w:spacing w:val="-4"/>
          <w:sz w:val="32"/>
          <w:szCs w:val="32"/>
          <w:lang w:val="en-US" w:eastAsia="zh-CN"/>
        </w:rPr>
        <w:t>理顺党政机关职责职能，预期指效果显著，指标完成值效果显著，指标完成率100%；</w:t>
      </w:r>
    </w:p>
    <w:p>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jc w:val="both"/>
        <w:textAlignment w:val="auto"/>
        <w:rPr>
          <w:rStyle w:val="22"/>
          <w:rFonts w:hint="eastAsia" w:ascii="仿宋" w:hAnsi="仿宋" w:eastAsia="仿宋" w:cs="仿宋"/>
          <w:b w:val="0"/>
          <w:bCs/>
          <w:spacing w:val="-4"/>
          <w:sz w:val="32"/>
          <w:szCs w:val="32"/>
          <w:lang w:val="en-US" w:eastAsia="zh-CN"/>
        </w:rPr>
      </w:pPr>
      <w:r>
        <w:rPr>
          <w:rStyle w:val="22"/>
          <w:rFonts w:hint="eastAsia" w:ascii="仿宋" w:hAnsi="仿宋" w:eastAsia="仿宋" w:cs="仿宋"/>
          <w:b w:val="0"/>
          <w:bCs/>
          <w:spacing w:val="-4"/>
          <w:sz w:val="32"/>
          <w:szCs w:val="32"/>
          <w:lang w:val="en-US" w:eastAsia="zh-CN"/>
        </w:rPr>
        <w:t>规范党政机构设置，预期指效果显著，指标完成值效果显著，指标完成率100%；</w:t>
      </w:r>
    </w:p>
    <w:p>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jc w:val="both"/>
        <w:textAlignment w:val="auto"/>
        <w:rPr>
          <w:rStyle w:val="22"/>
          <w:rFonts w:hint="eastAsia" w:ascii="仿宋" w:hAnsi="仿宋" w:eastAsia="仿宋" w:cs="仿宋"/>
          <w:b w:val="0"/>
          <w:bCs/>
          <w:spacing w:val="-4"/>
          <w:sz w:val="32"/>
          <w:szCs w:val="32"/>
          <w:lang w:val="en-US" w:eastAsia="zh-CN"/>
        </w:rPr>
      </w:pPr>
      <w:r>
        <w:rPr>
          <w:rStyle w:val="22"/>
          <w:rFonts w:hint="eastAsia" w:ascii="仿宋" w:hAnsi="仿宋" w:eastAsia="仿宋" w:cs="仿宋"/>
          <w:b/>
          <w:bCs w:val="0"/>
          <w:spacing w:val="-4"/>
          <w:sz w:val="32"/>
          <w:szCs w:val="32"/>
          <w:lang w:val="en-US" w:eastAsia="zh-CN"/>
        </w:rPr>
        <w:t>可持续影响指标：</w:t>
      </w:r>
      <w:r>
        <w:rPr>
          <w:rStyle w:val="22"/>
          <w:rFonts w:hint="eastAsia" w:ascii="仿宋" w:hAnsi="仿宋" w:eastAsia="仿宋" w:cs="仿宋"/>
          <w:b w:val="0"/>
          <w:bCs/>
          <w:spacing w:val="-4"/>
          <w:sz w:val="32"/>
          <w:szCs w:val="32"/>
          <w:lang w:val="en-US" w:eastAsia="zh-CN"/>
        </w:rPr>
        <w:t>提升党政机构的执行力，预期指标值长期，指标完成值长期，指标完成率90%；</w:t>
      </w:r>
    </w:p>
    <w:p>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jc w:val="both"/>
        <w:textAlignment w:val="auto"/>
        <w:rPr>
          <w:rFonts w:hint="eastAsia" w:ascii="仿宋" w:hAnsi="仿宋" w:eastAsia="仿宋" w:cs="仿宋"/>
          <w:sz w:val="32"/>
          <w:szCs w:val="32"/>
        </w:rPr>
      </w:pPr>
      <w:r>
        <w:rPr>
          <w:rStyle w:val="22"/>
          <w:rFonts w:hint="eastAsia" w:ascii="仿宋" w:hAnsi="仿宋" w:eastAsia="仿宋" w:cs="仿宋"/>
          <w:b/>
          <w:bCs w:val="0"/>
          <w:spacing w:val="-4"/>
          <w:sz w:val="32"/>
          <w:szCs w:val="32"/>
          <w:lang w:val="en-US" w:eastAsia="zh-CN"/>
        </w:rPr>
        <w:t>满意度指标：</w:t>
      </w:r>
      <w:r>
        <w:rPr>
          <w:rStyle w:val="22"/>
          <w:rFonts w:hint="eastAsia" w:ascii="仿宋" w:hAnsi="仿宋" w:eastAsia="仿宋" w:cs="仿宋"/>
          <w:b w:val="0"/>
          <w:bCs/>
          <w:spacing w:val="-4"/>
          <w:sz w:val="32"/>
          <w:szCs w:val="32"/>
          <w:lang w:val="en-US" w:eastAsia="zh-CN"/>
        </w:rPr>
        <w:t>事业单位法人满意度，预期指标值≥95%，指标完成值100%，指标完成率105%；</w:t>
      </w:r>
    </w:p>
    <w:p>
      <w:pPr>
        <w:keepNext w:val="0"/>
        <w:keepLines w:val="0"/>
        <w:pageBreakBefore w:val="0"/>
        <w:kinsoku/>
        <w:wordWrap/>
        <w:overflowPunct/>
        <w:topLinePunct w:val="0"/>
        <w:autoSpaceDE/>
        <w:autoSpaceDN/>
        <w:bidi w:val="0"/>
        <w:adjustRightInd/>
        <w:snapToGrid/>
        <w:spacing w:line="560" w:lineRule="atLeast"/>
        <w:ind w:firstLine="641"/>
        <w:textAlignment w:val="auto"/>
        <w:rPr>
          <w:rStyle w:val="53"/>
          <w:rFonts w:cs="Times New Roman"/>
          <w:color w:val="auto"/>
        </w:rPr>
      </w:pPr>
      <w:r>
        <w:rPr>
          <w:rFonts w:hint="eastAsia" w:ascii="黑体" w:hAnsi="黑体" w:eastAsia="黑体" w:cs="黑体"/>
          <w:sz w:val="32"/>
          <w:szCs w:val="32"/>
        </w:rPr>
        <w:t>五、主要经验及做法、存在的问题及原因分析</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keepNext w:val="0"/>
        <w:keepLines w:val="0"/>
        <w:pageBreakBefore w:val="0"/>
        <w:kinsoku/>
        <w:wordWrap/>
        <w:overflowPunct/>
        <w:topLinePunct w:val="0"/>
        <w:autoSpaceDE/>
        <w:autoSpaceDN/>
        <w:bidi w:val="0"/>
        <w:adjustRightInd/>
        <w:snapToGrid/>
        <w:spacing w:before="0" w:after="0" w:line="560" w:lineRule="atLeast"/>
        <w:ind w:firstLine="640" w:firstLineChars="200"/>
        <w:jc w:val="left"/>
        <w:textAlignment w:val="auto"/>
        <w:rPr>
          <w:rFonts w:ascii="仿宋_GB2312" w:hAnsi="仿宋_GB2312" w:eastAsia="仿宋_GB2312" w:cs="Times New Roman"/>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val="0"/>
        <w:keepLines w:val="0"/>
        <w:pageBreakBefore w:val="0"/>
        <w:numPr>
          <w:ilvl w:val="0"/>
          <w:numId w:val="3"/>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cs="黑体"/>
          <w:sz w:val="32"/>
          <w:szCs w:val="32"/>
        </w:rPr>
        <w:t>有关建议</w:t>
      </w:r>
    </w:p>
    <w:p>
      <w:pPr>
        <w:keepNext w:val="0"/>
        <w:keepLines w:val="0"/>
        <w:pageBreakBefore w:val="0"/>
        <w:numPr>
          <w:ilvl w:val="0"/>
          <w:numId w:val="4"/>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w:t>
      </w:r>
      <w:r>
        <w:rPr>
          <w:rFonts w:ascii="仿宋_GB2312" w:hAnsi="仿宋_GB2312" w:eastAsia="仿宋_GB2312" w:cs="仿宋_GB2312"/>
          <w:sz w:val="32"/>
          <w:szCs w:val="32"/>
        </w:rPr>
        <w:t xml:space="preserve"> </w:t>
      </w:r>
    </w:p>
    <w:p>
      <w:pPr>
        <w:keepNext w:val="0"/>
        <w:keepLines w:val="0"/>
        <w:pageBreakBefore w:val="0"/>
        <w:numPr>
          <w:ilvl w:val="0"/>
          <w:numId w:val="4"/>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sz w:val="32"/>
          <w:szCs w:val="32"/>
        </w:rPr>
      </w:pPr>
      <w:r>
        <w:rPr>
          <w:rFonts w:hint="eastAsia" w:ascii="仿宋_GB2312" w:hAnsi="仿宋_GB2312" w:eastAsia="仿宋_GB2312" w:cs="仿宋_GB2312"/>
          <w:sz w:val="32"/>
          <w:szCs w:val="32"/>
        </w:rPr>
        <w:t>财政和项目实施单位严格实行“三专”管理，即设专户、建专</w:t>
      </w:r>
      <w:r>
        <w:rPr>
          <w:rFonts w:hint="eastAsia" w:ascii="仿宋_GB2312" w:hAnsi="仿宋_GB2312" w:eastAsia="仿宋_GB2312" w:cs="仿宋_GB2312"/>
          <w:sz w:val="32"/>
          <w:szCs w:val="32"/>
          <w:lang w:val="en-US" w:eastAsia="zh-CN"/>
        </w:rPr>
        <w:t>账</w:t>
      </w:r>
      <w:r>
        <w:rPr>
          <w:rFonts w:hint="eastAsia" w:ascii="仿宋_GB2312" w:hAnsi="仿宋_GB2312" w:eastAsia="仿宋_GB2312" w:cs="仿宋_GB2312"/>
          <w:sz w:val="32"/>
          <w:szCs w:val="32"/>
        </w:rPr>
        <w:t>、定专人。同时，资金拨付除坚持按项目计划、工程进度和质量分阶段验收拨款外，还坚持部门联审制，项目单位先做事、后报</w:t>
      </w:r>
      <w:r>
        <w:rPr>
          <w:rFonts w:hint="eastAsia" w:ascii="仿宋_GB2312" w:hAnsi="仿宋_GB2312" w:eastAsia="仿宋_GB2312" w:cs="仿宋_GB2312"/>
          <w:sz w:val="32"/>
          <w:szCs w:val="32"/>
          <w:lang w:val="en-US" w:eastAsia="zh-CN"/>
        </w:rPr>
        <w:t>账</w:t>
      </w:r>
      <w:r>
        <w:rPr>
          <w:rFonts w:hint="eastAsia" w:ascii="仿宋_GB2312" w:hAnsi="仿宋_GB2312" w:eastAsia="仿宋_GB2312" w:cs="仿宋_GB2312"/>
          <w:sz w:val="32"/>
          <w:szCs w:val="32"/>
        </w:rPr>
        <w:t>，从而确保专项资金专款专用，有效地防止了截留、挤占和挪用。</w:t>
      </w:r>
    </w:p>
    <w:p>
      <w:pPr>
        <w:keepNext w:val="0"/>
        <w:keepLines w:val="0"/>
        <w:pageBreakBefore w:val="0"/>
        <w:numPr>
          <w:ilvl w:val="0"/>
          <w:numId w:val="3"/>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cs="黑体"/>
          <w:sz w:val="32"/>
          <w:szCs w:val="32"/>
        </w:rPr>
        <w:t>其他需要说</w:t>
      </w:r>
      <w:bookmarkStart w:id="0" w:name="page8"/>
      <w:bookmarkEnd w:id="0"/>
      <w:r>
        <w:rPr>
          <w:rFonts w:hint="eastAsia" w:ascii="黑体" w:hAnsi="黑体" w:eastAsia="黑体" w:cs="黑体"/>
          <w:sz w:val="32"/>
          <w:szCs w:val="32"/>
        </w:rPr>
        <w:t>明的问题</w:t>
      </w:r>
    </w:p>
    <w:p>
      <w:pPr>
        <w:pStyle w:val="2"/>
        <w:keepNext w:val="0"/>
        <w:keepLines w:val="0"/>
        <w:pageBreakBefore w:val="0"/>
        <w:kinsoku/>
        <w:wordWrap/>
        <w:overflowPunct/>
        <w:topLinePunct w:val="0"/>
        <w:autoSpaceDE/>
        <w:autoSpaceDN/>
        <w:bidi w:val="0"/>
        <w:adjustRightInd/>
        <w:snapToGrid/>
        <w:spacing w:before="0" w:after="0" w:line="560" w:lineRule="atLeast"/>
        <w:ind w:firstLine="640" w:firstLineChars="200"/>
        <w:jc w:val="left"/>
        <w:textAlignment w:val="auto"/>
        <w:rPr>
          <w:rFonts w:hint="eastAsia" w:ascii="仿宋_GB2312" w:hAnsi="仿宋_GB2312" w:eastAsia="仿宋_GB2312" w:cs="仿宋_GB2312"/>
          <w:b w:val="0"/>
          <w:bCs w:val="0"/>
          <w:kern w:val="2"/>
          <w:lang w:eastAsia="zh-CN"/>
        </w:rPr>
      </w:pPr>
      <w:r>
        <w:rPr>
          <w:rFonts w:hint="eastAsia" w:ascii="仿宋_GB2312" w:hAnsi="仿宋_GB2312" w:eastAsia="仿宋_GB2312" w:cs="仿宋_GB2312"/>
          <w:b w:val="0"/>
          <w:bCs w:val="0"/>
          <w:kern w:val="2"/>
        </w:rPr>
        <w:t>无</w:t>
      </w:r>
      <w:r>
        <w:rPr>
          <w:rFonts w:hint="eastAsia" w:ascii="仿宋_GB2312" w:hAnsi="仿宋_GB2312" w:eastAsia="仿宋_GB2312" w:cs="仿宋_GB2312"/>
          <w:b w:val="0"/>
          <w:bCs w:val="0"/>
          <w:kern w:val="2"/>
          <w:lang w:eastAsia="zh-CN"/>
        </w:rPr>
        <w:t>。</w:t>
      </w:r>
    </w:p>
    <w:p>
      <w:pPr>
        <w:keepNext w:val="0"/>
        <w:keepLines w:val="0"/>
        <w:pageBreakBefore w:val="0"/>
        <w:kinsoku/>
        <w:wordWrap/>
        <w:overflowPunct/>
        <w:topLinePunct w:val="0"/>
        <w:autoSpaceDE/>
        <w:autoSpaceDN/>
        <w:bidi w:val="0"/>
        <w:adjustRightInd/>
        <w:snapToGrid/>
        <w:spacing w:line="560" w:lineRule="atLeast"/>
        <w:textAlignment w:val="auto"/>
        <w:rPr>
          <w:rFonts w:hint="eastAsia" w:ascii="仿宋_GB2312" w:cs="宋体"/>
          <w:sz w:val="32"/>
          <w:szCs w:val="32"/>
        </w:rPr>
        <w:sectPr>
          <w:footerReference r:id="rId3" w:type="default"/>
          <w:pgSz w:w="11906" w:h="16838"/>
          <w:pgMar w:top="1440" w:right="1800"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560" w:lineRule="atLeast"/>
        <w:textAlignment w:val="auto"/>
        <w:rPr>
          <w:rFonts w:ascii="仿宋_GB2312" w:cs="仿宋_GB2312"/>
          <w:sz w:val="32"/>
          <w:szCs w:val="32"/>
        </w:rPr>
      </w:pPr>
      <w:r>
        <w:rPr>
          <w:rFonts w:hint="eastAsia" w:ascii="仿宋_GB2312" w:cs="宋体"/>
          <w:sz w:val="32"/>
          <w:szCs w:val="32"/>
        </w:rPr>
        <w:t>附件</w:t>
      </w:r>
      <w:r>
        <w:rPr>
          <w:rFonts w:ascii="仿宋_GB2312" w:cs="仿宋_GB2312"/>
          <w:sz w:val="32"/>
          <w:szCs w:val="32"/>
        </w:rPr>
        <w:t>1</w:t>
      </w:r>
    </w:p>
    <w:tbl>
      <w:tblPr>
        <w:tblStyle w:val="20"/>
        <w:tblW w:w="5056"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34"/>
        <w:gridCol w:w="634"/>
        <w:gridCol w:w="700"/>
        <w:gridCol w:w="3778"/>
        <w:gridCol w:w="7116"/>
        <w:gridCol w:w="720"/>
        <w:gridCol w:w="75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22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b/>
                <w:bCs/>
                <w:color w:val="000000"/>
                <w:kern w:val="0"/>
                <w:sz w:val="22"/>
                <w:szCs w:val="22"/>
              </w:rPr>
            </w:pPr>
            <w:r>
              <w:rPr>
                <w:rFonts w:hint="eastAsia" w:ascii="宋体" w:hAnsi="宋体" w:cs="宋体"/>
                <w:b/>
                <w:bCs/>
                <w:color w:val="000000"/>
                <w:kern w:val="0"/>
                <w:sz w:val="22"/>
                <w:szCs w:val="22"/>
              </w:rPr>
              <w:t>一级指标</w:t>
            </w:r>
          </w:p>
        </w:tc>
        <w:tc>
          <w:tcPr>
            <w:tcW w:w="22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b/>
                <w:bCs/>
                <w:color w:val="000000"/>
                <w:kern w:val="0"/>
                <w:sz w:val="22"/>
                <w:szCs w:val="22"/>
              </w:rPr>
            </w:pPr>
            <w:r>
              <w:rPr>
                <w:rFonts w:hint="eastAsia" w:ascii="宋体" w:hAnsi="宋体" w:cs="宋体"/>
                <w:b/>
                <w:bCs/>
                <w:color w:val="000000"/>
                <w:kern w:val="0"/>
                <w:sz w:val="22"/>
                <w:szCs w:val="22"/>
              </w:rPr>
              <w:t>二级指标</w:t>
            </w: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b/>
                <w:bCs/>
                <w:color w:val="000000"/>
                <w:kern w:val="0"/>
                <w:sz w:val="22"/>
                <w:szCs w:val="22"/>
              </w:rPr>
            </w:pPr>
            <w:r>
              <w:rPr>
                <w:rFonts w:hint="eastAsia" w:ascii="宋体" w:hAnsi="宋体" w:cs="宋体"/>
                <w:b/>
                <w:bCs/>
                <w:color w:val="000000"/>
                <w:kern w:val="0"/>
                <w:sz w:val="22"/>
                <w:szCs w:val="22"/>
              </w:rPr>
              <w:t>三级指标</w:t>
            </w:r>
          </w:p>
        </w:tc>
        <w:tc>
          <w:tcPr>
            <w:tcW w:w="131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b/>
                <w:bCs/>
                <w:color w:val="000000"/>
                <w:kern w:val="0"/>
                <w:sz w:val="22"/>
                <w:szCs w:val="22"/>
              </w:rPr>
            </w:pPr>
            <w:r>
              <w:rPr>
                <w:rFonts w:hint="eastAsia" w:ascii="宋体" w:hAnsi="宋体" w:cs="宋体"/>
                <w:b/>
                <w:bCs/>
                <w:color w:val="000000"/>
                <w:kern w:val="0"/>
                <w:sz w:val="22"/>
                <w:szCs w:val="22"/>
              </w:rPr>
              <w:t>指标解释</w:t>
            </w:r>
          </w:p>
        </w:tc>
        <w:tc>
          <w:tcPr>
            <w:tcW w:w="2482"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b/>
                <w:bCs/>
                <w:color w:val="000000"/>
                <w:kern w:val="0"/>
                <w:sz w:val="22"/>
                <w:szCs w:val="22"/>
              </w:rPr>
            </w:pPr>
            <w:r>
              <w:rPr>
                <w:rFonts w:hint="eastAsia" w:ascii="宋体" w:hAnsi="宋体" w:cs="宋体"/>
                <w:b/>
                <w:bCs/>
                <w:color w:val="000000"/>
                <w:kern w:val="0"/>
                <w:sz w:val="22"/>
                <w:szCs w:val="22"/>
              </w:rPr>
              <w:t>指标说明</w:t>
            </w:r>
          </w:p>
        </w:tc>
        <w:tc>
          <w:tcPr>
            <w:tcW w:w="25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b/>
                <w:bCs/>
                <w:color w:val="000000"/>
                <w:kern w:val="0"/>
                <w:sz w:val="22"/>
                <w:szCs w:val="22"/>
              </w:rPr>
            </w:pPr>
            <w:r>
              <w:rPr>
                <w:rFonts w:hint="eastAsia" w:ascii="宋体" w:hAnsi="宋体" w:cs="宋体"/>
                <w:b/>
                <w:bCs/>
                <w:color w:val="000000"/>
                <w:kern w:val="0"/>
                <w:sz w:val="22"/>
                <w:szCs w:val="22"/>
              </w:rPr>
              <w:t>权重</w:t>
            </w:r>
          </w:p>
        </w:tc>
        <w:tc>
          <w:tcPr>
            <w:tcW w:w="26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221"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决策　</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　</w:t>
            </w:r>
          </w:p>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　</w:t>
            </w:r>
          </w:p>
        </w:tc>
        <w:tc>
          <w:tcPr>
            <w:tcW w:w="221"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项目立项　</w:t>
            </w: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立项依据</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充分性</w:t>
            </w:r>
          </w:p>
        </w:tc>
        <w:tc>
          <w:tcPr>
            <w:tcW w:w="131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2482"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color w:val="000000"/>
                <w:kern w:val="0"/>
                <w:sz w:val="22"/>
                <w:szCs w:val="22"/>
              </w:rPr>
            </w:pPr>
            <w:r>
              <w:rPr>
                <w:rFonts w:hint="eastAsia" w:ascii="宋体" w:hAnsi="宋体" w:cs="宋体"/>
                <w:color w:val="000000"/>
                <w:kern w:val="0"/>
                <w:sz w:val="22"/>
                <w:szCs w:val="22"/>
              </w:rPr>
              <w:t>评价要点：</w:t>
            </w:r>
            <w:r>
              <w:rPr>
                <w:rFonts w:ascii="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ascii="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ascii="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ascii="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ascii="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c>
          <w:tcPr>
            <w:tcW w:w="25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color w:val="000000"/>
                <w:kern w:val="0"/>
                <w:sz w:val="22"/>
                <w:szCs w:val="22"/>
              </w:rPr>
            </w:pPr>
            <w:r>
              <w:rPr>
                <w:rFonts w:ascii="宋体" w:cs="宋体"/>
                <w:color w:val="000000"/>
                <w:kern w:val="0"/>
                <w:sz w:val="22"/>
                <w:szCs w:val="22"/>
              </w:rPr>
              <w:t>0.5</w:t>
            </w:r>
          </w:p>
        </w:tc>
        <w:tc>
          <w:tcPr>
            <w:tcW w:w="26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color w:val="000000"/>
                <w:kern w:val="0"/>
                <w:sz w:val="22"/>
                <w:szCs w:val="22"/>
              </w:rPr>
            </w:pPr>
            <w:r>
              <w:rPr>
                <w:rFonts w:asci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221"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221"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立项程序</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规范性</w:t>
            </w:r>
          </w:p>
        </w:tc>
        <w:tc>
          <w:tcPr>
            <w:tcW w:w="131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2482"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color w:val="000000"/>
                <w:kern w:val="0"/>
                <w:sz w:val="22"/>
                <w:szCs w:val="22"/>
              </w:rPr>
            </w:pPr>
            <w:r>
              <w:rPr>
                <w:rFonts w:hint="eastAsia" w:ascii="宋体" w:hAnsi="宋体" w:cs="宋体"/>
                <w:color w:val="000000"/>
                <w:kern w:val="0"/>
                <w:sz w:val="22"/>
                <w:szCs w:val="22"/>
              </w:rPr>
              <w:t>评价要点：</w:t>
            </w:r>
            <w:r>
              <w:rPr>
                <w:rFonts w:ascii="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ascii="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ascii="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c>
          <w:tcPr>
            <w:tcW w:w="25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color w:val="000000"/>
                <w:kern w:val="0"/>
                <w:sz w:val="22"/>
                <w:szCs w:val="22"/>
              </w:rPr>
            </w:pPr>
            <w:r>
              <w:rPr>
                <w:rFonts w:ascii="宋体" w:cs="宋体"/>
                <w:color w:val="000000"/>
                <w:kern w:val="0"/>
                <w:sz w:val="22"/>
                <w:szCs w:val="22"/>
              </w:rPr>
              <w:t>0.5</w:t>
            </w:r>
          </w:p>
        </w:tc>
        <w:tc>
          <w:tcPr>
            <w:tcW w:w="26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color w:val="000000"/>
                <w:kern w:val="0"/>
                <w:sz w:val="22"/>
                <w:szCs w:val="22"/>
              </w:rPr>
            </w:pPr>
            <w:r>
              <w:rPr>
                <w:rFonts w:asci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221"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22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绩效目标　</w:t>
            </w: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绩效目标</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合理性</w:t>
            </w:r>
          </w:p>
        </w:tc>
        <w:tc>
          <w:tcPr>
            <w:tcW w:w="1317"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2482"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color w:val="000000"/>
                <w:kern w:val="0"/>
                <w:sz w:val="22"/>
                <w:szCs w:val="22"/>
              </w:rPr>
            </w:pPr>
            <w:r>
              <w:rPr>
                <w:rFonts w:hint="eastAsia" w:ascii="宋体" w:hAnsi="宋体" w:cs="宋体"/>
                <w:color w:val="000000"/>
                <w:kern w:val="0"/>
                <w:sz w:val="22"/>
                <w:szCs w:val="22"/>
              </w:rPr>
              <w:t>评价要点：</w:t>
            </w:r>
            <w:r>
              <w:rPr>
                <w:rFonts w:ascii="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ascii="宋体"/>
                <w:color w:val="000000"/>
                <w:kern w:val="0"/>
                <w:sz w:val="22"/>
                <w:szCs w:val="22"/>
              </w:rPr>
              <w:br w:type="textWrapping"/>
            </w:r>
            <w:r>
              <w:rPr>
                <w:rFonts w:hint="eastAsia" w:ascii="宋体" w:hAnsi="宋体" w:cs="宋体"/>
                <w:color w:val="000000"/>
                <w:kern w:val="0"/>
                <w:sz w:val="22"/>
                <w:szCs w:val="22"/>
              </w:rPr>
              <w:t>①项目是否有绩效目标；</w:t>
            </w:r>
            <w:r>
              <w:rPr>
                <w:rFonts w:ascii="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ascii="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color w:val="000000"/>
                <w:kern w:val="0"/>
                <w:sz w:val="22"/>
                <w:szCs w:val="22"/>
              </w:rPr>
            </w:pPr>
            <w:r>
              <w:rPr>
                <w:rFonts w:hint="eastAsia" w:ascii="宋体" w:hAnsi="宋体" w:cs="宋体"/>
                <w:color w:val="000000"/>
                <w:kern w:val="0"/>
                <w:sz w:val="22"/>
                <w:szCs w:val="22"/>
              </w:rPr>
              <w:t>④是否与预算确定的项目投资额或资金量相匹配。</w:t>
            </w:r>
          </w:p>
        </w:tc>
        <w:tc>
          <w:tcPr>
            <w:tcW w:w="25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color w:val="000000"/>
                <w:kern w:val="0"/>
                <w:sz w:val="22"/>
                <w:szCs w:val="22"/>
              </w:rPr>
            </w:pPr>
            <w:r>
              <w:rPr>
                <w:rFonts w:ascii="宋体" w:cs="宋体"/>
                <w:color w:val="000000"/>
                <w:kern w:val="0"/>
                <w:sz w:val="22"/>
                <w:szCs w:val="22"/>
              </w:rPr>
              <w:t>1</w:t>
            </w:r>
          </w:p>
        </w:tc>
        <w:tc>
          <w:tcPr>
            <w:tcW w:w="26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color w:val="000000"/>
                <w:kern w:val="0"/>
                <w:sz w:val="22"/>
                <w:szCs w:val="22"/>
              </w:rPr>
            </w:pPr>
            <w:r>
              <w:rPr>
                <w:rFonts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221"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决策　</w:t>
            </w:r>
          </w:p>
        </w:tc>
        <w:tc>
          <w:tcPr>
            <w:tcW w:w="22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绩效目标</w:t>
            </w: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绩效指标</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明确性</w:t>
            </w:r>
          </w:p>
        </w:tc>
        <w:tc>
          <w:tcPr>
            <w:tcW w:w="1317"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2482"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评价要点：</w:t>
            </w:r>
            <w:r>
              <w:rPr>
                <w:rFonts w:ascii="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ascii="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ascii="宋体"/>
                <w:color w:val="000000"/>
                <w:kern w:val="0"/>
                <w:sz w:val="22"/>
                <w:szCs w:val="22"/>
              </w:rPr>
              <w:br w:type="textWrapping"/>
            </w:r>
            <w:r>
              <w:rPr>
                <w:rFonts w:hint="eastAsia" w:ascii="宋体" w:hAnsi="宋体" w:cs="宋体"/>
                <w:color w:val="000000"/>
                <w:kern w:val="0"/>
                <w:sz w:val="22"/>
                <w:szCs w:val="22"/>
              </w:rPr>
              <w:t>③是否与项目目标任务数或计划数相对应。</w:t>
            </w:r>
          </w:p>
        </w:tc>
        <w:tc>
          <w:tcPr>
            <w:tcW w:w="25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w:t>
            </w:r>
          </w:p>
        </w:tc>
        <w:tc>
          <w:tcPr>
            <w:tcW w:w="26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221"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221"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资金投入</w:t>
            </w:r>
          </w:p>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　</w:t>
            </w: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预算编制</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科学性</w:t>
            </w:r>
          </w:p>
        </w:tc>
        <w:tc>
          <w:tcPr>
            <w:tcW w:w="131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2482"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评价要点：</w:t>
            </w:r>
            <w:r>
              <w:rPr>
                <w:rFonts w:ascii="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ascii="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ascii="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ascii="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c>
          <w:tcPr>
            <w:tcW w:w="25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w:t>
            </w:r>
          </w:p>
        </w:tc>
        <w:tc>
          <w:tcPr>
            <w:tcW w:w="26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221"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221"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资金分配</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合理性</w:t>
            </w:r>
          </w:p>
        </w:tc>
        <w:tc>
          <w:tcPr>
            <w:tcW w:w="131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2482"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评价要点：</w:t>
            </w:r>
            <w:r>
              <w:rPr>
                <w:rFonts w:ascii="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ascii="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c>
          <w:tcPr>
            <w:tcW w:w="25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w:t>
            </w:r>
          </w:p>
        </w:tc>
        <w:tc>
          <w:tcPr>
            <w:tcW w:w="26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221" w:type="pct"/>
            <w:vMerge w:val="restart"/>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过程</w:t>
            </w:r>
          </w:p>
        </w:tc>
        <w:tc>
          <w:tcPr>
            <w:tcW w:w="221"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资金管理</w:t>
            </w: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资金到位率</w:t>
            </w:r>
          </w:p>
        </w:tc>
        <w:tc>
          <w:tcPr>
            <w:tcW w:w="1317"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2482"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资金到位率</w:t>
            </w:r>
            <w:r>
              <w:rPr>
                <w:rFonts w:ascii="宋体" w:hAnsi="宋体" w:cs="宋体"/>
                <w:color w:val="000000"/>
                <w:kern w:val="0"/>
                <w:sz w:val="22"/>
                <w:szCs w:val="22"/>
              </w:rPr>
              <w:t>=</w:t>
            </w:r>
            <w:r>
              <w:rPr>
                <w:rFonts w:hint="eastAsia" w:ascii="宋体" w:hAnsi="宋体" w:cs="宋体"/>
                <w:color w:val="000000"/>
                <w:kern w:val="0"/>
                <w:sz w:val="22"/>
                <w:szCs w:val="22"/>
              </w:rPr>
              <w:t>（实际到位资金</w:t>
            </w:r>
            <w:r>
              <w:rPr>
                <w:rFonts w:ascii="宋体" w:hAnsi="宋体" w:cs="宋体"/>
                <w:color w:val="000000"/>
                <w:kern w:val="0"/>
                <w:sz w:val="22"/>
                <w:szCs w:val="22"/>
              </w:rPr>
              <w:t>/</w:t>
            </w:r>
            <w:r>
              <w:rPr>
                <w:rFonts w:hint="eastAsia" w:ascii="宋体" w:hAnsi="宋体" w:cs="宋体"/>
                <w:color w:val="000000"/>
                <w:kern w:val="0"/>
                <w:sz w:val="22"/>
                <w:szCs w:val="22"/>
              </w:rPr>
              <w:t>预算资金）×</w:t>
            </w:r>
            <w:r>
              <w:rPr>
                <w:rFonts w:ascii="宋体" w:hAnsi="宋体" w:cs="宋体"/>
                <w:color w:val="000000"/>
                <w:kern w:val="0"/>
                <w:sz w:val="22"/>
                <w:szCs w:val="22"/>
              </w:rPr>
              <w:t>100%</w:t>
            </w:r>
            <w:r>
              <w:rPr>
                <w:rFonts w:hint="eastAsia" w:ascii="宋体" w:hAnsi="宋体" w:cs="宋体"/>
                <w:color w:val="000000"/>
                <w:kern w:val="0"/>
                <w:sz w:val="22"/>
                <w:szCs w:val="22"/>
              </w:rPr>
              <w:t>。</w:t>
            </w:r>
          </w:p>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c>
          <w:tcPr>
            <w:tcW w:w="25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w:t>
            </w:r>
          </w:p>
        </w:tc>
        <w:tc>
          <w:tcPr>
            <w:tcW w:w="26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221"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221"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预算执行率</w:t>
            </w:r>
          </w:p>
        </w:tc>
        <w:tc>
          <w:tcPr>
            <w:tcW w:w="131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2482"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预算执行率</w:t>
            </w:r>
            <w:r>
              <w:rPr>
                <w:rFonts w:ascii="宋体" w:hAnsi="宋体" w:cs="宋体"/>
                <w:color w:val="000000"/>
                <w:kern w:val="0"/>
                <w:sz w:val="22"/>
                <w:szCs w:val="22"/>
              </w:rPr>
              <w:t>=</w:t>
            </w:r>
            <w:r>
              <w:rPr>
                <w:rFonts w:hint="eastAsia" w:ascii="宋体" w:hAnsi="宋体" w:cs="宋体"/>
                <w:color w:val="000000"/>
                <w:kern w:val="0"/>
                <w:sz w:val="22"/>
                <w:szCs w:val="22"/>
              </w:rPr>
              <w:t>（实际支出资金</w:t>
            </w:r>
            <w:r>
              <w:rPr>
                <w:rFonts w:ascii="宋体" w:hAnsi="宋体" w:cs="宋体"/>
                <w:color w:val="000000"/>
                <w:kern w:val="0"/>
                <w:sz w:val="22"/>
                <w:szCs w:val="22"/>
              </w:rPr>
              <w:t>/</w:t>
            </w:r>
            <w:r>
              <w:rPr>
                <w:rFonts w:hint="eastAsia" w:ascii="宋体" w:hAnsi="宋体" w:cs="宋体"/>
                <w:color w:val="000000"/>
                <w:kern w:val="0"/>
                <w:sz w:val="22"/>
                <w:szCs w:val="22"/>
              </w:rPr>
              <w:t>实际到位资金）×</w:t>
            </w:r>
            <w:r>
              <w:rPr>
                <w:rFonts w:ascii="宋体" w:hAnsi="宋体" w:cs="宋体"/>
                <w:color w:val="000000"/>
                <w:kern w:val="0"/>
                <w:sz w:val="22"/>
                <w:szCs w:val="22"/>
              </w:rPr>
              <w:t>100%</w:t>
            </w:r>
            <w:r>
              <w:rPr>
                <w:rFonts w:hint="eastAsia" w:ascii="宋体" w:hAnsi="宋体" w:cs="宋体"/>
                <w:color w:val="000000"/>
                <w:kern w:val="0"/>
                <w:sz w:val="22"/>
                <w:szCs w:val="22"/>
              </w:rPr>
              <w:t>。</w:t>
            </w:r>
            <w:r>
              <w:rPr>
                <w:rFonts w:ascii="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c>
          <w:tcPr>
            <w:tcW w:w="25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w:t>
            </w:r>
          </w:p>
        </w:tc>
        <w:tc>
          <w:tcPr>
            <w:tcW w:w="26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221"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　</w:t>
            </w:r>
          </w:p>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过程　</w:t>
            </w:r>
          </w:p>
        </w:tc>
        <w:tc>
          <w:tcPr>
            <w:tcW w:w="22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资金管理</w:t>
            </w: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资金使用</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合规性</w:t>
            </w:r>
          </w:p>
        </w:tc>
        <w:tc>
          <w:tcPr>
            <w:tcW w:w="1317"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2482"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评价要点：</w:t>
            </w:r>
            <w:r>
              <w:rPr>
                <w:rFonts w:ascii="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ascii="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ascii="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ascii="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c>
          <w:tcPr>
            <w:tcW w:w="25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w:t>
            </w:r>
          </w:p>
        </w:tc>
        <w:tc>
          <w:tcPr>
            <w:tcW w:w="26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221"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221"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组织实施</w:t>
            </w:r>
          </w:p>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　</w:t>
            </w: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管理制度</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健全性</w:t>
            </w:r>
          </w:p>
        </w:tc>
        <w:tc>
          <w:tcPr>
            <w:tcW w:w="1317"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项目实施单位的财务和业务管理制度是否健全，用以反映和考核财务和业务管理制度对项目顺利实施的保障情况。</w:t>
            </w:r>
          </w:p>
        </w:tc>
        <w:tc>
          <w:tcPr>
            <w:tcW w:w="2482"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评价要点：</w:t>
            </w:r>
            <w:r>
              <w:rPr>
                <w:rFonts w:ascii="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ascii="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c>
          <w:tcPr>
            <w:tcW w:w="25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w:t>
            </w:r>
          </w:p>
        </w:tc>
        <w:tc>
          <w:tcPr>
            <w:tcW w:w="26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221"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221"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制度执行</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有效性</w:t>
            </w:r>
          </w:p>
        </w:tc>
        <w:tc>
          <w:tcPr>
            <w:tcW w:w="1317"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2482"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评价要点：</w:t>
            </w:r>
            <w:r>
              <w:rPr>
                <w:rFonts w:ascii="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ascii="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ascii="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ascii="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c>
          <w:tcPr>
            <w:tcW w:w="25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w:t>
            </w:r>
          </w:p>
        </w:tc>
        <w:tc>
          <w:tcPr>
            <w:tcW w:w="26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221"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color w:val="000000"/>
                <w:kern w:val="0"/>
                <w:sz w:val="22"/>
                <w:szCs w:val="22"/>
              </w:rPr>
            </w:pPr>
            <w:r>
              <w:rPr>
                <w:rFonts w:hint="eastAsia" w:ascii="宋体" w:hAnsi="宋体" w:cs="宋体"/>
                <w:color w:val="000000"/>
                <w:kern w:val="0"/>
                <w:sz w:val="22"/>
                <w:szCs w:val="22"/>
              </w:rPr>
              <w:t>产出</w:t>
            </w:r>
          </w:p>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产出</w:t>
            </w:r>
          </w:p>
        </w:tc>
        <w:tc>
          <w:tcPr>
            <w:tcW w:w="22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产出数量</w:t>
            </w: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实际完成率</w:t>
            </w:r>
          </w:p>
        </w:tc>
        <w:tc>
          <w:tcPr>
            <w:tcW w:w="1317"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2482"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实际完成率</w:t>
            </w:r>
            <w:r>
              <w:rPr>
                <w:rFonts w:ascii="宋体" w:hAnsi="宋体" w:cs="宋体"/>
                <w:color w:val="000000"/>
                <w:kern w:val="0"/>
                <w:sz w:val="22"/>
                <w:szCs w:val="22"/>
              </w:rPr>
              <w:t>=</w:t>
            </w:r>
            <w:r>
              <w:rPr>
                <w:rFonts w:hint="eastAsia" w:ascii="宋体" w:hAnsi="宋体" w:cs="宋体"/>
                <w:color w:val="000000"/>
                <w:kern w:val="0"/>
                <w:sz w:val="22"/>
                <w:szCs w:val="22"/>
              </w:rPr>
              <w:t>（实际产出数</w:t>
            </w:r>
            <w:r>
              <w:rPr>
                <w:rFonts w:ascii="宋体" w:hAnsi="宋体" w:cs="宋体"/>
                <w:color w:val="000000"/>
                <w:kern w:val="0"/>
                <w:sz w:val="22"/>
                <w:szCs w:val="22"/>
              </w:rPr>
              <w:t>/</w:t>
            </w:r>
            <w:r>
              <w:rPr>
                <w:rFonts w:hint="eastAsia" w:ascii="宋体" w:hAnsi="宋体" w:cs="宋体"/>
                <w:color w:val="000000"/>
                <w:kern w:val="0"/>
                <w:sz w:val="22"/>
                <w:szCs w:val="22"/>
              </w:rPr>
              <w:t>计划产出数）×</w:t>
            </w:r>
            <w:r>
              <w:rPr>
                <w:rFonts w:ascii="宋体" w:hAnsi="宋体" w:cs="宋体"/>
                <w:color w:val="000000"/>
                <w:kern w:val="0"/>
                <w:sz w:val="22"/>
                <w:szCs w:val="22"/>
              </w:rPr>
              <w:t>100%</w:t>
            </w:r>
            <w:r>
              <w:rPr>
                <w:rFonts w:hint="eastAsia" w:ascii="宋体" w:hAnsi="宋体" w:cs="宋体"/>
                <w:color w:val="000000"/>
                <w:kern w:val="0"/>
                <w:sz w:val="22"/>
                <w:szCs w:val="22"/>
              </w:rPr>
              <w:t>。</w:t>
            </w:r>
            <w:r>
              <w:rPr>
                <w:rFonts w:ascii="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ascii="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c>
          <w:tcPr>
            <w:tcW w:w="25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15</w:t>
            </w:r>
          </w:p>
        </w:tc>
        <w:tc>
          <w:tcPr>
            <w:tcW w:w="26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221"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22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产出质量</w:t>
            </w: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质量达标率</w:t>
            </w:r>
          </w:p>
        </w:tc>
        <w:tc>
          <w:tcPr>
            <w:tcW w:w="1317"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2482"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质量达标率</w:t>
            </w:r>
            <w:r>
              <w:rPr>
                <w:rFonts w:ascii="宋体" w:hAnsi="宋体" w:cs="宋体"/>
                <w:color w:val="000000"/>
                <w:kern w:val="0"/>
                <w:sz w:val="22"/>
                <w:szCs w:val="22"/>
              </w:rPr>
              <w:t>=</w:t>
            </w:r>
            <w:r>
              <w:rPr>
                <w:rFonts w:hint="eastAsia" w:ascii="宋体" w:hAnsi="宋体" w:cs="宋体"/>
                <w:color w:val="000000"/>
                <w:kern w:val="0"/>
                <w:sz w:val="22"/>
                <w:szCs w:val="22"/>
              </w:rPr>
              <w:t>（质量达标产出数</w:t>
            </w:r>
            <w:r>
              <w:rPr>
                <w:rFonts w:ascii="宋体" w:hAnsi="宋体" w:cs="宋体"/>
                <w:color w:val="000000"/>
                <w:kern w:val="0"/>
                <w:sz w:val="22"/>
                <w:szCs w:val="22"/>
              </w:rPr>
              <w:t>/</w:t>
            </w:r>
            <w:r>
              <w:rPr>
                <w:rFonts w:hint="eastAsia" w:ascii="宋体" w:hAnsi="宋体" w:cs="宋体"/>
                <w:color w:val="000000"/>
                <w:kern w:val="0"/>
                <w:sz w:val="22"/>
                <w:szCs w:val="22"/>
              </w:rPr>
              <w:t>实际产出数）×</w:t>
            </w:r>
            <w:r>
              <w:rPr>
                <w:rFonts w:ascii="宋体" w:hAnsi="宋体" w:cs="宋体"/>
                <w:color w:val="000000"/>
                <w:kern w:val="0"/>
                <w:sz w:val="22"/>
                <w:szCs w:val="22"/>
              </w:rPr>
              <w:t>100%</w:t>
            </w:r>
            <w:r>
              <w:rPr>
                <w:rFonts w:hint="eastAsia" w:ascii="宋体" w:hAnsi="宋体" w:cs="宋体"/>
                <w:color w:val="000000"/>
                <w:kern w:val="0"/>
                <w:sz w:val="22"/>
                <w:szCs w:val="22"/>
              </w:rPr>
              <w:t>。</w:t>
            </w:r>
          </w:p>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5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10</w:t>
            </w:r>
          </w:p>
        </w:tc>
        <w:tc>
          <w:tcPr>
            <w:tcW w:w="26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221"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221" w:type="pct"/>
            <w:shd w:val="clear" w:color="auto" w:fill="FFFFFF"/>
            <w:noWrap/>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产出时效</w:t>
            </w: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完成及时性</w:t>
            </w:r>
          </w:p>
        </w:tc>
        <w:tc>
          <w:tcPr>
            <w:tcW w:w="1317"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2482"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ascii="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c>
          <w:tcPr>
            <w:tcW w:w="25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15</w:t>
            </w:r>
          </w:p>
        </w:tc>
        <w:tc>
          <w:tcPr>
            <w:tcW w:w="26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221"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22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产出成本</w:t>
            </w: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成本节约率</w:t>
            </w:r>
          </w:p>
        </w:tc>
        <w:tc>
          <w:tcPr>
            <w:tcW w:w="1317"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2482"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olor w:val="000000"/>
                <w:kern w:val="0"/>
                <w:sz w:val="22"/>
                <w:szCs w:val="22"/>
              </w:rPr>
              <w:br w:type="textWrapping"/>
            </w:r>
            <w:r>
              <w:rPr>
                <w:rFonts w:hint="eastAsia" w:ascii="宋体" w:hAnsi="宋体" w:cs="宋体"/>
                <w:color w:val="000000"/>
                <w:kern w:val="0"/>
                <w:sz w:val="22"/>
                <w:szCs w:val="22"/>
              </w:rPr>
              <w:t>成本节约率</w:t>
            </w:r>
            <w:r>
              <w:rPr>
                <w:rFonts w:ascii="宋体" w:hAnsi="宋体" w:cs="宋体"/>
                <w:color w:val="000000"/>
                <w:kern w:val="0"/>
                <w:sz w:val="22"/>
                <w:szCs w:val="22"/>
              </w:rPr>
              <w:t>=[</w:t>
            </w:r>
            <w:r>
              <w:rPr>
                <w:rFonts w:hint="eastAsia" w:ascii="宋体" w:hAnsi="宋体" w:cs="宋体"/>
                <w:color w:val="000000"/>
                <w:kern w:val="0"/>
                <w:sz w:val="22"/>
                <w:szCs w:val="22"/>
              </w:rPr>
              <w:t>（计划成本</w:t>
            </w:r>
            <w:r>
              <w:rPr>
                <w:rFonts w:ascii="宋体" w:cs="宋体"/>
                <w:color w:val="000000"/>
                <w:kern w:val="0"/>
                <w:sz w:val="22"/>
                <w:szCs w:val="22"/>
              </w:rPr>
              <w:t>-</w:t>
            </w:r>
            <w:r>
              <w:rPr>
                <w:rFonts w:hint="eastAsia" w:ascii="宋体" w:hAnsi="宋体" w:cs="宋体"/>
                <w:color w:val="000000"/>
                <w:kern w:val="0"/>
                <w:sz w:val="22"/>
                <w:szCs w:val="22"/>
              </w:rPr>
              <w:t>实际成本）</w:t>
            </w:r>
            <w:r>
              <w:rPr>
                <w:rFonts w:ascii="宋体" w:hAnsi="宋体" w:cs="宋体"/>
                <w:color w:val="000000"/>
                <w:kern w:val="0"/>
                <w:sz w:val="22"/>
                <w:szCs w:val="22"/>
              </w:rPr>
              <w:t>/</w:t>
            </w:r>
            <w:r>
              <w:rPr>
                <w:rFonts w:hint="eastAsia" w:ascii="宋体" w:hAnsi="宋体" w:cs="宋体"/>
                <w:color w:val="000000"/>
                <w:kern w:val="0"/>
                <w:sz w:val="22"/>
                <w:szCs w:val="22"/>
              </w:rPr>
              <w:t>计划成本</w:t>
            </w:r>
            <w:r>
              <w:rPr>
                <w:rFonts w:ascii="宋体" w:hAnsi="宋体" w:cs="宋体"/>
                <w:color w:val="000000"/>
                <w:kern w:val="0"/>
                <w:sz w:val="22"/>
                <w:szCs w:val="22"/>
              </w:rPr>
              <w:t>]</w:t>
            </w:r>
            <w:r>
              <w:rPr>
                <w:rFonts w:hint="eastAsia" w:ascii="宋体" w:hAnsi="宋体" w:cs="宋体"/>
                <w:color w:val="000000"/>
                <w:kern w:val="0"/>
                <w:sz w:val="22"/>
                <w:szCs w:val="22"/>
              </w:rPr>
              <w:t>×</w:t>
            </w:r>
            <w:r>
              <w:rPr>
                <w:rFonts w:ascii="宋体" w:hAnsi="宋体" w:cs="宋体"/>
                <w:color w:val="000000"/>
                <w:kern w:val="0"/>
                <w:sz w:val="22"/>
                <w:szCs w:val="22"/>
              </w:rPr>
              <w:t>100%</w:t>
            </w:r>
            <w:r>
              <w:rPr>
                <w:rFonts w:hint="eastAsia" w:ascii="宋体" w:hAnsi="宋体" w:cs="宋体"/>
                <w:color w:val="000000"/>
                <w:kern w:val="0"/>
                <w:sz w:val="22"/>
                <w:szCs w:val="22"/>
              </w:rPr>
              <w:t>。</w:t>
            </w:r>
            <w:r>
              <w:rPr>
                <w:rFonts w:ascii="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ascii="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c>
          <w:tcPr>
            <w:tcW w:w="25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10</w:t>
            </w:r>
          </w:p>
        </w:tc>
        <w:tc>
          <w:tcPr>
            <w:tcW w:w="26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221"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效益　</w:t>
            </w:r>
          </w:p>
        </w:tc>
        <w:tc>
          <w:tcPr>
            <w:tcW w:w="221"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项目效益　</w:t>
            </w: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实施效益</w:t>
            </w:r>
          </w:p>
        </w:tc>
        <w:tc>
          <w:tcPr>
            <w:tcW w:w="1317"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color w:val="000000"/>
                <w:kern w:val="0"/>
                <w:sz w:val="22"/>
                <w:szCs w:val="22"/>
              </w:rPr>
            </w:pPr>
            <w:r>
              <w:rPr>
                <w:rFonts w:hint="eastAsia" w:ascii="宋体" w:hAnsi="宋体" w:cs="宋体"/>
                <w:color w:val="000000"/>
                <w:kern w:val="0"/>
                <w:sz w:val="22"/>
                <w:szCs w:val="22"/>
              </w:rPr>
              <w:t>项目实施所产生的效益。</w:t>
            </w:r>
          </w:p>
        </w:tc>
        <w:tc>
          <w:tcPr>
            <w:tcW w:w="2482"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c>
          <w:tcPr>
            <w:tcW w:w="25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30</w:t>
            </w:r>
          </w:p>
        </w:tc>
        <w:tc>
          <w:tcPr>
            <w:tcW w:w="26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221"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221"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p>
        </w:tc>
        <w:tc>
          <w:tcPr>
            <w:tcW w:w="244"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color w:val="000000"/>
                <w:kern w:val="0"/>
                <w:sz w:val="22"/>
                <w:szCs w:val="22"/>
              </w:rPr>
            </w:pPr>
            <w:r>
              <w:rPr>
                <w:rFonts w:hint="eastAsia" w:ascii="宋体" w:hAnsi="宋体" w:cs="宋体"/>
                <w:color w:val="000000"/>
                <w:kern w:val="0"/>
                <w:sz w:val="22"/>
                <w:szCs w:val="22"/>
              </w:rPr>
              <w:t>满意度</w:t>
            </w:r>
          </w:p>
        </w:tc>
        <w:tc>
          <w:tcPr>
            <w:tcW w:w="1317"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2482"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c>
          <w:tcPr>
            <w:tcW w:w="25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10</w:t>
            </w:r>
          </w:p>
        </w:tc>
        <w:tc>
          <w:tcPr>
            <w:tcW w:w="26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560" w:lineRule="atLeast"/>
              <w:textAlignment w:val="auto"/>
              <w:rPr>
                <w:rFonts w:ascii="宋体"/>
                <w:color w:val="000000"/>
                <w:kern w:val="0"/>
                <w:sz w:val="22"/>
                <w:szCs w:val="22"/>
              </w:rPr>
            </w:pPr>
            <w:r>
              <w:rPr>
                <w:rFonts w:ascii="宋体" w:cs="宋体"/>
                <w:color w:val="000000"/>
                <w:kern w:val="0"/>
                <w:sz w:val="22"/>
                <w:szCs w:val="22"/>
              </w:rPr>
              <w:t>10</w:t>
            </w:r>
          </w:p>
        </w:tc>
      </w:tr>
    </w:tbl>
    <w:p>
      <w:pPr>
        <w:keepNext w:val="0"/>
        <w:keepLines w:val="0"/>
        <w:pageBreakBefore w:val="0"/>
        <w:kinsoku/>
        <w:wordWrap/>
        <w:overflowPunct/>
        <w:topLinePunct w:val="0"/>
        <w:autoSpaceDE/>
        <w:autoSpaceDN/>
        <w:bidi w:val="0"/>
        <w:adjustRightInd/>
        <w:snapToGrid/>
        <w:spacing w:line="560" w:lineRule="atLeast"/>
        <w:textAlignment w:val="auto"/>
        <w:rPr>
          <w:rStyle w:val="22"/>
          <w:rFonts w:ascii="仿宋" w:hAnsi="仿宋" w:eastAsia="仿宋"/>
          <w:b w:val="0"/>
          <w:bCs w:val="0"/>
          <w:spacing w:val="-4"/>
          <w:sz w:val="32"/>
          <w:szCs w:val="32"/>
        </w:rPr>
      </w:pPr>
    </w:p>
    <w:p>
      <w:pPr>
        <w:pStyle w:val="2"/>
        <w:keepNext w:val="0"/>
        <w:keepLines w:val="0"/>
        <w:pageBreakBefore w:val="0"/>
        <w:kinsoku/>
        <w:wordWrap/>
        <w:overflowPunct/>
        <w:topLinePunct w:val="0"/>
        <w:autoSpaceDE/>
        <w:autoSpaceDN/>
        <w:bidi w:val="0"/>
        <w:adjustRightInd/>
        <w:snapToGrid/>
        <w:spacing w:before="0" w:after="0" w:line="560" w:lineRule="atLeast"/>
        <w:textAlignment w:val="auto"/>
        <w:rPr>
          <w:rStyle w:val="22"/>
          <w:rFonts w:ascii="仿宋" w:hAnsi="仿宋" w:eastAsia="仿宋"/>
          <w:b w:val="0"/>
          <w:bCs w:val="0"/>
          <w:spacing w:val="-4"/>
          <w:sz w:val="32"/>
          <w:szCs w:val="32"/>
        </w:rPr>
      </w:pPr>
    </w:p>
    <w:p>
      <w:pPr>
        <w:rPr>
          <w:rStyle w:val="22"/>
          <w:rFonts w:ascii="仿宋" w:hAnsi="仿宋" w:eastAsia="仿宋"/>
          <w:b w:val="0"/>
          <w:bCs w:val="0"/>
          <w:spacing w:val="-4"/>
          <w:sz w:val="32"/>
          <w:szCs w:val="32"/>
        </w:rPr>
      </w:pPr>
    </w:p>
    <w:p>
      <w:pPr>
        <w:pStyle w:val="2"/>
        <w:rPr>
          <w:rStyle w:val="22"/>
          <w:rFonts w:ascii="仿宋" w:hAnsi="仿宋" w:eastAsia="仿宋"/>
          <w:b w:val="0"/>
          <w:bCs w:val="0"/>
          <w:spacing w:val="-4"/>
          <w:sz w:val="32"/>
          <w:szCs w:val="32"/>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sectPr>
          <w:pgSz w:w="16838" w:h="11906" w:orient="landscape"/>
          <w:pgMar w:top="1800" w:right="1440" w:bottom="1800" w:left="1440" w:header="851" w:footer="992" w:gutter="0"/>
          <w:cols w:space="425" w:num="1"/>
          <w:docGrid w:type="lines" w:linePitch="312" w:charSpace="0"/>
        </w:sectPr>
      </w:pPr>
    </w:p>
    <w:tbl>
      <w:tblPr>
        <w:tblStyle w:val="20"/>
        <w:tblW w:w="8925" w:type="dxa"/>
        <w:tblInd w:w="93" w:type="dxa"/>
        <w:shd w:val="clear" w:color="auto" w:fill="auto"/>
        <w:tblLayout w:type="fixed"/>
        <w:tblCellMar>
          <w:top w:w="0" w:type="dxa"/>
          <w:left w:w="108" w:type="dxa"/>
          <w:bottom w:w="0" w:type="dxa"/>
          <w:right w:w="108" w:type="dxa"/>
        </w:tblCellMar>
      </w:tblPr>
      <w:tblGrid>
        <w:gridCol w:w="689"/>
        <w:gridCol w:w="690"/>
        <w:gridCol w:w="689"/>
        <w:gridCol w:w="689"/>
        <w:gridCol w:w="690"/>
        <w:gridCol w:w="690"/>
        <w:gridCol w:w="1179"/>
        <w:gridCol w:w="1275"/>
        <w:gridCol w:w="2292"/>
        <w:gridCol w:w="42"/>
      </w:tblGrid>
      <w:tr>
        <w:tblPrEx>
          <w:shd w:val="clear" w:color="auto" w:fill="auto"/>
          <w:tblCellMar>
            <w:top w:w="0" w:type="dxa"/>
            <w:left w:w="108" w:type="dxa"/>
            <w:bottom w:w="0" w:type="dxa"/>
            <w:right w:w="108" w:type="dxa"/>
          </w:tblCellMar>
        </w:tblPrEx>
        <w:trPr>
          <w:trHeight w:val="409" w:hRule="atLeast"/>
        </w:trPr>
        <w:tc>
          <w:tcPr>
            <w:tcW w:w="8925"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shd w:val="clear" w:color="auto" w:fill="auto"/>
          <w:tblCellMar>
            <w:top w:w="0" w:type="dxa"/>
            <w:left w:w="108" w:type="dxa"/>
            <w:bottom w:w="0" w:type="dxa"/>
            <w:right w:w="108" w:type="dxa"/>
          </w:tblCellMar>
        </w:tblPrEx>
        <w:trPr>
          <w:trHeight w:val="409" w:hRule="atLeast"/>
        </w:trPr>
        <w:tc>
          <w:tcPr>
            <w:tcW w:w="8925"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trHeight w:val="270" w:hRule="atLeast"/>
        </w:trPr>
        <w:tc>
          <w:tcPr>
            <w:tcW w:w="8925" w:type="dxa"/>
            <w:gridSpan w:val="10"/>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70" w:hRule="atLeast"/>
        </w:trPr>
        <w:tc>
          <w:tcPr>
            <w:tcW w:w="13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54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地委编办专项业务费</w:t>
            </w:r>
          </w:p>
        </w:tc>
      </w:tr>
      <w:tr>
        <w:tblPrEx>
          <w:shd w:val="clear" w:color="auto" w:fill="auto"/>
          <w:tblCellMar>
            <w:top w:w="0" w:type="dxa"/>
            <w:left w:w="108" w:type="dxa"/>
            <w:bottom w:w="0" w:type="dxa"/>
            <w:right w:w="108" w:type="dxa"/>
          </w:tblCellMar>
        </w:tblPrEx>
        <w:trPr>
          <w:trHeight w:val="270" w:hRule="atLeast"/>
        </w:trPr>
        <w:tc>
          <w:tcPr>
            <w:tcW w:w="13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39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中国共产党塔城地区委员会机构编制委员会办公室</w:t>
            </w:r>
          </w:p>
        </w:tc>
      </w:tr>
      <w:tr>
        <w:tblPrEx>
          <w:shd w:val="clear" w:color="auto" w:fill="auto"/>
          <w:tblCellMar>
            <w:top w:w="0" w:type="dxa"/>
            <w:left w:w="108" w:type="dxa"/>
            <w:bottom w:w="0" w:type="dxa"/>
            <w:right w:w="108" w:type="dxa"/>
          </w:tblCellMar>
        </w:tblPrEx>
        <w:trPr>
          <w:trHeight w:val="394" w:hRule="atLeast"/>
        </w:trPr>
        <w:tc>
          <w:tcPr>
            <w:tcW w:w="1379"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689" w:type="dxa"/>
            <w:tcBorders>
              <w:top w:val="nil"/>
              <w:left w:val="nil"/>
              <w:bottom w:val="nil"/>
              <w:right w:val="nil"/>
            </w:tcBorders>
            <w:shd w:val="clear" w:color="auto" w:fill="auto"/>
            <w:noWrap/>
            <w:vAlign w:val="bottom"/>
          </w:tcPr>
          <w:p>
            <w:pPr>
              <w:rPr>
                <w:rFonts w:hint="eastAsia" w:ascii="Arial" w:hAnsi="Arial" w:cs="Arial"/>
                <w:i w:val="0"/>
                <w:iCs w:val="0"/>
                <w:color w:val="000000"/>
                <w:sz w:val="20"/>
                <w:szCs w:val="20"/>
                <w:u w:val="none"/>
              </w:rPr>
            </w:pPr>
          </w:p>
        </w:tc>
        <w:tc>
          <w:tcPr>
            <w:tcW w:w="689" w:type="dxa"/>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p>
        </w:tc>
        <w:tc>
          <w:tcPr>
            <w:tcW w:w="69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18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270" w:hRule="atLeast"/>
        </w:trPr>
        <w:tc>
          <w:tcPr>
            <w:tcW w:w="1379" w:type="dxa"/>
            <w:gridSpan w:val="2"/>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15</w:t>
            </w:r>
          </w:p>
        </w:tc>
        <w:tc>
          <w:tcPr>
            <w:tcW w:w="18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7.13</w:t>
            </w: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47.54%</w:t>
            </w:r>
          </w:p>
        </w:tc>
        <w:tc>
          <w:tcPr>
            <w:tcW w:w="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394" w:hRule="atLeast"/>
        </w:trPr>
        <w:tc>
          <w:tcPr>
            <w:tcW w:w="1379" w:type="dxa"/>
            <w:gridSpan w:val="2"/>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15.00</w:t>
            </w:r>
          </w:p>
        </w:tc>
        <w:tc>
          <w:tcPr>
            <w:tcW w:w="18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15.00</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7.13</w:t>
            </w: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432" w:hRule="atLeast"/>
        </w:trPr>
        <w:tc>
          <w:tcPr>
            <w:tcW w:w="1379" w:type="dxa"/>
            <w:gridSpan w:val="2"/>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c>
          <w:tcPr>
            <w:tcW w:w="18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color w:val="000000"/>
                <w:kern w:val="0"/>
                <w:sz w:val="18"/>
                <w:szCs w:val="18"/>
                <w:u w:val="none"/>
                <w:lang w:val="en-US" w:eastAsia="zh-CN" w:bidi="ar"/>
              </w:rPr>
              <w:t>0</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270" w:hRule="atLeast"/>
        </w:trPr>
        <w:tc>
          <w:tcPr>
            <w:tcW w:w="13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8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p>
        </w:tc>
      </w:tr>
      <w:tr>
        <w:tblPrEx>
          <w:shd w:val="clear" w:color="auto" w:fill="auto"/>
          <w:tblCellMar>
            <w:top w:w="0" w:type="dxa"/>
            <w:left w:w="108" w:type="dxa"/>
            <w:bottom w:w="0" w:type="dxa"/>
            <w:right w:w="108" w:type="dxa"/>
          </w:tblCellMar>
        </w:tblPrEx>
        <w:trPr>
          <w:trHeight w:val="432"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627" w:type="dxa"/>
            <w:gridSpan w:val="6"/>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预期目标</w:t>
            </w:r>
          </w:p>
        </w:tc>
        <w:tc>
          <w:tcPr>
            <w:tcW w:w="36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109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62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一是做好地区事业单位分类改革工作；二是做好事业单位登记、事业单位法人年度报告工作；三是做好机构编制年度统计工作；四是做好各类招录计划审核上报工作；五是做好实名制数据库动态管理工作。</w:t>
            </w:r>
          </w:p>
        </w:tc>
        <w:tc>
          <w:tcPr>
            <w:tcW w:w="360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一是做好地区事业单位分类改革工作；二是做好事业单位登记、事业单位法人年度报告工作；三是做好机构编制年度统计工作；四是做好各类招录计划审核上报工作；五是做好实名制数据库动态管理工作。</w:t>
            </w:r>
          </w:p>
        </w:tc>
      </w:tr>
      <w:tr>
        <w:tblPrEx>
          <w:shd w:val="clear" w:color="auto" w:fill="auto"/>
          <w:tblCellMar>
            <w:top w:w="0" w:type="dxa"/>
            <w:left w:w="108" w:type="dxa"/>
            <w:bottom w:w="0" w:type="dxa"/>
            <w:right w:w="108" w:type="dxa"/>
          </w:tblCellMar>
        </w:tblPrEx>
        <w:trPr>
          <w:trHeight w:val="413"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17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实际完成值</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270" w:hRule="atLeast"/>
        </w:trPr>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2019年度事业单位法人年度报告个数</w:t>
            </w:r>
          </w:p>
        </w:tc>
        <w:tc>
          <w:tcPr>
            <w:tcW w:w="117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=125个</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125</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67"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保密柜</w:t>
            </w:r>
          </w:p>
        </w:tc>
        <w:tc>
          <w:tcPr>
            <w:tcW w:w="117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4个</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3个</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因工作调整，根据实际需要暂购买3个</w:t>
            </w:r>
          </w:p>
        </w:tc>
      </w:tr>
      <w:tr>
        <w:tblPrEx>
          <w:shd w:val="clear" w:color="auto" w:fill="auto"/>
          <w:tblCellMar>
            <w:top w:w="0" w:type="dxa"/>
            <w:left w:w="108" w:type="dxa"/>
            <w:bottom w:w="0" w:type="dxa"/>
            <w:right w:w="108" w:type="dxa"/>
          </w:tblCellMar>
        </w:tblPrEx>
        <w:trPr>
          <w:trHeight w:val="84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碎纸机</w:t>
            </w:r>
          </w:p>
        </w:tc>
        <w:tc>
          <w:tcPr>
            <w:tcW w:w="117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2个</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2个</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4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台式计算机</w:t>
            </w:r>
          </w:p>
        </w:tc>
        <w:tc>
          <w:tcPr>
            <w:tcW w:w="117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3台</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3台</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4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打印机</w:t>
            </w:r>
          </w:p>
        </w:tc>
        <w:tc>
          <w:tcPr>
            <w:tcW w:w="117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1台</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暂时无法使用，没有购买</w:t>
            </w:r>
          </w:p>
        </w:tc>
      </w:tr>
      <w:tr>
        <w:tblPrEx>
          <w:shd w:val="clear" w:color="auto" w:fill="auto"/>
          <w:tblCellMar>
            <w:top w:w="0" w:type="dxa"/>
            <w:left w:w="108" w:type="dxa"/>
            <w:bottom w:w="0" w:type="dxa"/>
            <w:right w:w="108" w:type="dxa"/>
          </w:tblCellMar>
        </w:tblPrEx>
        <w:trPr>
          <w:trHeight w:val="84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2019年度事业单位法人年度报告完成率</w:t>
            </w:r>
          </w:p>
        </w:tc>
        <w:tc>
          <w:tcPr>
            <w:tcW w:w="117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100%</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017"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完成2019年度事业单位法人年度报告</w:t>
            </w:r>
          </w:p>
        </w:tc>
        <w:tc>
          <w:tcPr>
            <w:tcW w:w="117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4月</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100%</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002"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2019年度机构编制统计工作</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2月</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949"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招录审核上报时间</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10月</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4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实名制数据库动态管理工作完成时间</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10月</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975"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办公设备购置</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≤10万元</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2.84万元</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002"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办公费</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≤3万元</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3万元</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4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公车运行费</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≤2万元</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1.89万元</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002"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理顺党政机关职责职能，</w:t>
            </w:r>
            <w:r>
              <w:rPr>
                <w:rFonts w:hint="eastAsia" w:ascii="宋体" w:hAnsi="宋体" w:cs="宋体"/>
                <w:i w:val="0"/>
                <w:color w:val="000000"/>
                <w:kern w:val="0"/>
                <w:sz w:val="18"/>
                <w:szCs w:val="18"/>
                <w:u w:val="none"/>
                <w:lang w:val="en-US" w:eastAsia="zh-CN" w:bidi="ar"/>
              </w:rPr>
              <w:t>更好地为</w:t>
            </w:r>
            <w:r>
              <w:rPr>
                <w:rFonts w:hint="eastAsia" w:ascii="宋体" w:hAnsi="宋体" w:eastAsia="宋体" w:cs="宋体"/>
                <w:i w:val="0"/>
                <w:color w:val="000000"/>
                <w:kern w:val="0"/>
                <w:sz w:val="18"/>
                <w:szCs w:val="18"/>
                <w:u w:val="none"/>
                <w:lang w:val="en-US" w:eastAsia="zh-CN" w:bidi="ar"/>
              </w:rPr>
              <w:t>人民服务</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效果显著</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017"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规范党政机构的设置</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效果显著</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40" w:hRule="atLeast"/>
        </w:trPr>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提升党政机构的执行力</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长期</w:t>
            </w:r>
          </w:p>
        </w:tc>
        <w:tc>
          <w:tcPr>
            <w:tcW w:w="127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23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043" w:hRule="atLeast"/>
        </w:trPr>
        <w:tc>
          <w:tcPr>
            <w:tcW w:w="68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tcBorders>
              <w:top w:val="nil"/>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689"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069" w:type="dxa"/>
            <w:gridSpan w:val="3"/>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事业单位法人满意率</w:t>
            </w:r>
          </w:p>
        </w:tc>
        <w:tc>
          <w:tcPr>
            <w:tcW w:w="1179"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275" w:type="dxa"/>
            <w:tcBorders>
              <w:top w:val="single" w:color="000000" w:sz="4" w:space="0"/>
              <w:left w:val="single" w:color="000000"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34"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125" w:hRule="atLeast"/>
        </w:trPr>
        <w:tc>
          <w:tcPr>
            <w:tcW w:w="8925" w:type="dxa"/>
            <w:gridSpan w:val="10"/>
            <w:tcBorders>
              <w:top w:val="single" w:color="auto"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cs="Times New Roman"/>
      </w:rPr>
    </w:pPr>
    <w:r>
      <w:fldChar w:fldCharType="begin"/>
    </w:r>
    <w:r>
      <w:instrText xml:space="preserve">PAGE   \* MERGEFORMAT</w:instrText>
    </w:r>
    <w:r>
      <w:fldChar w:fldCharType="separate"/>
    </w:r>
    <w:r>
      <w:rPr>
        <w:lang w:val="zh-CN"/>
      </w:rPr>
      <w:t>10</w:t>
    </w:r>
    <w:r>
      <w:rPr>
        <w:lang w:val="zh-CN"/>
      </w:rPr>
      <w:fldChar w:fldCharType="end"/>
    </w:r>
  </w:p>
  <w:p>
    <w:pPr>
      <w:pStyle w:val="1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EE5C6BF8"/>
    <w:multiLevelType w:val="singleLevel"/>
    <w:tmpl w:val="EE5C6BF8"/>
    <w:lvl w:ilvl="0" w:tentative="0">
      <w:start w:val="2"/>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56465"/>
    <w:rsid w:val="000E50F0"/>
    <w:rsid w:val="000E586C"/>
    <w:rsid w:val="00101C6E"/>
    <w:rsid w:val="00121AE4"/>
    <w:rsid w:val="00146AAD"/>
    <w:rsid w:val="00150E04"/>
    <w:rsid w:val="00151D65"/>
    <w:rsid w:val="001B3A40"/>
    <w:rsid w:val="00230288"/>
    <w:rsid w:val="002363EF"/>
    <w:rsid w:val="002C3CBB"/>
    <w:rsid w:val="00317B35"/>
    <w:rsid w:val="00360F96"/>
    <w:rsid w:val="003C18BC"/>
    <w:rsid w:val="003D23F5"/>
    <w:rsid w:val="004357F4"/>
    <w:rsid w:val="004366A8"/>
    <w:rsid w:val="00464900"/>
    <w:rsid w:val="004D589E"/>
    <w:rsid w:val="004E4922"/>
    <w:rsid w:val="004E4DFE"/>
    <w:rsid w:val="00502BA7"/>
    <w:rsid w:val="005162F1"/>
    <w:rsid w:val="00535153"/>
    <w:rsid w:val="00554F82"/>
    <w:rsid w:val="0056390D"/>
    <w:rsid w:val="005719B0"/>
    <w:rsid w:val="005D10D6"/>
    <w:rsid w:val="00632103"/>
    <w:rsid w:val="00667932"/>
    <w:rsid w:val="006E413C"/>
    <w:rsid w:val="006F5C9B"/>
    <w:rsid w:val="007227C6"/>
    <w:rsid w:val="00730D1F"/>
    <w:rsid w:val="007806A5"/>
    <w:rsid w:val="007859D8"/>
    <w:rsid w:val="007B6C68"/>
    <w:rsid w:val="007C0E5E"/>
    <w:rsid w:val="007D6509"/>
    <w:rsid w:val="007F0B55"/>
    <w:rsid w:val="007F19FF"/>
    <w:rsid w:val="007F24CE"/>
    <w:rsid w:val="0084232D"/>
    <w:rsid w:val="00852A69"/>
    <w:rsid w:val="00855E3A"/>
    <w:rsid w:val="008A33D6"/>
    <w:rsid w:val="008C1F37"/>
    <w:rsid w:val="00922CB9"/>
    <w:rsid w:val="00992199"/>
    <w:rsid w:val="009E5CD9"/>
    <w:rsid w:val="009F2FFF"/>
    <w:rsid w:val="00A25ECC"/>
    <w:rsid w:val="00A26421"/>
    <w:rsid w:val="00A3071C"/>
    <w:rsid w:val="00A4293B"/>
    <w:rsid w:val="00A42AFD"/>
    <w:rsid w:val="00A67D50"/>
    <w:rsid w:val="00A8691A"/>
    <w:rsid w:val="00A86A7C"/>
    <w:rsid w:val="00AC1946"/>
    <w:rsid w:val="00AF528C"/>
    <w:rsid w:val="00B00B17"/>
    <w:rsid w:val="00B30346"/>
    <w:rsid w:val="00B40063"/>
    <w:rsid w:val="00B41F61"/>
    <w:rsid w:val="00B4496C"/>
    <w:rsid w:val="00B9009D"/>
    <w:rsid w:val="00BA46E6"/>
    <w:rsid w:val="00BC639D"/>
    <w:rsid w:val="00C25837"/>
    <w:rsid w:val="00C56C72"/>
    <w:rsid w:val="00CA6457"/>
    <w:rsid w:val="00D129CB"/>
    <w:rsid w:val="00D17F2E"/>
    <w:rsid w:val="00D25902"/>
    <w:rsid w:val="00D30354"/>
    <w:rsid w:val="00D56A1F"/>
    <w:rsid w:val="00D62427"/>
    <w:rsid w:val="00D80138"/>
    <w:rsid w:val="00DF42A0"/>
    <w:rsid w:val="00DF7C45"/>
    <w:rsid w:val="00E044F0"/>
    <w:rsid w:val="00E07C88"/>
    <w:rsid w:val="00E31565"/>
    <w:rsid w:val="00E40184"/>
    <w:rsid w:val="00E46C51"/>
    <w:rsid w:val="00E769FE"/>
    <w:rsid w:val="00EA2CBE"/>
    <w:rsid w:val="00EB3B9C"/>
    <w:rsid w:val="00EC702A"/>
    <w:rsid w:val="00F32FEE"/>
    <w:rsid w:val="00F47B58"/>
    <w:rsid w:val="00F71278"/>
    <w:rsid w:val="00FA501D"/>
    <w:rsid w:val="00FB10BB"/>
    <w:rsid w:val="00FC4BC3"/>
    <w:rsid w:val="00FE5515"/>
    <w:rsid w:val="051A56F5"/>
    <w:rsid w:val="066D6EAA"/>
    <w:rsid w:val="08C662D4"/>
    <w:rsid w:val="09BD4D95"/>
    <w:rsid w:val="0F8D41CB"/>
    <w:rsid w:val="10C65D8A"/>
    <w:rsid w:val="11C75270"/>
    <w:rsid w:val="12637CC3"/>
    <w:rsid w:val="12E657C5"/>
    <w:rsid w:val="136C3400"/>
    <w:rsid w:val="167C7687"/>
    <w:rsid w:val="168B3546"/>
    <w:rsid w:val="1691239A"/>
    <w:rsid w:val="1A2374E0"/>
    <w:rsid w:val="1AE723A8"/>
    <w:rsid w:val="1C317CE2"/>
    <w:rsid w:val="1DD45808"/>
    <w:rsid w:val="1DED42AC"/>
    <w:rsid w:val="20005763"/>
    <w:rsid w:val="20FB313D"/>
    <w:rsid w:val="21981A05"/>
    <w:rsid w:val="220B4804"/>
    <w:rsid w:val="22EF0463"/>
    <w:rsid w:val="230F541B"/>
    <w:rsid w:val="282475E3"/>
    <w:rsid w:val="2C6100C1"/>
    <w:rsid w:val="2EDF20C6"/>
    <w:rsid w:val="313E03D3"/>
    <w:rsid w:val="3264220D"/>
    <w:rsid w:val="369858E7"/>
    <w:rsid w:val="3963178C"/>
    <w:rsid w:val="3BE81992"/>
    <w:rsid w:val="414C2EF3"/>
    <w:rsid w:val="41CC2676"/>
    <w:rsid w:val="46B21672"/>
    <w:rsid w:val="46EA66AB"/>
    <w:rsid w:val="4923758E"/>
    <w:rsid w:val="4B300FF1"/>
    <w:rsid w:val="4F552460"/>
    <w:rsid w:val="4FB716A0"/>
    <w:rsid w:val="4FCC6863"/>
    <w:rsid w:val="500A214A"/>
    <w:rsid w:val="522D604D"/>
    <w:rsid w:val="52746101"/>
    <w:rsid w:val="5297585E"/>
    <w:rsid w:val="52AD7D6F"/>
    <w:rsid w:val="5549519D"/>
    <w:rsid w:val="5557596B"/>
    <w:rsid w:val="5B596DFC"/>
    <w:rsid w:val="5DF03945"/>
    <w:rsid w:val="637C2815"/>
    <w:rsid w:val="64E652FC"/>
    <w:rsid w:val="66DE543A"/>
    <w:rsid w:val="6A424CFF"/>
    <w:rsid w:val="6C997A91"/>
    <w:rsid w:val="712E3B0B"/>
    <w:rsid w:val="7A353D0B"/>
    <w:rsid w:val="7D3A5E2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4"/>
    <w:qFormat/>
    <w:uiPriority w:val="99"/>
    <w:pPr>
      <w:keepNext/>
      <w:widowControl/>
      <w:spacing w:before="240" w:after="60"/>
      <w:jc w:val="left"/>
      <w:outlineLvl w:val="0"/>
    </w:pPr>
    <w:rPr>
      <w:rFonts w:ascii="Cambria" w:hAnsi="Cambria" w:cs="Cambria"/>
      <w:b/>
      <w:bCs/>
      <w:kern w:val="32"/>
      <w:sz w:val="32"/>
      <w:szCs w:val="32"/>
    </w:rPr>
  </w:style>
  <w:style w:type="paragraph" w:styleId="4">
    <w:name w:val="heading 2"/>
    <w:basedOn w:val="1"/>
    <w:next w:val="1"/>
    <w:link w:val="25"/>
    <w:qFormat/>
    <w:uiPriority w:val="99"/>
    <w:pPr>
      <w:keepNext/>
      <w:widowControl/>
      <w:spacing w:before="240" w:after="60"/>
      <w:jc w:val="left"/>
      <w:outlineLvl w:val="1"/>
    </w:pPr>
    <w:rPr>
      <w:rFonts w:ascii="Cambria" w:hAnsi="Cambria" w:cs="Cambria"/>
      <w:b/>
      <w:bCs/>
      <w:i/>
      <w:iCs/>
      <w:kern w:val="0"/>
      <w:sz w:val="28"/>
      <w:szCs w:val="28"/>
    </w:rPr>
  </w:style>
  <w:style w:type="paragraph" w:styleId="5">
    <w:name w:val="heading 3"/>
    <w:basedOn w:val="1"/>
    <w:next w:val="1"/>
    <w:link w:val="26"/>
    <w:qFormat/>
    <w:uiPriority w:val="99"/>
    <w:pPr>
      <w:keepNext/>
      <w:widowControl/>
      <w:spacing w:before="240" w:after="60"/>
      <w:jc w:val="left"/>
      <w:outlineLvl w:val="2"/>
    </w:pPr>
    <w:rPr>
      <w:rFonts w:ascii="Cambria" w:hAnsi="Cambria" w:cs="Cambria"/>
      <w:b/>
      <w:bCs/>
      <w:kern w:val="0"/>
      <w:sz w:val="26"/>
      <w:szCs w:val="26"/>
    </w:rPr>
  </w:style>
  <w:style w:type="paragraph" w:styleId="6">
    <w:name w:val="heading 4"/>
    <w:basedOn w:val="1"/>
    <w:next w:val="1"/>
    <w:link w:val="27"/>
    <w:qFormat/>
    <w:uiPriority w:val="99"/>
    <w:pPr>
      <w:keepNext/>
      <w:widowControl/>
      <w:spacing w:before="240" w:after="60"/>
      <w:jc w:val="left"/>
      <w:outlineLvl w:val="3"/>
    </w:pPr>
    <w:rPr>
      <w:rFonts w:ascii="Calibri" w:hAnsi="Calibri" w:cs="Calibri"/>
      <w:b/>
      <w:bCs/>
      <w:kern w:val="0"/>
      <w:sz w:val="28"/>
      <w:szCs w:val="28"/>
    </w:rPr>
  </w:style>
  <w:style w:type="paragraph" w:styleId="7">
    <w:name w:val="heading 5"/>
    <w:basedOn w:val="1"/>
    <w:next w:val="1"/>
    <w:link w:val="28"/>
    <w:qFormat/>
    <w:uiPriority w:val="99"/>
    <w:pPr>
      <w:widowControl/>
      <w:spacing w:before="240" w:after="60"/>
      <w:jc w:val="left"/>
      <w:outlineLvl w:val="4"/>
    </w:pPr>
    <w:rPr>
      <w:rFonts w:ascii="Calibri" w:hAnsi="Calibri" w:cs="Calibri"/>
      <w:b/>
      <w:bCs/>
      <w:i/>
      <w:iCs/>
      <w:kern w:val="0"/>
      <w:sz w:val="26"/>
      <w:szCs w:val="26"/>
    </w:rPr>
  </w:style>
  <w:style w:type="paragraph" w:styleId="8">
    <w:name w:val="heading 6"/>
    <w:basedOn w:val="1"/>
    <w:next w:val="1"/>
    <w:link w:val="29"/>
    <w:qFormat/>
    <w:uiPriority w:val="99"/>
    <w:pPr>
      <w:widowControl/>
      <w:spacing w:before="240" w:after="60"/>
      <w:jc w:val="left"/>
      <w:outlineLvl w:val="5"/>
    </w:pPr>
    <w:rPr>
      <w:rFonts w:ascii="Calibri" w:hAnsi="Calibri" w:cs="Calibri"/>
      <w:b/>
      <w:bCs/>
      <w:kern w:val="0"/>
      <w:sz w:val="22"/>
      <w:szCs w:val="22"/>
    </w:rPr>
  </w:style>
  <w:style w:type="paragraph" w:styleId="9">
    <w:name w:val="heading 7"/>
    <w:basedOn w:val="1"/>
    <w:next w:val="1"/>
    <w:link w:val="30"/>
    <w:qFormat/>
    <w:uiPriority w:val="99"/>
    <w:pPr>
      <w:widowControl/>
      <w:spacing w:before="240" w:after="60"/>
      <w:jc w:val="left"/>
      <w:outlineLvl w:val="6"/>
    </w:pPr>
    <w:rPr>
      <w:rFonts w:ascii="Calibri" w:hAnsi="Calibri" w:cs="Calibri"/>
      <w:kern w:val="0"/>
      <w:sz w:val="24"/>
      <w:szCs w:val="24"/>
    </w:rPr>
  </w:style>
  <w:style w:type="paragraph" w:styleId="10">
    <w:name w:val="heading 8"/>
    <w:basedOn w:val="1"/>
    <w:next w:val="1"/>
    <w:link w:val="31"/>
    <w:qFormat/>
    <w:uiPriority w:val="99"/>
    <w:pPr>
      <w:widowControl/>
      <w:spacing w:before="240" w:after="60"/>
      <w:jc w:val="left"/>
      <w:outlineLvl w:val="7"/>
    </w:pPr>
    <w:rPr>
      <w:rFonts w:ascii="Calibri" w:hAnsi="Calibri" w:cs="Calibri"/>
      <w:i/>
      <w:iCs/>
      <w:kern w:val="0"/>
      <w:sz w:val="24"/>
      <w:szCs w:val="24"/>
    </w:rPr>
  </w:style>
  <w:style w:type="paragraph" w:styleId="11">
    <w:name w:val="heading 9"/>
    <w:basedOn w:val="1"/>
    <w:next w:val="1"/>
    <w:link w:val="32"/>
    <w:qFormat/>
    <w:uiPriority w:val="99"/>
    <w:pPr>
      <w:widowControl/>
      <w:spacing w:before="240" w:after="60"/>
      <w:jc w:val="left"/>
      <w:outlineLvl w:val="8"/>
    </w:pPr>
    <w:rPr>
      <w:rFonts w:ascii="Cambria" w:hAnsi="Cambria" w:cs="Cambria"/>
      <w:kern w:val="0"/>
      <w:sz w:val="22"/>
      <w:szCs w:val="22"/>
    </w:rPr>
  </w:style>
  <w:style w:type="character" w:default="1" w:styleId="21">
    <w:name w:val="Default Paragraph Font"/>
    <w:semiHidden/>
    <w:qFormat/>
    <w:uiPriority w:val="99"/>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99"/>
    <w:pPr>
      <w:widowControl/>
      <w:spacing w:before="240" w:after="60"/>
      <w:jc w:val="center"/>
      <w:outlineLvl w:val="0"/>
    </w:pPr>
    <w:rPr>
      <w:rFonts w:ascii="Cambria" w:hAnsi="Cambria" w:cs="Cambr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link w:val="34"/>
    <w:qFormat/>
    <w:uiPriority w:val="99"/>
    <w:pPr>
      <w:spacing w:after="120"/>
    </w:pPr>
  </w:style>
  <w:style w:type="paragraph" w:styleId="14">
    <w:name w:val="Balloon Text"/>
    <w:basedOn w:val="1"/>
    <w:link w:val="35"/>
    <w:semiHidden/>
    <w:qFormat/>
    <w:uiPriority w:val="99"/>
    <w:rPr>
      <w:sz w:val="18"/>
      <w:szCs w:val="18"/>
    </w:rPr>
  </w:style>
  <w:style w:type="paragraph" w:styleId="15">
    <w:name w:val="footer"/>
    <w:basedOn w:val="1"/>
    <w:link w:val="36"/>
    <w:qFormat/>
    <w:uiPriority w:val="99"/>
    <w:pPr>
      <w:tabs>
        <w:tab w:val="center" w:pos="4153"/>
        <w:tab w:val="right" w:pos="8306"/>
      </w:tabs>
      <w:snapToGrid w:val="0"/>
      <w:jc w:val="left"/>
    </w:pPr>
    <w:rPr>
      <w:rFonts w:ascii="Calibri" w:hAnsi="Calibri" w:cs="Calibri"/>
      <w:sz w:val="18"/>
      <w:szCs w:val="18"/>
    </w:rPr>
  </w:style>
  <w:style w:type="paragraph" w:styleId="16">
    <w:name w:val="header"/>
    <w:basedOn w:val="1"/>
    <w:link w:val="37"/>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paragraph" w:styleId="17">
    <w:name w:val="Subtitle"/>
    <w:basedOn w:val="1"/>
    <w:next w:val="1"/>
    <w:link w:val="38"/>
    <w:qFormat/>
    <w:uiPriority w:val="99"/>
    <w:pPr>
      <w:widowControl/>
      <w:spacing w:after="60"/>
      <w:jc w:val="center"/>
      <w:outlineLvl w:val="1"/>
    </w:pPr>
    <w:rPr>
      <w:rFonts w:ascii="Cambria" w:hAnsi="Cambria" w:cs="Cambria"/>
      <w:kern w:val="0"/>
      <w:sz w:val="24"/>
      <w:szCs w:val="24"/>
    </w:rPr>
  </w:style>
  <w:style w:type="paragraph" w:styleId="18">
    <w:name w:val="Normal (Web)"/>
    <w:basedOn w:val="1"/>
    <w:qFormat/>
    <w:uiPriority w:val="99"/>
    <w:pPr>
      <w:spacing w:before="100" w:beforeAutospacing="1" w:after="100" w:afterAutospacing="1"/>
      <w:jc w:val="left"/>
    </w:pPr>
    <w:rPr>
      <w:sz w:val="24"/>
      <w:lang w:bidi="ar"/>
    </w:rPr>
  </w:style>
  <w:style w:type="paragraph" w:styleId="19">
    <w:name w:val="Body Text First Indent"/>
    <w:basedOn w:val="13"/>
    <w:link w:val="39"/>
    <w:qFormat/>
    <w:uiPriority w:val="99"/>
    <w:pPr>
      <w:spacing w:after="0"/>
      <w:ind w:firstLine="200" w:firstLineChars="200"/>
    </w:pPr>
  </w:style>
  <w:style w:type="character" w:styleId="22">
    <w:name w:val="Strong"/>
    <w:basedOn w:val="21"/>
    <w:qFormat/>
    <w:uiPriority w:val="99"/>
    <w:rPr>
      <w:b/>
      <w:bCs/>
    </w:rPr>
  </w:style>
  <w:style w:type="character" w:styleId="23">
    <w:name w:val="Emphasis"/>
    <w:basedOn w:val="21"/>
    <w:qFormat/>
    <w:uiPriority w:val="99"/>
    <w:rPr>
      <w:rFonts w:ascii="Calibri" w:hAnsi="Calibri" w:cs="Calibri"/>
      <w:b/>
      <w:bCs/>
      <w:i/>
      <w:iCs/>
    </w:rPr>
  </w:style>
  <w:style w:type="character" w:customStyle="1" w:styleId="24">
    <w:name w:val="Heading 1 Char"/>
    <w:basedOn w:val="21"/>
    <w:link w:val="3"/>
    <w:qFormat/>
    <w:locked/>
    <w:uiPriority w:val="99"/>
    <w:rPr>
      <w:rFonts w:ascii="Cambria" w:hAnsi="Cambria" w:eastAsia="宋体" w:cs="Cambria"/>
      <w:b/>
      <w:bCs/>
      <w:kern w:val="32"/>
      <w:sz w:val="32"/>
      <w:szCs w:val="32"/>
    </w:rPr>
  </w:style>
  <w:style w:type="character" w:customStyle="1" w:styleId="25">
    <w:name w:val="Heading 2 Char"/>
    <w:basedOn w:val="21"/>
    <w:link w:val="4"/>
    <w:semiHidden/>
    <w:qFormat/>
    <w:locked/>
    <w:uiPriority w:val="99"/>
    <w:rPr>
      <w:rFonts w:ascii="Cambria" w:hAnsi="Cambria" w:eastAsia="宋体" w:cs="Cambria"/>
      <w:b/>
      <w:bCs/>
      <w:i/>
      <w:iCs/>
      <w:sz w:val="28"/>
      <w:szCs w:val="28"/>
    </w:rPr>
  </w:style>
  <w:style w:type="character" w:customStyle="1" w:styleId="26">
    <w:name w:val="Heading 3 Char"/>
    <w:basedOn w:val="21"/>
    <w:link w:val="5"/>
    <w:semiHidden/>
    <w:qFormat/>
    <w:locked/>
    <w:uiPriority w:val="99"/>
    <w:rPr>
      <w:rFonts w:ascii="Cambria" w:hAnsi="Cambria" w:eastAsia="宋体" w:cs="Cambria"/>
      <w:b/>
      <w:bCs/>
      <w:sz w:val="26"/>
      <w:szCs w:val="26"/>
    </w:rPr>
  </w:style>
  <w:style w:type="character" w:customStyle="1" w:styleId="27">
    <w:name w:val="Heading 4 Char"/>
    <w:basedOn w:val="21"/>
    <w:link w:val="6"/>
    <w:semiHidden/>
    <w:qFormat/>
    <w:locked/>
    <w:uiPriority w:val="99"/>
    <w:rPr>
      <w:b/>
      <w:bCs/>
      <w:sz w:val="28"/>
      <w:szCs w:val="28"/>
    </w:rPr>
  </w:style>
  <w:style w:type="character" w:customStyle="1" w:styleId="28">
    <w:name w:val="Heading 5 Char"/>
    <w:basedOn w:val="21"/>
    <w:link w:val="7"/>
    <w:semiHidden/>
    <w:qFormat/>
    <w:locked/>
    <w:uiPriority w:val="99"/>
    <w:rPr>
      <w:b/>
      <w:bCs/>
      <w:i/>
      <w:iCs/>
      <w:sz w:val="26"/>
      <w:szCs w:val="26"/>
    </w:rPr>
  </w:style>
  <w:style w:type="character" w:customStyle="1" w:styleId="29">
    <w:name w:val="Heading 6 Char"/>
    <w:basedOn w:val="21"/>
    <w:link w:val="8"/>
    <w:semiHidden/>
    <w:qFormat/>
    <w:locked/>
    <w:uiPriority w:val="99"/>
    <w:rPr>
      <w:b/>
      <w:bCs/>
    </w:rPr>
  </w:style>
  <w:style w:type="character" w:customStyle="1" w:styleId="30">
    <w:name w:val="Heading 7 Char"/>
    <w:basedOn w:val="21"/>
    <w:link w:val="9"/>
    <w:semiHidden/>
    <w:qFormat/>
    <w:locked/>
    <w:uiPriority w:val="99"/>
    <w:rPr>
      <w:sz w:val="24"/>
      <w:szCs w:val="24"/>
    </w:rPr>
  </w:style>
  <w:style w:type="character" w:customStyle="1" w:styleId="31">
    <w:name w:val="Heading 8 Char"/>
    <w:basedOn w:val="21"/>
    <w:link w:val="10"/>
    <w:semiHidden/>
    <w:qFormat/>
    <w:locked/>
    <w:uiPriority w:val="99"/>
    <w:rPr>
      <w:i/>
      <w:iCs/>
      <w:sz w:val="24"/>
      <w:szCs w:val="24"/>
    </w:rPr>
  </w:style>
  <w:style w:type="character" w:customStyle="1" w:styleId="32">
    <w:name w:val="Heading 9 Char"/>
    <w:basedOn w:val="21"/>
    <w:link w:val="11"/>
    <w:semiHidden/>
    <w:qFormat/>
    <w:locked/>
    <w:uiPriority w:val="99"/>
    <w:rPr>
      <w:rFonts w:ascii="Cambria" w:hAnsi="Cambria" w:eastAsia="宋体" w:cs="Cambria"/>
    </w:rPr>
  </w:style>
  <w:style w:type="character" w:customStyle="1" w:styleId="33">
    <w:name w:val="Title Char"/>
    <w:basedOn w:val="21"/>
    <w:link w:val="2"/>
    <w:qFormat/>
    <w:locked/>
    <w:uiPriority w:val="99"/>
    <w:rPr>
      <w:rFonts w:ascii="Cambria" w:hAnsi="Cambria" w:eastAsia="宋体" w:cs="Cambria"/>
      <w:b/>
      <w:bCs/>
      <w:kern w:val="28"/>
      <w:sz w:val="32"/>
      <w:szCs w:val="32"/>
    </w:rPr>
  </w:style>
  <w:style w:type="character" w:customStyle="1" w:styleId="34">
    <w:name w:val="Body Text Char"/>
    <w:basedOn w:val="21"/>
    <w:link w:val="13"/>
    <w:semiHidden/>
    <w:qFormat/>
    <w:uiPriority w:val="99"/>
    <w:rPr>
      <w:szCs w:val="21"/>
    </w:rPr>
  </w:style>
  <w:style w:type="character" w:customStyle="1" w:styleId="35">
    <w:name w:val="Balloon Text Char"/>
    <w:basedOn w:val="21"/>
    <w:link w:val="14"/>
    <w:semiHidden/>
    <w:qFormat/>
    <w:locked/>
    <w:uiPriority w:val="99"/>
    <w:rPr>
      <w:rFonts w:ascii="Times New Roman" w:hAnsi="Times New Roman" w:eastAsia="宋体" w:cs="Times New Roman"/>
      <w:kern w:val="2"/>
      <w:sz w:val="18"/>
      <w:szCs w:val="18"/>
    </w:rPr>
  </w:style>
  <w:style w:type="character" w:customStyle="1" w:styleId="36">
    <w:name w:val="Footer Char"/>
    <w:basedOn w:val="21"/>
    <w:link w:val="15"/>
    <w:qFormat/>
    <w:locked/>
    <w:uiPriority w:val="99"/>
    <w:rPr>
      <w:rFonts w:ascii="Calibri" w:hAnsi="Calibri" w:eastAsia="宋体" w:cs="Calibri"/>
      <w:kern w:val="2"/>
      <w:sz w:val="18"/>
      <w:szCs w:val="18"/>
    </w:rPr>
  </w:style>
  <w:style w:type="character" w:customStyle="1" w:styleId="37">
    <w:name w:val="Header Char"/>
    <w:basedOn w:val="21"/>
    <w:link w:val="16"/>
    <w:qFormat/>
    <w:locked/>
    <w:uiPriority w:val="99"/>
    <w:rPr>
      <w:rFonts w:ascii="Calibri" w:hAnsi="Calibri" w:eastAsia="宋体" w:cs="Calibri"/>
      <w:kern w:val="2"/>
      <w:sz w:val="18"/>
      <w:szCs w:val="18"/>
    </w:rPr>
  </w:style>
  <w:style w:type="character" w:customStyle="1" w:styleId="38">
    <w:name w:val="Subtitle Char"/>
    <w:basedOn w:val="21"/>
    <w:link w:val="17"/>
    <w:qFormat/>
    <w:locked/>
    <w:uiPriority w:val="99"/>
    <w:rPr>
      <w:rFonts w:ascii="Cambria" w:hAnsi="Cambria" w:eastAsia="宋体" w:cs="Cambria"/>
      <w:sz w:val="24"/>
      <w:szCs w:val="24"/>
    </w:rPr>
  </w:style>
  <w:style w:type="character" w:customStyle="1" w:styleId="39">
    <w:name w:val="Body Text First Indent Char"/>
    <w:basedOn w:val="34"/>
    <w:link w:val="19"/>
    <w:semiHidden/>
    <w:qFormat/>
    <w:uiPriority w:val="99"/>
  </w:style>
  <w:style w:type="paragraph" w:styleId="40">
    <w:name w:val="No Spacing"/>
    <w:basedOn w:val="1"/>
    <w:qFormat/>
    <w:uiPriority w:val="99"/>
    <w:pPr>
      <w:widowControl/>
      <w:jc w:val="left"/>
    </w:pPr>
    <w:rPr>
      <w:rFonts w:ascii="Calibri" w:hAnsi="Calibri" w:cs="Calibri"/>
      <w:kern w:val="0"/>
      <w:sz w:val="24"/>
      <w:szCs w:val="24"/>
      <w:lang w:eastAsia="en-US"/>
    </w:rPr>
  </w:style>
  <w:style w:type="paragraph" w:styleId="41">
    <w:name w:val="List Paragraph"/>
    <w:basedOn w:val="1"/>
    <w:qFormat/>
    <w:uiPriority w:val="99"/>
    <w:pPr>
      <w:widowControl/>
      <w:ind w:left="720"/>
      <w:jc w:val="left"/>
    </w:pPr>
    <w:rPr>
      <w:rFonts w:ascii="Calibri" w:hAnsi="Calibri" w:cs="Calibri"/>
      <w:kern w:val="0"/>
      <w:sz w:val="24"/>
      <w:szCs w:val="24"/>
      <w:lang w:eastAsia="en-US"/>
    </w:rPr>
  </w:style>
  <w:style w:type="paragraph" w:styleId="42">
    <w:name w:val="Quote"/>
    <w:basedOn w:val="1"/>
    <w:next w:val="1"/>
    <w:link w:val="43"/>
    <w:qFormat/>
    <w:uiPriority w:val="99"/>
    <w:pPr>
      <w:widowControl/>
      <w:jc w:val="left"/>
    </w:pPr>
    <w:rPr>
      <w:rFonts w:ascii="Calibri" w:hAnsi="Calibri" w:cs="Calibri"/>
      <w:i/>
      <w:iCs/>
      <w:kern w:val="0"/>
      <w:sz w:val="24"/>
      <w:szCs w:val="24"/>
    </w:rPr>
  </w:style>
  <w:style w:type="character" w:customStyle="1" w:styleId="43">
    <w:name w:val="Quote Char"/>
    <w:basedOn w:val="21"/>
    <w:link w:val="42"/>
    <w:qFormat/>
    <w:locked/>
    <w:uiPriority w:val="99"/>
    <w:rPr>
      <w:i/>
      <w:iCs/>
      <w:sz w:val="24"/>
      <w:szCs w:val="24"/>
    </w:rPr>
  </w:style>
  <w:style w:type="paragraph" w:styleId="44">
    <w:name w:val="Intense Quote"/>
    <w:basedOn w:val="1"/>
    <w:next w:val="1"/>
    <w:link w:val="45"/>
    <w:qFormat/>
    <w:uiPriority w:val="99"/>
    <w:pPr>
      <w:widowControl/>
      <w:ind w:left="720" w:right="720"/>
      <w:jc w:val="left"/>
    </w:pPr>
    <w:rPr>
      <w:rFonts w:ascii="Calibri" w:hAnsi="Calibri" w:cs="Calibri"/>
      <w:b/>
      <w:bCs/>
      <w:i/>
      <w:iCs/>
      <w:kern w:val="0"/>
      <w:sz w:val="24"/>
      <w:szCs w:val="24"/>
    </w:rPr>
  </w:style>
  <w:style w:type="character" w:customStyle="1" w:styleId="45">
    <w:name w:val="Intense Quote Char"/>
    <w:basedOn w:val="21"/>
    <w:link w:val="44"/>
    <w:qFormat/>
    <w:locked/>
    <w:uiPriority w:val="99"/>
    <w:rPr>
      <w:b/>
      <w:bCs/>
      <w:i/>
      <w:iCs/>
      <w:sz w:val="24"/>
      <w:szCs w:val="24"/>
    </w:rPr>
  </w:style>
  <w:style w:type="character" w:customStyle="1" w:styleId="46">
    <w:name w:val="不明显强调1"/>
    <w:qFormat/>
    <w:uiPriority w:val="99"/>
    <w:rPr>
      <w:i/>
      <w:iCs/>
      <w:color w:val="auto"/>
    </w:rPr>
  </w:style>
  <w:style w:type="character" w:customStyle="1" w:styleId="47">
    <w:name w:val="明显强调1"/>
    <w:basedOn w:val="21"/>
    <w:qFormat/>
    <w:uiPriority w:val="99"/>
    <w:rPr>
      <w:b/>
      <w:bCs/>
      <w:i/>
      <w:iCs/>
      <w:sz w:val="24"/>
      <w:szCs w:val="24"/>
      <w:u w:val="single"/>
    </w:rPr>
  </w:style>
  <w:style w:type="character" w:customStyle="1" w:styleId="48">
    <w:name w:val="不明显参考1"/>
    <w:basedOn w:val="21"/>
    <w:qFormat/>
    <w:uiPriority w:val="99"/>
    <w:rPr>
      <w:sz w:val="24"/>
      <w:szCs w:val="24"/>
      <w:u w:val="single"/>
    </w:rPr>
  </w:style>
  <w:style w:type="character" w:customStyle="1" w:styleId="49">
    <w:name w:val="明显参考1"/>
    <w:basedOn w:val="21"/>
    <w:qFormat/>
    <w:uiPriority w:val="99"/>
    <w:rPr>
      <w:b/>
      <w:bCs/>
      <w:sz w:val="24"/>
      <w:szCs w:val="24"/>
      <w:u w:val="single"/>
    </w:rPr>
  </w:style>
  <w:style w:type="character" w:customStyle="1" w:styleId="50">
    <w:name w:val="书籍标题1"/>
    <w:basedOn w:val="21"/>
    <w:qFormat/>
    <w:uiPriority w:val="99"/>
    <w:rPr>
      <w:rFonts w:ascii="Cambria" w:hAnsi="Cambria" w:eastAsia="宋体" w:cs="Cambria"/>
      <w:b/>
      <w:bCs/>
      <w:i/>
      <w:iCs/>
      <w:sz w:val="24"/>
      <w:szCs w:val="24"/>
    </w:rPr>
  </w:style>
  <w:style w:type="paragraph" w:customStyle="1" w:styleId="51">
    <w:name w:val="TOC 标题1"/>
    <w:basedOn w:val="3"/>
    <w:next w:val="1"/>
    <w:semiHidden/>
    <w:qFormat/>
    <w:uiPriority w:val="99"/>
    <w:pPr>
      <w:outlineLvl w:val="9"/>
    </w:pPr>
    <w:rPr>
      <w:lang w:eastAsia="en-US"/>
    </w:rPr>
  </w:style>
  <w:style w:type="paragraph" w:customStyle="1" w:styleId="52">
    <w:name w:val="Heading2"/>
    <w:next w:val="1"/>
    <w:qFormat/>
    <w:uiPriority w:val="99"/>
    <w:pPr>
      <w:keepNext/>
      <w:keepLines/>
      <w:widowControl w:val="0"/>
      <w:spacing w:before="260" w:after="260" w:line="413" w:lineRule="auto"/>
      <w:jc w:val="both"/>
    </w:pPr>
    <w:rPr>
      <w:rFonts w:ascii="Arial" w:hAnsi="Arial" w:eastAsia="黑体" w:cs="Arial"/>
      <w:b/>
      <w:bCs/>
      <w:kern w:val="2"/>
      <w:sz w:val="32"/>
      <w:szCs w:val="32"/>
      <w:lang w:val="en-US" w:eastAsia="zh-CN" w:bidi="ar-SA"/>
    </w:rPr>
  </w:style>
  <w:style w:type="character" w:customStyle="1" w:styleId="53">
    <w:name w:val="fontstyle01"/>
    <w:qFormat/>
    <w:uiPriority w:val="99"/>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27</Pages>
  <Words>8566</Words>
  <Characters>8965</Characters>
  <Lines>0</Lines>
  <Paragraphs>0</Paragraphs>
  <TotalTime>7</TotalTime>
  <ScaleCrop>false</ScaleCrop>
  <LinksUpToDate>false</LinksUpToDate>
  <CharactersWithSpaces>9011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2025-09-09T04:35:27Z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897F12B7B60E4E50882A95FA13374990</vt:lpwstr>
  </property>
  <property fmtid="{D5CDD505-2E9C-101B-9397-08002B2CF9AE}" pid="4" name="KSOSaveFontToCloudKey">
    <vt:lpwstr>390855185_btnclosed</vt:lpwstr>
  </property>
  <property fmtid="{D5CDD505-2E9C-101B-9397-08002B2CF9AE}" pid="5" name="KSOTemplateDocerSaveRecord">
    <vt:lpwstr>eyJoZGlkIjoiN2VjMGM4YTNmZTY1NDFjMWFjNmVmZmU0NDA2ZTk0ZmMiLCJ1c2VySWQiOiI4NjI1NDMxNDkifQ==</vt:lpwstr>
  </property>
</Properties>
</file>