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537BD4">
      <w:pPr>
        <w:spacing w:line="600" w:lineRule="exact"/>
        <w:ind w:firstLine="3840" w:firstLineChars="1200"/>
        <w:jc w:val="both"/>
        <w:rPr>
          <w:rFonts w:hint="eastAsia" w:ascii="黑体" w:hAnsi="黑体" w:eastAsia="黑体" w:cs="黑体"/>
          <w:bCs/>
          <w:sz w:val="32"/>
          <w:szCs w:val="32"/>
          <w:lang w:val="en-US" w:eastAsia="zh-CN"/>
        </w:rPr>
      </w:pPr>
    </w:p>
    <w:p w14:paraId="7E33907B">
      <w:pPr>
        <w:pStyle w:val="6"/>
        <w:rPr>
          <w:rFonts w:hint="eastAsia" w:ascii="黑体" w:hAnsi="黑体" w:eastAsia="黑体" w:cs="黑体"/>
          <w:bCs/>
          <w:sz w:val="32"/>
          <w:szCs w:val="32"/>
          <w:lang w:val="en-US" w:eastAsia="zh-CN"/>
        </w:rPr>
      </w:pPr>
    </w:p>
    <w:p w14:paraId="15AC0429">
      <w:pPr>
        <w:pStyle w:val="6"/>
        <w:rPr>
          <w:rFonts w:hint="eastAsia" w:ascii="黑体" w:hAnsi="黑体" w:eastAsia="黑体" w:cs="黑体"/>
          <w:bCs/>
          <w:sz w:val="32"/>
          <w:szCs w:val="32"/>
          <w:lang w:val="en-US" w:eastAsia="zh-CN"/>
        </w:rPr>
      </w:pPr>
    </w:p>
    <w:p w14:paraId="5816331A">
      <w:pPr>
        <w:pStyle w:val="6"/>
        <w:rPr>
          <w:rFonts w:hint="eastAsia" w:ascii="黑体" w:hAnsi="黑体" w:eastAsia="黑体" w:cs="黑体"/>
          <w:bCs/>
          <w:sz w:val="32"/>
          <w:szCs w:val="32"/>
          <w:lang w:val="en-US" w:eastAsia="zh-CN"/>
        </w:rPr>
      </w:pPr>
    </w:p>
    <w:p w14:paraId="1B15ACCB">
      <w:pPr>
        <w:pStyle w:val="6"/>
        <w:rPr>
          <w:rFonts w:hint="eastAsia" w:ascii="黑体" w:hAnsi="黑体" w:eastAsia="黑体" w:cs="黑体"/>
          <w:bCs/>
          <w:sz w:val="32"/>
          <w:szCs w:val="32"/>
          <w:lang w:val="en-US" w:eastAsia="zh-CN"/>
        </w:rPr>
      </w:pPr>
    </w:p>
    <w:p w14:paraId="7AA76D30">
      <w:pPr>
        <w:pStyle w:val="6"/>
        <w:rPr>
          <w:rFonts w:hint="eastAsia" w:ascii="黑体" w:hAnsi="黑体" w:eastAsia="黑体" w:cs="黑体"/>
          <w:bCs/>
          <w:sz w:val="32"/>
          <w:szCs w:val="32"/>
          <w:lang w:val="en-US" w:eastAsia="zh-CN"/>
        </w:rPr>
      </w:pPr>
    </w:p>
    <w:p w14:paraId="3EA5A980">
      <w:pPr>
        <w:pStyle w:val="6"/>
        <w:rPr>
          <w:rFonts w:hint="eastAsia" w:ascii="黑体" w:hAnsi="黑体" w:eastAsia="黑体" w:cs="黑体"/>
          <w:bCs/>
          <w:sz w:val="32"/>
          <w:szCs w:val="32"/>
          <w:lang w:val="en-US" w:eastAsia="zh-CN"/>
        </w:rPr>
      </w:pPr>
    </w:p>
    <w:p w14:paraId="3ED4A39E">
      <w:pPr>
        <w:pStyle w:val="6"/>
        <w:rPr>
          <w:rFonts w:hint="eastAsia" w:ascii="方正小标宋简体" w:hAnsi="方正小标宋简体" w:eastAsia="方正小标宋简体" w:cs="方正小标宋简体"/>
          <w:bCs/>
          <w:sz w:val="32"/>
          <w:szCs w:val="32"/>
          <w:lang w:val="en-US" w:eastAsia="zh-CN"/>
        </w:rPr>
      </w:pPr>
    </w:p>
    <w:p w14:paraId="24524E07">
      <w:pPr>
        <w:spacing w:line="54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lang w:val="en-US" w:eastAsia="zh-CN"/>
        </w:rPr>
        <w:t>2020年塔城地区电影放行放映公司运行经费项目支出绩效</w:t>
      </w:r>
      <w:r>
        <w:rPr>
          <w:rFonts w:hint="eastAsia" w:ascii="方正小标宋简体" w:hAnsi="方正小标宋简体" w:eastAsia="方正小标宋简体" w:cs="方正小标宋简体"/>
          <w:kern w:val="0"/>
          <w:sz w:val="44"/>
          <w:szCs w:val="44"/>
        </w:rPr>
        <w:t>评价报告</w:t>
      </w:r>
    </w:p>
    <w:p w14:paraId="2ACF7E14">
      <w:pPr>
        <w:spacing w:line="540" w:lineRule="exact"/>
        <w:jc w:val="center"/>
        <w:rPr>
          <w:rFonts w:hint="eastAsia" w:ascii="华文中宋" w:hAnsi="华文中宋" w:eastAsia="华文中宋" w:cs="宋体"/>
          <w:b/>
          <w:kern w:val="0"/>
          <w:sz w:val="52"/>
          <w:szCs w:val="52"/>
          <w:lang w:eastAsia="zh-CN"/>
        </w:rPr>
      </w:pPr>
    </w:p>
    <w:p w14:paraId="12338D42">
      <w:pPr>
        <w:pStyle w:val="2"/>
        <w:rPr>
          <w:rFonts w:hint="eastAsia" w:ascii="仿宋" w:hAnsi="仿宋" w:eastAsia="仿宋" w:cs="仿宋"/>
          <w:b w:val="0"/>
          <w:bCs w:val="0"/>
          <w:sz w:val="44"/>
          <w:szCs w:val="44"/>
          <w:lang w:eastAsia="zh-CN"/>
        </w:rPr>
      </w:pPr>
      <w:r>
        <w:rPr>
          <w:rFonts w:hint="eastAsia" w:ascii="仿宋" w:hAnsi="仿宋" w:eastAsia="仿宋" w:cs="仿宋"/>
          <w:b w:val="0"/>
          <w:bCs w:val="0"/>
          <w:kern w:val="0"/>
          <w:sz w:val="44"/>
          <w:szCs w:val="44"/>
          <w:lang w:eastAsia="zh-CN"/>
        </w:rPr>
        <w:t>（</w:t>
      </w:r>
      <w:r>
        <w:rPr>
          <w:rFonts w:hint="eastAsia" w:ascii="仿宋" w:hAnsi="仿宋" w:eastAsia="仿宋" w:cs="仿宋"/>
          <w:b w:val="0"/>
          <w:bCs w:val="0"/>
          <w:kern w:val="0"/>
          <w:sz w:val="44"/>
          <w:szCs w:val="44"/>
          <w:lang w:val="en-US" w:eastAsia="zh-CN"/>
        </w:rPr>
        <w:t>2020年度</w:t>
      </w:r>
      <w:r>
        <w:rPr>
          <w:rFonts w:hint="eastAsia" w:ascii="仿宋" w:hAnsi="仿宋" w:eastAsia="仿宋" w:cs="仿宋"/>
          <w:b w:val="0"/>
          <w:bCs w:val="0"/>
          <w:kern w:val="0"/>
          <w:sz w:val="44"/>
          <w:szCs w:val="44"/>
          <w:lang w:eastAsia="zh-CN"/>
        </w:rPr>
        <w:t>）</w:t>
      </w:r>
    </w:p>
    <w:p w14:paraId="20A5345A">
      <w:pPr>
        <w:spacing w:line="540" w:lineRule="exact"/>
        <w:jc w:val="left"/>
        <w:rPr>
          <w:rFonts w:hAnsi="宋体" w:eastAsia="仿宋_GB2312" w:cs="宋体"/>
          <w:kern w:val="0"/>
          <w:sz w:val="30"/>
          <w:szCs w:val="30"/>
        </w:rPr>
      </w:pPr>
    </w:p>
    <w:p w14:paraId="2162B699">
      <w:pPr>
        <w:spacing w:line="540" w:lineRule="exact"/>
        <w:jc w:val="center"/>
        <w:rPr>
          <w:rFonts w:hAnsi="宋体" w:eastAsia="仿宋_GB2312" w:cs="宋体"/>
          <w:kern w:val="0"/>
          <w:sz w:val="30"/>
          <w:szCs w:val="30"/>
        </w:rPr>
      </w:pPr>
    </w:p>
    <w:p w14:paraId="4D19FC17">
      <w:pPr>
        <w:spacing w:line="540" w:lineRule="exact"/>
        <w:rPr>
          <w:rFonts w:hAnsi="宋体" w:eastAsia="仿宋_GB2312" w:cs="宋体"/>
          <w:kern w:val="0"/>
          <w:sz w:val="30"/>
          <w:szCs w:val="30"/>
        </w:rPr>
      </w:pPr>
    </w:p>
    <w:p w14:paraId="2545501D">
      <w:pPr>
        <w:spacing w:line="700" w:lineRule="exact"/>
        <w:ind w:firstLine="720" w:firstLineChars="200"/>
        <w:jc w:val="center"/>
        <w:rPr>
          <w:rFonts w:hint="eastAsia" w:ascii="仿宋_GB2312" w:hAnsi="仿宋_GB2312" w:eastAsia="仿宋_GB2312" w:cs="仿宋_GB2312"/>
          <w:kern w:val="0"/>
          <w:sz w:val="36"/>
          <w:szCs w:val="36"/>
          <w:lang w:eastAsia="zh-CN"/>
        </w:rPr>
      </w:pPr>
      <w:r>
        <w:rPr>
          <w:rFonts w:hint="eastAsia" w:ascii="仿宋_GB2312" w:hAnsi="仿宋_GB2312" w:eastAsia="仿宋_GB2312" w:cs="仿宋_GB2312"/>
          <w:kern w:val="0"/>
          <w:sz w:val="36"/>
          <w:szCs w:val="36"/>
          <w:lang w:val="en-US" w:eastAsia="zh-CN"/>
        </w:rPr>
        <w:t xml:space="preserve">  </w:t>
      </w:r>
      <w:r>
        <w:rPr>
          <w:rFonts w:hint="eastAsia" w:ascii="仿宋_GB2312" w:hAnsi="仿宋_GB2312" w:eastAsia="仿宋_GB2312" w:cs="仿宋_GB2312"/>
          <w:kern w:val="0"/>
          <w:sz w:val="36"/>
          <w:szCs w:val="36"/>
        </w:rPr>
        <w:t>项目名称：</w:t>
      </w:r>
      <w:r>
        <w:rPr>
          <w:rFonts w:hint="eastAsia" w:ascii="仿宋_GB2312" w:hAnsi="仿宋_GB2312" w:eastAsia="仿宋_GB2312" w:cs="仿宋_GB2312"/>
          <w:kern w:val="0"/>
          <w:sz w:val="36"/>
          <w:szCs w:val="36"/>
          <w:lang w:eastAsia="zh-CN"/>
        </w:rPr>
        <w:t>地区电影放行放映公司运行经费</w:t>
      </w:r>
    </w:p>
    <w:p w14:paraId="4FEC3C82">
      <w:pPr>
        <w:spacing w:line="700" w:lineRule="exact"/>
        <w:ind w:firstLine="720" w:firstLineChars="200"/>
        <w:jc w:val="center"/>
        <w:rPr>
          <w:rFonts w:hint="eastAsia" w:ascii="仿宋_GB2312" w:hAnsi="仿宋_GB2312" w:eastAsia="仿宋_GB2312" w:cs="仿宋_GB2312"/>
          <w:kern w:val="0"/>
          <w:sz w:val="36"/>
          <w:szCs w:val="36"/>
          <w:lang w:eastAsia="zh-CN"/>
        </w:rPr>
      </w:pPr>
      <w:r>
        <w:rPr>
          <w:rFonts w:hint="eastAsia" w:ascii="仿宋_GB2312" w:hAnsi="仿宋_GB2312" w:eastAsia="仿宋_GB2312" w:cs="仿宋_GB2312"/>
          <w:kern w:val="0"/>
          <w:sz w:val="36"/>
          <w:szCs w:val="36"/>
          <w:lang w:val="en-US" w:eastAsia="zh-CN"/>
        </w:rPr>
        <w:t xml:space="preserve">  </w:t>
      </w:r>
      <w:r>
        <w:rPr>
          <w:rFonts w:hint="eastAsia" w:ascii="仿宋_GB2312" w:hAnsi="仿宋_GB2312" w:eastAsia="仿宋_GB2312" w:cs="仿宋_GB2312"/>
          <w:kern w:val="0"/>
          <w:sz w:val="36"/>
          <w:szCs w:val="36"/>
        </w:rPr>
        <w:t>实施单位（公章）：</w:t>
      </w:r>
      <w:r>
        <w:rPr>
          <w:rFonts w:hint="eastAsia" w:ascii="仿宋_GB2312" w:hAnsi="仿宋_GB2312" w:eastAsia="仿宋_GB2312" w:cs="仿宋_GB2312"/>
          <w:kern w:val="0"/>
          <w:sz w:val="36"/>
          <w:szCs w:val="36"/>
          <w:lang w:eastAsia="zh-CN"/>
        </w:rPr>
        <w:t>地区电影放行放映公司</w:t>
      </w:r>
    </w:p>
    <w:p w14:paraId="29B5BF0B">
      <w:pPr>
        <w:spacing w:line="700" w:lineRule="exact"/>
        <w:ind w:firstLine="1440" w:firstLineChars="400"/>
        <w:jc w:val="both"/>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主管部门（公章）：</w:t>
      </w:r>
      <w:r>
        <w:rPr>
          <w:rFonts w:hint="eastAsia" w:ascii="仿宋_GB2312" w:hAnsi="仿宋_GB2312" w:eastAsia="仿宋_GB2312" w:cs="仿宋_GB2312"/>
          <w:kern w:val="0"/>
          <w:sz w:val="36"/>
          <w:szCs w:val="36"/>
          <w:lang w:eastAsia="zh-CN"/>
        </w:rPr>
        <w:t>地委宣传部</w:t>
      </w:r>
    </w:p>
    <w:p w14:paraId="7FD83876">
      <w:pPr>
        <w:spacing w:line="700" w:lineRule="exact"/>
        <w:ind w:firstLine="1440" w:firstLineChars="400"/>
        <w:jc w:val="both"/>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项目负责人（签章）：</w:t>
      </w:r>
      <w:r>
        <w:rPr>
          <w:rFonts w:hint="eastAsia" w:ascii="仿宋_GB2312" w:hAnsi="仿宋_GB2312" w:eastAsia="仿宋_GB2312" w:cs="仿宋_GB2312"/>
          <w:kern w:val="0"/>
          <w:sz w:val="36"/>
          <w:szCs w:val="36"/>
          <w:lang w:eastAsia="zh-CN"/>
        </w:rPr>
        <w:t>常寿兰</w:t>
      </w:r>
    </w:p>
    <w:p w14:paraId="33996410">
      <w:pPr>
        <w:spacing w:line="700" w:lineRule="exact"/>
        <w:ind w:firstLine="1440" w:firstLineChars="400"/>
        <w:jc w:val="both"/>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填报时间：</w:t>
      </w:r>
      <w:r>
        <w:rPr>
          <w:rFonts w:hint="eastAsia" w:ascii="仿宋_GB2312" w:hAnsi="仿宋_GB2312" w:eastAsia="仿宋_GB2312" w:cs="仿宋_GB2312"/>
          <w:kern w:val="0"/>
          <w:sz w:val="36"/>
          <w:szCs w:val="36"/>
          <w:lang w:val="en-US" w:eastAsia="zh-CN"/>
        </w:rPr>
        <w:t>2021</w:t>
      </w:r>
      <w:r>
        <w:rPr>
          <w:rFonts w:hint="eastAsia" w:ascii="仿宋_GB2312" w:hAnsi="仿宋_GB2312" w:eastAsia="仿宋_GB2312" w:cs="仿宋_GB2312"/>
          <w:kern w:val="0"/>
          <w:sz w:val="36"/>
          <w:szCs w:val="36"/>
        </w:rPr>
        <w:t>年</w:t>
      </w:r>
      <w:r>
        <w:rPr>
          <w:rFonts w:hint="eastAsia" w:ascii="仿宋_GB2312" w:hAnsi="仿宋_GB2312" w:eastAsia="仿宋_GB2312" w:cs="仿宋_GB2312"/>
          <w:kern w:val="0"/>
          <w:sz w:val="36"/>
          <w:szCs w:val="36"/>
          <w:lang w:val="en-US" w:eastAsia="zh-CN"/>
        </w:rPr>
        <w:t>3</w:t>
      </w:r>
      <w:r>
        <w:rPr>
          <w:rFonts w:hint="eastAsia" w:ascii="仿宋_GB2312" w:hAnsi="仿宋_GB2312" w:eastAsia="仿宋_GB2312" w:cs="仿宋_GB2312"/>
          <w:kern w:val="0"/>
          <w:sz w:val="36"/>
          <w:szCs w:val="36"/>
        </w:rPr>
        <w:t>月</w:t>
      </w:r>
      <w:r>
        <w:rPr>
          <w:rFonts w:hint="eastAsia" w:ascii="仿宋_GB2312" w:hAnsi="仿宋_GB2312" w:eastAsia="仿宋_GB2312" w:cs="仿宋_GB2312"/>
          <w:kern w:val="0"/>
          <w:sz w:val="36"/>
          <w:szCs w:val="36"/>
          <w:lang w:val="en-US" w:eastAsia="zh-CN"/>
        </w:rPr>
        <w:t>30</w:t>
      </w:r>
      <w:r>
        <w:rPr>
          <w:rFonts w:hint="eastAsia" w:ascii="仿宋_GB2312" w:hAnsi="仿宋_GB2312" w:eastAsia="仿宋_GB2312" w:cs="仿宋_GB2312"/>
          <w:kern w:val="0"/>
          <w:sz w:val="36"/>
          <w:szCs w:val="36"/>
        </w:rPr>
        <w:t>日</w:t>
      </w:r>
    </w:p>
    <w:p w14:paraId="25BC3C59">
      <w:pPr>
        <w:spacing w:line="540" w:lineRule="exact"/>
        <w:jc w:val="center"/>
        <w:rPr>
          <w:rFonts w:hAnsi="宋体" w:eastAsia="仿宋_GB2312" w:cs="宋体"/>
          <w:kern w:val="0"/>
          <w:sz w:val="30"/>
          <w:szCs w:val="30"/>
        </w:rPr>
      </w:pPr>
    </w:p>
    <w:p w14:paraId="64E0556F">
      <w:pPr>
        <w:spacing w:line="600" w:lineRule="exact"/>
        <w:ind w:firstLine="3840" w:firstLineChars="1200"/>
        <w:jc w:val="both"/>
        <w:rPr>
          <w:rFonts w:hint="eastAsia" w:ascii="黑体" w:hAnsi="黑体" w:eastAsia="黑体" w:cs="黑体"/>
          <w:bCs/>
          <w:sz w:val="32"/>
          <w:szCs w:val="32"/>
          <w:lang w:val="en-US" w:eastAsia="zh-CN"/>
        </w:rPr>
      </w:pPr>
    </w:p>
    <w:p w14:paraId="22F99792">
      <w:pPr>
        <w:spacing w:line="600" w:lineRule="exact"/>
        <w:ind w:firstLine="3840" w:firstLineChars="1200"/>
        <w:jc w:val="both"/>
        <w:rPr>
          <w:rFonts w:hint="eastAsia" w:ascii="黑体" w:hAnsi="黑体" w:eastAsia="黑体" w:cs="黑体"/>
          <w:bCs/>
          <w:sz w:val="32"/>
          <w:szCs w:val="32"/>
          <w:lang w:val="en-US" w:eastAsia="zh-CN"/>
        </w:rPr>
      </w:pPr>
    </w:p>
    <w:p w14:paraId="1B3D7176">
      <w:pPr>
        <w:spacing w:line="600" w:lineRule="exact"/>
        <w:ind w:firstLine="3840" w:firstLineChars="1200"/>
        <w:jc w:val="both"/>
        <w:rPr>
          <w:rFonts w:hint="eastAsia" w:ascii="黑体" w:hAnsi="黑体" w:eastAsia="黑体" w:cs="黑体"/>
          <w:bCs/>
          <w:sz w:val="32"/>
          <w:szCs w:val="32"/>
          <w:lang w:val="en-US" w:eastAsia="zh-CN"/>
        </w:rPr>
      </w:pPr>
    </w:p>
    <w:p w14:paraId="3E4DB95B">
      <w:pPr>
        <w:rPr>
          <w:rFonts w:hint="eastAsia" w:ascii="黑体" w:hAnsi="黑体" w:eastAsia="黑体" w:cs="黑体"/>
          <w:bCs/>
          <w:sz w:val="32"/>
          <w:szCs w:val="32"/>
        </w:rPr>
      </w:pPr>
      <w:r>
        <w:rPr>
          <w:rFonts w:hint="eastAsia" w:ascii="黑体" w:hAnsi="黑体" w:eastAsia="黑体" w:cs="黑体"/>
          <w:bCs/>
          <w:sz w:val="32"/>
          <w:szCs w:val="32"/>
        </w:rPr>
        <w:br w:type="page"/>
      </w:r>
    </w:p>
    <w:p w14:paraId="4124B12F">
      <w:pPr>
        <w:spacing w:line="600" w:lineRule="exact"/>
        <w:jc w:val="both"/>
        <w:rPr>
          <w:rFonts w:ascii="黑体" w:hAnsi="黑体" w:eastAsia="黑体" w:cs="黑体"/>
          <w:bCs/>
          <w:sz w:val="32"/>
          <w:szCs w:val="32"/>
        </w:rPr>
      </w:pPr>
      <w:r>
        <w:rPr>
          <w:rFonts w:hint="eastAsia" w:ascii="黑体" w:hAnsi="黑体" w:eastAsia="黑体" w:cs="黑体"/>
          <w:bCs/>
          <w:sz w:val="32"/>
          <w:szCs w:val="32"/>
        </w:rPr>
        <w:t>一、基本情况</w:t>
      </w:r>
    </w:p>
    <w:p w14:paraId="3870AC6F">
      <w:pPr>
        <w:spacing w:line="600" w:lineRule="exac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14:paraId="26D7C3B8">
      <w:pPr>
        <w:spacing w:line="600" w:lineRule="exac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14:paraId="4973B525">
      <w:pPr>
        <w:keepNext w:val="0"/>
        <w:keepLines w:val="0"/>
        <w:pageBreakBefore w:val="0"/>
        <w:kinsoku/>
        <w:wordWrap/>
        <w:overflowPunct/>
        <w:topLinePunct w:val="0"/>
        <w:autoSpaceDE/>
        <w:bidi w:val="0"/>
        <w:adjustRightInd/>
        <w:snapToGrid/>
        <w:spacing w:line="560" w:lineRule="atLeas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（1）项目实施的政策背景</w:t>
      </w:r>
    </w:p>
    <w:p w14:paraId="08A4BA3B">
      <w:pPr>
        <w:pStyle w:val="2"/>
        <w:keepNext w:val="0"/>
        <w:keepLines w:val="0"/>
        <w:pageBreakBefore w:val="0"/>
        <w:kinsoku/>
        <w:wordWrap/>
        <w:overflowPunct/>
        <w:topLinePunct w:val="0"/>
        <w:autoSpaceDE/>
        <w:bidi w:val="0"/>
        <w:adjustRightInd/>
        <w:snapToGrid/>
        <w:spacing w:before="0" w:after="0" w:line="560" w:lineRule="atLeast"/>
        <w:ind w:firstLine="640" w:firstLineChars="200"/>
        <w:jc w:val="both"/>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根据地委文件精神以及塔城地区电影放行放映公司职能，将塔城地区电影放行放映公司工作人员的工资、社保、日常公用经费等纳入财政预算，编制此项目。</w:t>
      </w:r>
    </w:p>
    <w:p w14:paraId="5C20278A">
      <w:pPr>
        <w:pStyle w:val="2"/>
        <w:keepNext w:val="0"/>
        <w:keepLines w:val="0"/>
        <w:pageBreakBefore w:val="0"/>
        <w:numPr>
          <w:ilvl w:val="0"/>
          <w:numId w:val="1"/>
        </w:numPr>
        <w:kinsoku/>
        <w:wordWrap/>
        <w:overflowPunct/>
        <w:topLinePunct w:val="0"/>
        <w:autoSpaceDE/>
        <w:bidi w:val="0"/>
        <w:adjustRightInd/>
        <w:snapToGrid/>
        <w:spacing w:before="0" w:after="0" w:line="560" w:lineRule="atLeast"/>
        <w:ind w:firstLine="640" w:firstLineChars="200"/>
        <w:jc w:val="both"/>
        <w:rPr>
          <w:rFonts w:hint="eastAsia" w:ascii="仿宋_GB2312" w:hAnsi="仿宋_GB2312" w:eastAsia="仿宋_GB2312" w:cs="仿宋_GB2312"/>
          <w:b w:val="0"/>
          <w:bCs w:val="0"/>
          <w:kern w:val="0"/>
        </w:rPr>
      </w:pPr>
      <w:r>
        <w:rPr>
          <w:rFonts w:hint="eastAsia" w:ascii="仿宋_GB2312" w:hAnsi="仿宋_GB2312" w:eastAsia="仿宋_GB2312" w:cs="仿宋_GB2312"/>
          <w:b w:val="0"/>
          <w:bCs w:val="0"/>
          <w:kern w:val="0"/>
        </w:rPr>
        <w:t>项目实施的历史概况</w:t>
      </w:r>
    </w:p>
    <w:p w14:paraId="645AD7C6">
      <w:pPr>
        <w:keepNext w:val="0"/>
        <w:keepLines w:val="0"/>
        <w:pageBreakBefore w:val="0"/>
        <w:kinsoku/>
        <w:wordWrap/>
        <w:overflowPunct/>
        <w:topLinePunct w:val="0"/>
        <w:autoSpaceDE/>
        <w:bidi w:val="0"/>
        <w:adjustRightInd/>
        <w:snapToGrid/>
        <w:spacing w:line="560" w:lineRule="atLeast"/>
        <w:ind w:firstLine="640" w:firstLineChars="200"/>
        <w:rPr>
          <w:rFonts w:hint="default" w:ascii="仿宋_GB2312" w:eastAsia="仿宋_GB2312" w:cs="Times New Roman"/>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塔城地区电影放行放映公司自1989年成立以来一直以国有企业身份运行，自国家颁布对电影发行放映管理工作文件后，塔城地区在2013年将本级</w:t>
      </w:r>
      <w:r>
        <w:rPr>
          <w:rFonts w:hint="eastAsia" w:ascii="仿宋_GB2312" w:eastAsia="仿宋_GB2312" w:cs="Times New Roman"/>
          <w:b w:val="0"/>
          <w:bCs w:val="0"/>
          <w:kern w:val="2"/>
          <w:sz w:val="32"/>
          <w:szCs w:val="32"/>
          <w:lang w:val="en-US" w:eastAsia="zh-CN" w:bidi="ar-SA"/>
        </w:rPr>
        <w:t>电影发行放映公司支出纳入财政预算，塔城地区电影发行放映公司前身属于塔城地区文广局下属单位，自2019年机构改革后划分在塔城地委宣传部。</w:t>
      </w:r>
    </w:p>
    <w:p w14:paraId="03DB8DFA">
      <w:pPr>
        <w:keepNext w:val="0"/>
        <w:keepLines w:val="0"/>
        <w:pageBreakBefore w:val="0"/>
        <w:numPr>
          <w:ilvl w:val="0"/>
          <w:numId w:val="0"/>
        </w:numPr>
        <w:kinsoku/>
        <w:wordWrap/>
        <w:overflowPunct/>
        <w:topLinePunct w:val="0"/>
        <w:autoSpaceDE/>
        <w:bidi w:val="0"/>
        <w:adjustRightInd/>
        <w:snapToGrid/>
        <w:spacing w:line="560" w:lineRule="atLeas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项目主要内容及实施情况</w:t>
      </w:r>
    </w:p>
    <w:p w14:paraId="52606F05">
      <w:pPr>
        <w:keepNext w:val="0"/>
        <w:keepLines w:val="0"/>
        <w:pageBreakBefore w:val="0"/>
        <w:kinsoku/>
        <w:wordWrap/>
        <w:overflowPunct/>
        <w:topLinePunct w:val="0"/>
        <w:autoSpaceDE/>
        <w:bidi w:val="0"/>
        <w:adjustRightInd/>
        <w:snapToGrid/>
        <w:spacing w:line="560" w:lineRule="atLeast"/>
        <w:ind w:firstLine="640" w:firstLineChars="200"/>
        <w:rPr>
          <w:rFonts w:hint="eastAsia" w:ascii="仿宋_GB2312" w:hAnsi="仿宋_GB2312" w:eastAsia="仿宋_GB2312" w:cs="仿宋_GB2312"/>
          <w:b w:val="0"/>
          <w:bCs w:val="0"/>
          <w:kern w:val="2"/>
          <w:highlight w:val="yellow"/>
          <w:lang w:val="en-US" w:eastAsia="zh-CN"/>
        </w:rPr>
      </w:pPr>
      <w:r>
        <w:rPr>
          <w:rFonts w:hint="eastAsia" w:ascii="仿宋_GB2312" w:eastAsia="仿宋_GB2312" w:cs="Times New Roman"/>
          <w:b w:val="0"/>
          <w:bCs w:val="0"/>
          <w:kern w:val="2"/>
          <w:sz w:val="32"/>
          <w:szCs w:val="32"/>
          <w:lang w:val="en-US" w:eastAsia="zh-CN" w:bidi="ar-SA"/>
        </w:rPr>
        <w:t>项目主要内容：</w:t>
      </w:r>
      <w:r>
        <w:rPr>
          <w:rFonts w:hint="eastAsia" w:ascii="仿宋_GB2312" w:eastAsia="仿宋_GB2312" w:cs="Times New Roman"/>
          <w:b w:val="0"/>
          <w:bCs w:val="0"/>
          <w:kern w:val="2"/>
          <w:sz w:val="32"/>
          <w:szCs w:val="32"/>
          <w:lang w:val="en-US" w:eastAsia="zh-CN" w:bidi="ar-SA"/>
        </w:rPr>
        <w:fldChar w:fldCharType="begin">
          <w:fldData xml:space="preserve">QwAwADcARAA0AEMARQBBADEANgBBADkANAA2AEMANAA5ADkANwAwADAANwA4AEUAOQA4ADQARQBD
AEYAQgAxAA==
</w:fldData>
        </w:fldChar>
      </w:r>
      <w:r>
        <w:rPr>
          <w:rFonts w:hint="eastAsia" w:ascii="仿宋_GB2312" w:eastAsia="仿宋_GB2312" w:cs="Times New Roman"/>
          <w:b w:val="0"/>
          <w:bCs w:val="0"/>
          <w:kern w:val="2"/>
          <w:sz w:val="32"/>
          <w:szCs w:val="32"/>
          <w:lang w:val="en-US" w:eastAsia="zh-CN" w:bidi="ar-SA"/>
        </w:rPr>
        <w:instrText xml:space="preserve">Addin (二)项目预算绩效目标设定情况</w:instrText>
      </w:r>
      <w:r>
        <w:rPr>
          <w:rFonts w:hint="eastAsia" w:ascii="仿宋_GB2312" w:eastAsia="仿宋_GB2312" w:cs="Times New Roman"/>
          <w:b w:val="0"/>
          <w:bCs w:val="0"/>
          <w:kern w:val="2"/>
          <w:sz w:val="32"/>
          <w:szCs w:val="32"/>
          <w:lang w:val="en-US" w:eastAsia="zh-CN" w:bidi="ar-SA"/>
        </w:rPr>
        <w:fldChar w:fldCharType="separate"/>
      </w:r>
      <w:r>
        <w:rPr>
          <w:rFonts w:hint="eastAsia" w:ascii="仿宋_GB2312" w:eastAsia="仿宋_GB2312" w:cs="Times New Roman"/>
          <w:b w:val="0"/>
          <w:bCs w:val="0"/>
          <w:kern w:val="2"/>
          <w:sz w:val="32"/>
          <w:szCs w:val="32"/>
          <w:lang w:val="en-US" w:eastAsia="zh-CN" w:bidi="ar-SA"/>
        </w:rPr>
        <w:t>为进一步抓好农村放映队伍的建设，提高放映员的政治素质和业务技术水平，以优质的服务态度，声光俱佳的放映质量，为广大农民群众做好服务，把农村公益电影放映工作深入持久地开展下去，圆满地完成上级下达的农村公益放映目标任务。结合地区各种节庆、重要活动和主题宣传，在全区范围内组织开展了“贯彻十九大精神、文化大繁荣大发展”、“我的中国梦—文化进万家”、“优秀国产影片进军营”、“爱国主义影片进校园”、 “文化扶贫”、扫黑除恶、“民族团结一家亲”、 庆祝新中国成立70周年“我和我的祖国”等主题电影放映活动。积极开展电影小分队进军营、进工地、进学校、进福利院、进企业、进乡村“六进”活动。把党和政府的惠民政策真正落到实处。为了充分发挥好电影这个媒体，在维护社会稳定方面的积极作用。不断扩大我区农村电影的放映覆盖面和影响力，提高放映质量和放映效果，努力让更多的农牧民群众能看到、看懂、看好电影，实现和保障农牧民群众的基本文化权益，丰富广大农牧民群众的精神文化生活。</w:t>
      </w:r>
      <w:r>
        <w:rPr>
          <w:rFonts w:hint="eastAsia" w:ascii="仿宋_GB2312" w:eastAsia="仿宋_GB2312" w:cs="Times New Roman"/>
          <w:b w:val="0"/>
          <w:bCs w:val="0"/>
          <w:kern w:val="2"/>
          <w:sz w:val="32"/>
          <w:szCs w:val="32"/>
          <w:lang w:val="en-US" w:eastAsia="zh-CN" w:bidi="ar-SA"/>
        </w:rPr>
        <w:fldChar w:fldCharType="end"/>
      </w:r>
    </w:p>
    <w:p w14:paraId="67395120">
      <w:pPr>
        <w:keepNext w:val="0"/>
        <w:keepLines w:val="0"/>
        <w:pageBreakBefore w:val="0"/>
        <w:kinsoku/>
        <w:wordWrap/>
        <w:overflowPunct/>
        <w:topLinePunct w:val="0"/>
        <w:autoSpaceDE/>
        <w:bidi w:val="0"/>
        <w:adjustRightInd/>
        <w:snapToGrid/>
        <w:spacing w:line="560" w:lineRule="atLeast"/>
        <w:ind w:firstLine="640" w:firstLineChars="200"/>
        <w:rPr>
          <w:rFonts w:ascii="仿宋_GB2312" w:eastAsia="仿宋_GB2312"/>
          <w:sz w:val="32"/>
          <w:szCs w:val="32"/>
        </w:rPr>
      </w:pPr>
      <w:r>
        <w:rPr>
          <w:rFonts w:hint="eastAsia" w:ascii="仿宋_GB2312" w:hAnsi="仿宋_GB2312" w:eastAsia="仿宋_GB2312" w:cs="仿宋_GB2312"/>
          <w:sz w:val="32"/>
          <w:szCs w:val="32"/>
        </w:rPr>
        <w:t>项目实施情况：</w:t>
      </w:r>
      <w:r>
        <w:rPr>
          <w:rFonts w:hint="eastAsia" w:ascii="仿宋_GB2312" w:eastAsia="仿宋_GB2312"/>
          <w:sz w:val="32"/>
          <w:szCs w:val="32"/>
        </w:rPr>
        <w:t>贯彻落实国家、自治区和地区有关农村电影发行放映工作的法律法规和政策，制定地区农村电影放映场次的规划和目标，并负责组织实施。监督检查各县（市）配套资金与设备、技术、人员的落实与使用，全面加强动态管理，完成自治区和地区下达的各项电影工作任务。</w:t>
      </w:r>
    </w:p>
    <w:p w14:paraId="1A4FF390">
      <w:pPr>
        <w:keepNext w:val="0"/>
        <w:keepLines w:val="0"/>
        <w:pageBreakBefore w:val="0"/>
        <w:kinsoku/>
        <w:wordWrap/>
        <w:overflowPunct/>
        <w:topLinePunct w:val="0"/>
        <w:autoSpaceDE/>
        <w:bidi w:val="0"/>
        <w:adjustRightInd/>
        <w:snapToGrid/>
        <w:spacing w:line="560" w:lineRule="atLeast"/>
        <w:ind w:firstLine="579" w:firstLineChars="181"/>
        <w:rPr>
          <w:rFonts w:ascii="仿宋_GB2312" w:hAnsi="仿宋_GB2312" w:eastAsia="仿宋_GB2312" w:cs="仿宋_GB2312"/>
          <w:sz w:val="32"/>
          <w:szCs w:val="32"/>
        </w:rPr>
      </w:pPr>
      <w:r>
        <w:rPr>
          <w:rFonts w:hint="eastAsia" w:ascii="仿宋_GB2312" w:hAnsi="仿宋_GB2312" w:eastAsia="仿宋_GB2312" w:cs="仿宋_GB2312"/>
          <w:sz w:val="32"/>
          <w:szCs w:val="32"/>
        </w:rPr>
        <w:t>本项目总投资</w:t>
      </w:r>
      <w:r>
        <w:rPr>
          <w:rFonts w:hint="eastAsia" w:ascii="仿宋_GB2312" w:hAnsi="仿宋_GB2312" w:eastAsia="仿宋_GB2312" w:cs="仿宋_GB2312"/>
          <w:bCs/>
          <w:color w:val="000000"/>
          <w:sz w:val="32"/>
          <w:szCs w:val="32"/>
          <w:lang w:val="en-US" w:eastAsia="zh-CN"/>
        </w:rPr>
        <w:t>67.98万</w:t>
      </w:r>
      <w:r>
        <w:rPr>
          <w:rFonts w:hint="eastAsia" w:ascii="仿宋_GB2312" w:hAnsi="仿宋_GB2312" w:eastAsia="仿宋_GB2312" w:cs="仿宋_GB2312"/>
          <w:sz w:val="32"/>
          <w:szCs w:val="32"/>
        </w:rPr>
        <w:t>元，其中：财政本级资金</w:t>
      </w:r>
      <w:r>
        <w:rPr>
          <w:rFonts w:hint="eastAsia" w:ascii="仿宋_GB2312" w:hAnsi="仿宋_GB2312" w:eastAsia="仿宋_GB2312" w:cs="仿宋_GB2312"/>
          <w:bCs/>
          <w:color w:val="000000"/>
          <w:sz w:val="32"/>
          <w:szCs w:val="32"/>
          <w:lang w:val="en-US" w:eastAsia="zh-CN"/>
        </w:rPr>
        <w:t>67.98</w:t>
      </w:r>
      <w:r>
        <w:rPr>
          <w:rFonts w:hint="eastAsia" w:ascii="仿宋_GB2312" w:hAnsi="仿宋_GB2312" w:eastAsia="仿宋_GB2312" w:cs="仿宋_GB2312"/>
          <w:sz w:val="32"/>
          <w:szCs w:val="32"/>
        </w:rPr>
        <w:t>万元。项目实际支出</w:t>
      </w:r>
      <w:r>
        <w:rPr>
          <w:rFonts w:hint="eastAsia" w:ascii="仿宋_GB2312" w:hAnsi="仿宋_GB2312" w:eastAsia="仿宋_GB2312" w:cs="仿宋_GB2312"/>
          <w:bCs/>
          <w:color w:val="000000"/>
          <w:sz w:val="32"/>
          <w:szCs w:val="32"/>
          <w:lang w:val="en-US" w:eastAsia="zh-CN"/>
        </w:rPr>
        <w:t>67.98</w:t>
      </w:r>
      <w:r>
        <w:rPr>
          <w:rFonts w:hint="eastAsia" w:ascii="仿宋_GB2312" w:hAnsi="仿宋_GB2312" w:eastAsia="仿宋_GB2312" w:cs="仿宋_GB2312"/>
          <w:sz w:val="32"/>
          <w:szCs w:val="32"/>
        </w:rPr>
        <w:t>万元，支出率为100%。</w:t>
      </w:r>
    </w:p>
    <w:p w14:paraId="0F2BA425">
      <w:pPr>
        <w:keepNext w:val="0"/>
        <w:keepLines w:val="0"/>
        <w:pageBreakBefore w:val="0"/>
        <w:kinsoku/>
        <w:wordWrap/>
        <w:overflowPunct/>
        <w:topLinePunct w:val="0"/>
        <w:autoSpaceDE/>
        <w:bidi w:val="0"/>
        <w:adjustRightInd/>
        <w:snapToGrid/>
        <w:spacing w:line="560" w:lineRule="atLeas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3、资金投入和使用情况</w:t>
      </w:r>
    </w:p>
    <w:p w14:paraId="79E19025">
      <w:pPr>
        <w:keepNext w:val="0"/>
        <w:keepLines w:val="0"/>
        <w:pageBreakBefore w:val="0"/>
        <w:kinsoku/>
        <w:wordWrap/>
        <w:overflowPunct/>
        <w:topLinePunct w:val="0"/>
        <w:autoSpaceDE/>
        <w:bidi w:val="0"/>
        <w:adjustRightInd/>
        <w:snapToGrid/>
        <w:spacing w:line="560" w:lineRule="atLeast"/>
        <w:ind w:firstLine="641"/>
        <w:rPr>
          <w:rFonts w:ascii="仿宋_GB2312" w:hAnsi="仿宋_GB2312" w:eastAsia="仿宋_GB2312" w:cs="仿宋_GB2312"/>
          <w:sz w:val="20"/>
          <w:szCs w:val="20"/>
        </w:rPr>
      </w:pPr>
      <w:r>
        <w:rPr>
          <w:rFonts w:hint="eastAsia" w:ascii="仿宋_GB2312" w:hAnsi="仿宋_GB2312" w:eastAsia="仿宋_GB2312" w:cs="仿宋_GB2312"/>
          <w:sz w:val="32"/>
          <w:szCs w:val="32"/>
        </w:rPr>
        <w:t>（1）资金安排</w:t>
      </w:r>
    </w:p>
    <w:p w14:paraId="38CF025F">
      <w:pPr>
        <w:keepNext w:val="0"/>
        <w:keepLines w:val="0"/>
        <w:pageBreakBefore w:val="0"/>
        <w:pBdr>
          <w:top w:val="none" w:color="000000" w:sz="0" w:space="3"/>
          <w:left w:val="none" w:color="000000" w:sz="0" w:space="0"/>
          <w:bottom w:val="none" w:color="000000" w:sz="0" w:space="30"/>
          <w:right w:val="none" w:color="000000" w:sz="0" w:space="5"/>
        </w:pBdr>
        <w:kinsoku/>
        <w:wordWrap/>
        <w:overflowPunct/>
        <w:topLinePunct w:val="0"/>
        <w:autoSpaceDE/>
        <w:autoSpaceDN w:val="0"/>
        <w:bidi w:val="0"/>
        <w:adjustRightInd/>
        <w:snapToGrid/>
        <w:spacing w:line="560" w:lineRule="atLeast"/>
        <w:ind w:firstLine="640" w:firstLineChars="200"/>
        <w:textAlignment w:val="baseline"/>
        <w:rPr>
          <w:rFonts w:hint="eastAsia" w:ascii="仿宋_GB2312" w:hAnsi="仿宋_GB2312" w:eastAsia="仿宋_GB2312" w:cs="仿宋_GB2312"/>
          <w:bCs/>
          <w:color w:val="000000"/>
          <w:sz w:val="32"/>
          <w:szCs w:val="32"/>
        </w:rPr>
      </w:pPr>
      <w:r>
        <w:rPr>
          <w:rFonts w:hint="eastAsia" w:ascii="仿宋_GB2312" w:hAnsi="仿宋_GB2312" w:eastAsia="仿宋_GB2312" w:cs="仿宋_GB2312"/>
          <w:sz w:val="32"/>
          <w:szCs w:val="32"/>
        </w:rPr>
        <w:t>项目总投资</w:t>
      </w:r>
      <w:r>
        <w:rPr>
          <w:rFonts w:hint="eastAsia" w:ascii="仿宋_GB2312" w:hAnsi="仿宋_GB2312" w:eastAsia="仿宋_GB2312" w:cs="仿宋_GB2312"/>
          <w:bCs/>
          <w:color w:val="000000"/>
          <w:sz w:val="32"/>
          <w:szCs w:val="32"/>
          <w:lang w:val="en-US" w:eastAsia="zh-CN"/>
        </w:rPr>
        <w:t>67.98元</w:t>
      </w:r>
      <w:r>
        <w:rPr>
          <w:rFonts w:hint="eastAsia" w:ascii="仿宋_GB2312" w:hAnsi="仿宋_GB2312" w:eastAsia="仿宋_GB2312" w:cs="仿宋_GB2312"/>
          <w:sz w:val="32"/>
          <w:szCs w:val="32"/>
        </w:rPr>
        <w:t>万元，</w:t>
      </w:r>
      <w:r>
        <w:rPr>
          <w:rFonts w:hint="eastAsia" w:ascii="仿宋_GB2312" w:hAnsi="仿宋_GB2312" w:eastAsia="仿宋_GB2312" w:cs="仿宋_GB2312"/>
          <w:bCs/>
          <w:color w:val="000000"/>
          <w:sz w:val="32"/>
          <w:szCs w:val="32"/>
          <w:lang w:eastAsia="zh-CN"/>
        </w:rPr>
        <w:t>根据</w:t>
      </w:r>
      <w:bookmarkStart w:id="2" w:name="_GoBack"/>
      <w:bookmarkEnd w:id="2"/>
      <w:r>
        <w:rPr>
          <w:rFonts w:hint="eastAsia" w:ascii="仿宋_GB2312" w:hAnsi="仿宋_GB2312" w:eastAsia="仿宋_GB2312" w:cs="仿宋_GB2312"/>
          <w:bCs/>
          <w:color w:val="000000"/>
          <w:sz w:val="32"/>
          <w:szCs w:val="32"/>
          <w:lang w:eastAsia="zh-CN"/>
        </w:rPr>
        <w:t>地委文件精神</w:t>
      </w:r>
      <w:r>
        <w:rPr>
          <w:rFonts w:hint="eastAsia" w:ascii="仿宋_GB2312" w:hAnsi="仿宋_GB2312" w:eastAsia="仿宋_GB2312" w:cs="仿宋_GB2312"/>
          <w:bCs/>
          <w:color w:val="000000"/>
          <w:sz w:val="32"/>
          <w:szCs w:val="32"/>
          <w:lang w:val="en-US" w:eastAsia="zh-CN"/>
        </w:rPr>
        <w:t>，全年所需经费67.98元，</w:t>
      </w:r>
      <w:r>
        <w:rPr>
          <w:rFonts w:hint="eastAsia" w:ascii="仿宋_GB2312" w:hAnsi="仿宋_GB2312" w:eastAsia="仿宋_GB2312" w:cs="仿宋_GB2312"/>
          <w:sz w:val="32"/>
          <w:szCs w:val="32"/>
        </w:rPr>
        <w:t>按照《</w:t>
      </w:r>
      <w:r>
        <w:rPr>
          <w:rFonts w:hint="eastAsia" w:ascii="仿宋_GB2312" w:hAnsi="仿宋_GB2312" w:eastAsia="仿宋_GB2312" w:cs="仿宋_GB2312"/>
          <w:sz w:val="32"/>
          <w:szCs w:val="32"/>
          <w:lang w:val="en-US" w:eastAsia="zh-CN"/>
        </w:rPr>
        <w:t>专项</w:t>
      </w:r>
      <w:r>
        <w:rPr>
          <w:rFonts w:hint="eastAsia" w:ascii="仿宋_GB2312" w:hAnsi="仿宋_GB2312" w:eastAsia="仿宋_GB2312" w:cs="仿宋_GB2312"/>
          <w:sz w:val="32"/>
          <w:szCs w:val="32"/>
        </w:rPr>
        <w:t>资金管理办法》及单位财务制度等相关规定，资金支出符合专项资金费用范围，做到了专款专用。在项目资金拨付和使用过程中，为确保项目资金的安全性，提高项目资金使用效率，</w:t>
      </w:r>
      <w:r>
        <w:rPr>
          <w:rFonts w:hint="eastAsia" w:ascii="仿宋_GB2312" w:hAnsi="仿宋_GB2312" w:eastAsia="仿宋_GB2312" w:cs="仿宋_GB2312"/>
          <w:bCs/>
          <w:color w:val="000000"/>
          <w:sz w:val="32"/>
          <w:szCs w:val="32"/>
        </w:rPr>
        <w:t>项目资金管理方面严格按政策口径把关。在资金下达后，按计划组织实施，不超预算，确保各项任务顺利完成。</w:t>
      </w:r>
    </w:p>
    <w:p w14:paraId="15B76FFC">
      <w:pPr>
        <w:keepNext w:val="0"/>
        <w:keepLines w:val="0"/>
        <w:pageBreakBefore w:val="0"/>
        <w:numPr>
          <w:ilvl w:val="0"/>
          <w:numId w:val="0"/>
        </w:numPr>
        <w:pBdr>
          <w:top w:val="none" w:color="000000" w:sz="0" w:space="3"/>
          <w:left w:val="none" w:color="000000" w:sz="0" w:space="0"/>
          <w:bottom w:val="none" w:color="000000" w:sz="0" w:space="30"/>
          <w:right w:val="none" w:color="000000" w:sz="0" w:space="5"/>
        </w:pBdr>
        <w:kinsoku/>
        <w:wordWrap/>
        <w:overflowPunct/>
        <w:topLinePunct w:val="0"/>
        <w:autoSpaceDE/>
        <w:autoSpaceDN w:val="0"/>
        <w:bidi w:val="0"/>
        <w:adjustRightInd/>
        <w:snapToGrid/>
        <w:spacing w:line="560" w:lineRule="atLeast"/>
        <w:ind w:left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）预算资金来源及使用情况</w:t>
      </w:r>
      <w:bookmarkStart w:id="0" w:name="page10"/>
      <w:bookmarkEnd w:id="0"/>
    </w:p>
    <w:p w14:paraId="4D66A422">
      <w:pPr>
        <w:keepNext w:val="0"/>
        <w:keepLines w:val="0"/>
        <w:pageBreakBefore w:val="0"/>
        <w:numPr>
          <w:ilvl w:val="0"/>
          <w:numId w:val="0"/>
        </w:numPr>
        <w:pBdr>
          <w:top w:val="none" w:color="000000" w:sz="0" w:space="3"/>
          <w:left w:val="none" w:color="000000" w:sz="0" w:space="0"/>
          <w:bottom w:val="none" w:color="000000" w:sz="0" w:space="30"/>
          <w:right w:val="none" w:color="000000" w:sz="0" w:space="5"/>
        </w:pBdr>
        <w:kinsoku/>
        <w:wordWrap/>
        <w:overflowPunct/>
        <w:topLinePunct w:val="0"/>
        <w:autoSpaceDE/>
        <w:autoSpaceDN w:val="0"/>
        <w:bidi w:val="0"/>
        <w:adjustRightInd/>
        <w:snapToGrid/>
        <w:spacing w:line="560" w:lineRule="atLeas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项目预算资金来源于</w:t>
      </w:r>
      <w:r>
        <w:rPr>
          <w:rFonts w:hint="eastAsia" w:ascii="仿宋_GB2312" w:hAnsi="仿宋_GB2312" w:eastAsia="仿宋_GB2312" w:cs="仿宋_GB2312"/>
          <w:sz w:val="32"/>
          <w:szCs w:val="32"/>
          <w:lang w:eastAsia="zh-CN"/>
        </w:rPr>
        <w:t>地委文件精神</w:t>
      </w:r>
      <w:r>
        <w:rPr>
          <w:rFonts w:hint="eastAsia" w:ascii="仿宋_GB2312" w:hAnsi="仿宋_GB2312" w:eastAsia="仿宋_GB2312" w:cs="仿宋_GB2312"/>
          <w:sz w:val="32"/>
          <w:szCs w:val="32"/>
        </w:rPr>
        <w:t>文件中批复的资金，项目资金到位</w:t>
      </w:r>
      <w:r>
        <w:rPr>
          <w:rFonts w:hint="eastAsia" w:ascii="仿宋_GB2312" w:hAnsi="仿宋_GB2312" w:eastAsia="仿宋_GB2312" w:cs="仿宋_GB2312"/>
          <w:bCs/>
          <w:color w:val="000000"/>
          <w:sz w:val="32"/>
          <w:szCs w:val="32"/>
          <w:lang w:val="en-US" w:eastAsia="zh-CN"/>
        </w:rPr>
        <w:t>67.98万</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val="en-US" w:eastAsia="zh-CN"/>
        </w:rPr>
        <w:t>实际支出67.98万元，</w:t>
      </w:r>
      <w:r>
        <w:rPr>
          <w:rFonts w:hint="eastAsia" w:ascii="仿宋_GB2312" w:hAnsi="仿宋_GB2312" w:eastAsia="仿宋_GB2312" w:cs="仿宋_GB2312"/>
          <w:sz w:val="32"/>
          <w:szCs w:val="32"/>
        </w:rPr>
        <w:t>用于支付</w:t>
      </w:r>
      <w:r>
        <w:rPr>
          <w:rFonts w:hint="eastAsia" w:ascii="仿宋_GB2312" w:hAnsi="仿宋_GB2312" w:eastAsia="仿宋_GB2312" w:cs="仿宋_GB2312"/>
          <w:sz w:val="32"/>
          <w:szCs w:val="32"/>
          <w:lang w:eastAsia="zh-CN"/>
        </w:rPr>
        <w:t>地区电影公司在职人员工资等运行经费</w:t>
      </w:r>
      <w:r>
        <w:rPr>
          <w:rFonts w:hint="eastAsia" w:ascii="仿宋_GB2312" w:hAnsi="仿宋_GB2312" w:eastAsia="仿宋_GB2312" w:cs="仿宋_GB2312"/>
          <w:sz w:val="32"/>
          <w:szCs w:val="32"/>
        </w:rPr>
        <w:t>项目实施进程中的各项费用。</w:t>
      </w:r>
    </w:p>
    <w:p w14:paraId="4D7FC5B2">
      <w:pPr>
        <w:keepNext w:val="0"/>
        <w:keepLines w:val="0"/>
        <w:pageBreakBefore w:val="0"/>
        <w:numPr>
          <w:ilvl w:val="0"/>
          <w:numId w:val="2"/>
        </w:numPr>
        <w:pBdr>
          <w:top w:val="none" w:color="000000" w:sz="0" w:space="3"/>
          <w:left w:val="none" w:color="000000" w:sz="0" w:space="0"/>
          <w:bottom w:val="none" w:color="000000" w:sz="0" w:space="30"/>
          <w:right w:val="none" w:color="000000" w:sz="0" w:space="5"/>
        </w:pBdr>
        <w:kinsoku/>
        <w:wordWrap/>
        <w:overflowPunct/>
        <w:topLinePunct w:val="0"/>
        <w:autoSpaceDE/>
        <w:autoSpaceDN w:val="0"/>
        <w:bidi w:val="0"/>
        <w:adjustRightInd/>
        <w:snapToGrid/>
        <w:spacing w:line="560" w:lineRule="atLeast"/>
        <w:ind w:firstLine="643" w:firstLineChars="200"/>
        <w:textAlignment w:val="baseline"/>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项目绩效目标</w:t>
      </w:r>
    </w:p>
    <w:p w14:paraId="7A7571CE">
      <w:pPr>
        <w:keepNext w:val="0"/>
        <w:keepLines w:val="0"/>
        <w:pageBreakBefore w:val="0"/>
        <w:numPr>
          <w:ilvl w:val="0"/>
          <w:numId w:val="0"/>
        </w:numPr>
        <w:pBdr>
          <w:top w:val="none" w:color="000000" w:sz="0" w:space="3"/>
          <w:left w:val="none" w:color="000000" w:sz="0" w:space="0"/>
          <w:bottom w:val="none" w:color="000000" w:sz="0" w:space="30"/>
          <w:right w:val="none" w:color="000000" w:sz="0" w:space="5"/>
        </w:pBdr>
        <w:kinsoku/>
        <w:wordWrap/>
        <w:overflowPunct/>
        <w:topLinePunct w:val="0"/>
        <w:autoSpaceDE/>
        <w:autoSpaceDN w:val="0"/>
        <w:bidi w:val="0"/>
        <w:adjustRightInd/>
        <w:snapToGrid/>
        <w:spacing w:line="560" w:lineRule="atLeast"/>
        <w:ind w:leftChars="200" w:firstLine="321" w:firstLineChars="100"/>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rPr>
        <w:t>总体目标</w:t>
      </w:r>
    </w:p>
    <w:p w14:paraId="0537581C">
      <w:pPr>
        <w:keepNext w:val="0"/>
        <w:keepLines w:val="0"/>
        <w:pageBreakBefore w:val="0"/>
        <w:numPr>
          <w:ilvl w:val="0"/>
          <w:numId w:val="0"/>
        </w:numPr>
        <w:pBdr>
          <w:top w:val="none" w:color="000000" w:sz="0" w:space="3"/>
          <w:left w:val="none" w:color="000000" w:sz="0" w:space="0"/>
          <w:bottom w:val="none" w:color="000000" w:sz="0" w:space="30"/>
          <w:right w:val="none" w:color="000000" w:sz="0" w:space="5"/>
        </w:pBdr>
        <w:kinsoku/>
        <w:wordWrap/>
        <w:overflowPunct/>
        <w:topLinePunct w:val="0"/>
        <w:autoSpaceDE/>
        <w:autoSpaceDN w:val="0"/>
        <w:bidi w:val="0"/>
        <w:adjustRightInd/>
        <w:snapToGrid/>
        <w:spacing w:line="560" w:lineRule="atLeas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强化农村电影放映工作在文化思想阵地的宣传引导作用，严格督导落实农村电影“一村一月一场”的放映目标，以放映促群众思想进步，将农村电影放映作为一项政治任务、重于泰山的政治责任，把农村公益电影放映工作深入持久地开展下去，圆满地完成上级下达的农村公益放映目标任务。</w:t>
      </w:r>
    </w:p>
    <w:p w14:paraId="00BF74EB">
      <w:pPr>
        <w:keepNext w:val="0"/>
        <w:keepLines w:val="0"/>
        <w:pageBreakBefore w:val="0"/>
        <w:numPr>
          <w:ilvl w:val="0"/>
          <w:numId w:val="0"/>
        </w:numPr>
        <w:pBdr>
          <w:top w:val="none" w:color="000000" w:sz="0" w:space="3"/>
          <w:left w:val="none" w:color="000000" w:sz="0" w:space="0"/>
          <w:bottom w:val="none" w:color="000000" w:sz="0" w:space="30"/>
          <w:right w:val="none" w:color="000000" w:sz="0" w:space="5"/>
        </w:pBdr>
        <w:kinsoku/>
        <w:wordWrap/>
        <w:overflowPunct/>
        <w:topLinePunct w:val="0"/>
        <w:autoSpaceDE/>
        <w:autoSpaceDN w:val="0"/>
        <w:bidi w:val="0"/>
        <w:adjustRightInd/>
        <w:snapToGrid/>
        <w:spacing w:line="560" w:lineRule="atLeast"/>
        <w:ind w:leftChars="200" w:firstLine="321" w:firstLineChars="100"/>
        <w:textAlignment w:val="baseline"/>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2、阶段性目标</w:t>
      </w:r>
    </w:p>
    <w:p w14:paraId="2D710B91">
      <w:pPr>
        <w:keepNext w:val="0"/>
        <w:keepLines w:val="0"/>
        <w:pageBreakBefore w:val="0"/>
        <w:kinsoku/>
        <w:wordWrap/>
        <w:overflowPunct/>
        <w:topLinePunct w:val="0"/>
        <w:autoSpaceDE/>
        <w:bidi w:val="0"/>
        <w:adjustRightInd/>
        <w:snapToGrid/>
        <w:spacing w:line="56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（1）前期准备：与各县（市）签订了《塔城地区农村电影放映工作目标管理责任书》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对电影放映和设备管理的各个环节提出了具体要求，实行了规范化管理。</w:t>
      </w:r>
    </w:p>
    <w:p w14:paraId="7C32053E">
      <w:pPr>
        <w:keepNext w:val="0"/>
        <w:keepLines w:val="0"/>
        <w:pageBreakBefore w:val="0"/>
        <w:kinsoku/>
        <w:wordWrap/>
        <w:overflowPunct/>
        <w:topLinePunct w:val="0"/>
        <w:autoSpaceDE/>
        <w:bidi w:val="0"/>
        <w:adjustRightInd/>
        <w:snapToGrid/>
        <w:spacing w:line="560" w:lineRule="atLeas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（2）组织实施：</w:t>
      </w:r>
      <w:r>
        <w:rPr>
          <w:rFonts w:hint="eastAsia" w:ascii="仿宋_GB2312" w:hAnsi="仿宋_GB2312" w:eastAsia="仿宋_GB2312" w:cs="仿宋_GB2312"/>
          <w:sz w:val="32"/>
          <w:szCs w:val="32"/>
          <w:lang w:val="en-US" w:eastAsia="zh-CN"/>
        </w:rPr>
        <w:t>利用GPS定位及信息回传监控系统，加强对农村电影放映情况的全方位放映管理还将继续完善安全的放映制度、回执单制度、日报月报制度。接受广大人民群众监督，确保一村一月一场公益放映任务确实落到实处。</w:t>
      </w:r>
    </w:p>
    <w:p w14:paraId="013AA926">
      <w:pPr>
        <w:keepNext w:val="0"/>
        <w:keepLines w:val="0"/>
        <w:pageBreakBefore w:val="0"/>
        <w:kinsoku/>
        <w:wordWrap/>
        <w:overflowPunct/>
        <w:topLinePunct w:val="0"/>
        <w:autoSpaceDE/>
        <w:bidi w:val="0"/>
        <w:adjustRightInd/>
        <w:snapToGrid/>
        <w:spacing w:line="560" w:lineRule="atLeast"/>
        <w:ind w:firstLine="321" w:firstLineChars="100"/>
        <w:rPr>
          <w:rFonts w:ascii="黑体" w:hAnsi="黑体" w:eastAsia="黑体"/>
          <w:b/>
          <w:bCs/>
          <w:sz w:val="32"/>
          <w:szCs w:val="32"/>
        </w:rPr>
      </w:pPr>
      <w:r>
        <w:rPr>
          <w:rFonts w:hint="eastAsia" w:ascii="黑体" w:hAnsi="黑体" w:eastAsia="黑体"/>
          <w:b/>
          <w:bCs/>
          <w:sz w:val="32"/>
          <w:szCs w:val="32"/>
        </w:rPr>
        <w:t>二、绩效评价工作开展情况</w:t>
      </w:r>
    </w:p>
    <w:p w14:paraId="153BAB0B">
      <w:pPr>
        <w:keepNext w:val="0"/>
        <w:keepLines w:val="0"/>
        <w:pageBreakBefore w:val="0"/>
        <w:kinsoku/>
        <w:wordWrap/>
        <w:overflowPunct/>
        <w:topLinePunct w:val="0"/>
        <w:autoSpaceDE/>
        <w:bidi w:val="0"/>
        <w:adjustRightInd/>
        <w:snapToGrid/>
        <w:spacing w:line="560" w:lineRule="atLeas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14:paraId="3DE37A9D">
      <w:pPr>
        <w:pStyle w:val="2"/>
        <w:keepNext w:val="0"/>
        <w:keepLines w:val="0"/>
        <w:pageBreakBefore w:val="0"/>
        <w:widowControl w:val="0"/>
        <w:kinsoku/>
        <w:wordWrap/>
        <w:overflowPunct/>
        <w:topLinePunct w:val="0"/>
        <w:autoSpaceDE/>
        <w:bidi w:val="0"/>
        <w:adjustRightInd/>
        <w:snapToGrid/>
        <w:spacing w:before="0" w:after="0" w:line="560" w:lineRule="atLeas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1、绩效评价的目的</w:t>
      </w:r>
    </w:p>
    <w:p w14:paraId="5A7806C2">
      <w:pPr>
        <w:keepNext w:val="0"/>
        <w:keepLines w:val="0"/>
        <w:pageBreakBefore w:val="0"/>
        <w:kinsoku/>
        <w:wordWrap/>
        <w:overflowPunct/>
        <w:topLinePunct w:val="0"/>
        <w:autoSpaceDE/>
        <w:bidi w:val="0"/>
        <w:adjustRightInd/>
        <w:snapToGrid/>
        <w:spacing w:line="560" w:lineRule="atLeas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农村电影发行放映工作坚持“政府主导、社会参与、重心下移、共建共享”，着力推进公共文化服务标准化、均等化、以电影的独特优势占领舆论引导、思想引领、文化传承、服务人民的传播制高点，让更多的农牧民群众受到优秀电影文化的熏陶。</w:t>
      </w:r>
    </w:p>
    <w:p w14:paraId="180CC52B">
      <w:pPr>
        <w:keepNext w:val="0"/>
        <w:keepLines w:val="0"/>
        <w:pageBreakBefore w:val="0"/>
        <w:kinsoku/>
        <w:wordWrap/>
        <w:overflowPunct/>
        <w:topLinePunct w:val="0"/>
        <w:autoSpaceDE/>
        <w:bidi w:val="0"/>
        <w:adjustRightInd/>
        <w:snapToGrid/>
        <w:spacing w:line="560" w:lineRule="atLeas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w:t>
      </w:r>
      <w:r>
        <w:rPr>
          <w:rFonts w:hint="eastAsia" w:ascii="仿宋_GB2312" w:hAnsi="仿宋" w:eastAsia="仿宋_GB2312" w:cs="仿宋"/>
          <w:bCs/>
          <w:sz w:val="32"/>
          <w:szCs w:val="32"/>
          <w:lang w:eastAsia="zh-CN"/>
        </w:rPr>
        <w:t>坚持</w:t>
      </w:r>
      <w:r>
        <w:rPr>
          <w:rFonts w:hint="eastAsia" w:ascii="仿宋_GB2312" w:hAnsi="仿宋" w:eastAsia="仿宋_GB2312" w:cs="仿宋"/>
          <w:bCs/>
          <w:sz w:val="32"/>
          <w:szCs w:val="32"/>
        </w:rPr>
        <w:t>一村一月一场</w:t>
      </w:r>
      <w:r>
        <w:rPr>
          <w:rFonts w:hint="eastAsia" w:ascii="仿宋_GB2312" w:hAnsi="仿宋" w:eastAsia="仿宋_GB2312" w:cs="仿宋"/>
          <w:bCs/>
          <w:sz w:val="32"/>
          <w:szCs w:val="32"/>
          <w:lang w:eastAsia="zh-CN"/>
        </w:rPr>
        <w:t>农村电影公益</w:t>
      </w:r>
      <w:r>
        <w:rPr>
          <w:rFonts w:hint="eastAsia" w:ascii="仿宋_GB2312" w:hAnsi="仿宋" w:eastAsia="仿宋_GB2312" w:cs="仿宋"/>
          <w:bCs/>
          <w:sz w:val="32"/>
          <w:szCs w:val="32"/>
        </w:rPr>
        <w:t>放映</w:t>
      </w:r>
      <w:r>
        <w:rPr>
          <w:rFonts w:hint="eastAsia" w:ascii="仿宋_GB2312" w:hAnsi="仿宋" w:eastAsia="仿宋_GB2312" w:cs="仿宋"/>
          <w:bCs/>
          <w:sz w:val="32"/>
          <w:szCs w:val="32"/>
          <w:lang w:eastAsia="zh-CN"/>
        </w:rPr>
        <w:t>到位</w:t>
      </w:r>
      <w:r>
        <w:rPr>
          <w:rFonts w:hint="eastAsia" w:ascii="仿宋_GB2312" w:hAnsi="仿宋" w:eastAsia="仿宋_GB2312" w:cs="仿宋"/>
          <w:bCs/>
          <w:sz w:val="32"/>
          <w:szCs w:val="32"/>
        </w:rPr>
        <w:t>，</w:t>
      </w:r>
      <w:r>
        <w:rPr>
          <w:rFonts w:hint="eastAsia" w:ascii="仿宋_GB2312" w:hAnsi="仿宋" w:eastAsia="仿宋_GB2312" w:cs="仿宋"/>
          <w:bCs/>
          <w:sz w:val="32"/>
          <w:szCs w:val="32"/>
          <w:lang w:eastAsia="zh-CN"/>
        </w:rPr>
        <w:t>加强放映单位、放映人员、补贴资金、放映设备、选片订购、映前宣传、组织观影、放映操作流程、放映效果等实施规范管理，提高服务能力，强化放映质量，促进农村电影稳步持续发展。</w:t>
      </w:r>
    </w:p>
    <w:p w14:paraId="25E14038">
      <w:pPr>
        <w:pStyle w:val="2"/>
        <w:keepNext w:val="0"/>
        <w:keepLines w:val="0"/>
        <w:pageBreakBefore w:val="0"/>
        <w:widowControl w:val="0"/>
        <w:kinsoku/>
        <w:wordWrap/>
        <w:overflowPunct/>
        <w:topLinePunct w:val="0"/>
        <w:autoSpaceDE/>
        <w:bidi w:val="0"/>
        <w:adjustRightInd/>
        <w:snapToGrid/>
        <w:spacing w:before="0" w:after="0" w:line="560" w:lineRule="atLeas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2、绩效评价的对象</w:t>
      </w:r>
    </w:p>
    <w:p w14:paraId="3CE812A1">
      <w:pPr>
        <w:keepNext w:val="0"/>
        <w:keepLines w:val="0"/>
        <w:pageBreakBefore w:val="0"/>
        <w:kinsoku/>
        <w:wordWrap/>
        <w:overflowPunct/>
        <w:topLinePunct w:val="0"/>
        <w:autoSpaceDE/>
        <w:bidi w:val="0"/>
        <w:adjustRightInd/>
        <w:snapToGrid/>
        <w:spacing w:line="56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绩效评价对象为</w:t>
      </w:r>
      <w:r>
        <w:rPr>
          <w:rFonts w:hint="eastAsia" w:ascii="仿宋_GB2312" w:hAnsi="仿宋_GB2312" w:eastAsia="仿宋_GB2312" w:cs="仿宋_GB2312"/>
          <w:sz w:val="32"/>
          <w:szCs w:val="32"/>
        </w:rPr>
        <w:t>地区电影放行放映公司运行经费</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rPr>
        <w:t>保质保量完成“一村一月一场电影” 放映任务。充分认识开展农村电影放映工程的重要性，加强对农村电影放映工作的监督管理。严格按照《新疆农村公益电影标准化放映实施细则》和《农村电影放映工作分项考核规则》规范管理，加强监督考核评比，高质量完成公益放映任务。</w:t>
      </w:r>
    </w:p>
    <w:p w14:paraId="66111C7D">
      <w:pPr>
        <w:pStyle w:val="2"/>
        <w:keepNext w:val="0"/>
        <w:keepLines w:val="0"/>
        <w:pageBreakBefore w:val="0"/>
        <w:widowControl w:val="0"/>
        <w:kinsoku/>
        <w:wordWrap/>
        <w:overflowPunct/>
        <w:topLinePunct w:val="0"/>
        <w:autoSpaceDE/>
        <w:bidi w:val="0"/>
        <w:adjustRightInd/>
        <w:snapToGrid/>
        <w:spacing w:before="0" w:after="0" w:line="560" w:lineRule="atLeast"/>
        <w:ind w:firstLine="643" w:firstLineChars="200"/>
        <w:jc w:val="both"/>
        <w:outlineLvl w:val="9"/>
        <w:rPr>
          <w:rFonts w:ascii="仿宋_GB2312" w:hAnsi="仿宋_GB2312" w:eastAsia="仿宋_GB2312" w:cs="仿宋_GB2312"/>
          <w:b/>
          <w:bCs/>
        </w:rPr>
      </w:pPr>
      <w:r>
        <w:rPr>
          <w:rFonts w:hint="eastAsia" w:ascii="仿宋_GB2312" w:hAnsi="仿宋_GB2312" w:eastAsia="仿宋_GB2312" w:cs="仿宋_GB2312"/>
          <w:b/>
          <w:bCs/>
        </w:rPr>
        <w:t>3、绩效评价的范围</w:t>
      </w:r>
    </w:p>
    <w:p w14:paraId="17F15920">
      <w:pPr>
        <w:keepNext w:val="0"/>
        <w:keepLines w:val="0"/>
        <w:pageBreakBefore w:val="0"/>
        <w:kinsoku/>
        <w:wordWrap/>
        <w:overflowPunct/>
        <w:topLinePunct w:val="0"/>
        <w:autoSpaceDE/>
        <w:bidi w:val="0"/>
        <w:adjustRightInd/>
        <w:snapToGrid/>
        <w:spacing w:line="56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从地区电影放行放映公司运行经费项目的决策、过程、产出、效益等方面进行评价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按照《20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塔城地区农村公益电影放映场次计划的通知》要求，制定全年放映任务计划，将放映任务逐级分解下达到各放映队，要安排好故事片与科教片场次比例，确保科教片放映场次达到全年放映任务的10%-50%,故事片每村每天放映不能超过两场。</w:t>
      </w:r>
    </w:p>
    <w:p w14:paraId="4764A396">
      <w:pPr>
        <w:keepNext w:val="0"/>
        <w:keepLines w:val="0"/>
        <w:pageBreakBefore w:val="0"/>
        <w:kinsoku/>
        <w:wordWrap/>
        <w:overflowPunct/>
        <w:topLinePunct w:val="0"/>
        <w:autoSpaceDE/>
        <w:bidi w:val="0"/>
        <w:adjustRightInd/>
        <w:snapToGrid/>
        <w:spacing w:line="560" w:lineRule="atLeast"/>
        <w:ind w:firstLine="641"/>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（二）绩效评价原则、评价指标体系（详情见表1）、评价方法、评价标准。</w:t>
      </w:r>
    </w:p>
    <w:p w14:paraId="078ED811">
      <w:pPr>
        <w:pStyle w:val="2"/>
        <w:keepNext w:val="0"/>
        <w:keepLines w:val="0"/>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1、绩效评价原则</w:t>
      </w:r>
    </w:p>
    <w:p w14:paraId="3F926079">
      <w:pPr>
        <w:keepNext w:val="0"/>
        <w:keepLines w:val="0"/>
        <w:pageBreakBefore w:val="0"/>
        <w:widowControl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本次项目绩效评价遵循以下基本原则：一是与管理相结合的原则，二是整体性原则，三是前瞻性原则，四是综合性原则，五是定量与定性相结合的原则，六是简便、合理的原则。</w:t>
      </w:r>
    </w:p>
    <w:p w14:paraId="715C7EBF">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atLeast"/>
        <w:ind w:leftChars="200" w:firstLine="321" w:firstLineChars="100"/>
        <w:jc w:val="both"/>
        <w:textAlignment w:val="auto"/>
        <w:outlineLvl w:val="9"/>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2、评价指标体系</w:t>
      </w:r>
    </w:p>
    <w:p w14:paraId="373A5906">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atLeast"/>
        <w:ind w:firstLine="640" w:firstLineChars="200"/>
        <w:jc w:val="both"/>
        <w:textAlignment w:val="auto"/>
        <w:outlineLvl w:val="9"/>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针对项目在投入、过程、产出和效果等方面的实际情况，根据财政部《预算绩效评价共性指标体系框架》等文件精神，和我单位预算绩效管理实施细则及办法，结合本项目的具体特点，设置了合理可行的评价体系，包括投入指标（项目立项、资金落实）、过程指标（业务管理、财务管理）、产出数量与质量指标、社会效益和可持续影响指标等，具体详见附件1。</w:t>
      </w:r>
    </w:p>
    <w:p w14:paraId="46B5451B">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atLeast"/>
        <w:ind w:firstLine="643" w:firstLineChars="200"/>
        <w:jc w:val="both"/>
        <w:textAlignment w:val="auto"/>
        <w:outlineLvl w:val="9"/>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3.绩效评价方法：</w:t>
      </w:r>
    </w:p>
    <w:p w14:paraId="5AC81B77">
      <w:pPr>
        <w:keepNext w:val="0"/>
        <w:keepLines w:val="0"/>
        <w:pageBreakBefore w:val="0"/>
        <w:widowControl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绩效评价工作以公开实现定性分析与定量分析、自我评价与专家评价相结合的评价办法，在总结分析的基础上形成评价报告。</w:t>
      </w:r>
    </w:p>
    <w:p w14:paraId="0D00E628">
      <w:pPr>
        <w:keepNext w:val="0"/>
        <w:keepLines w:val="0"/>
        <w:pageBreakBefore w:val="0"/>
        <w:widowControl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绩效评价从项目决策、项目过程、项目产出、项目效益四个维度进行评价。评价对象为项目目标实施情况，评价核心为资金的支出完成情况和项目的产出效益。</w:t>
      </w:r>
    </w:p>
    <w:p w14:paraId="7E5A11D7">
      <w:pPr>
        <w:keepNext w:val="0"/>
        <w:keepLines w:val="0"/>
        <w:pageBreakBefore w:val="0"/>
        <w:widowControl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本次评价指标中，既有定性指标又有定量指标，各类指标因考核内容不同和客观标准不同存在较大差异，因此核定具体指标时采用了不同方法，具体评价方法如下：</w:t>
      </w:r>
    </w:p>
    <w:p w14:paraId="0041CD61">
      <w:pPr>
        <w:keepNext w:val="0"/>
        <w:keepLines w:val="0"/>
        <w:pageBreakBefore w:val="0"/>
        <w:widowControl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（1）比较法</w:t>
      </w:r>
    </w:p>
    <w:p w14:paraId="7FD658A8">
      <w:pPr>
        <w:keepNext w:val="0"/>
        <w:keepLines w:val="0"/>
        <w:pageBreakBefore w:val="0"/>
        <w:widowControl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通过对绩效目标与实施效果、历史与当期情况，综合分析绩效目标实现程度。对项目最终验收情况与年度绩效目标对比、预算资金执行情况等相关因素进行比较。</w:t>
      </w:r>
    </w:p>
    <w:p w14:paraId="46D8E80A">
      <w:pPr>
        <w:keepNext w:val="0"/>
        <w:keepLines w:val="0"/>
        <w:pageBreakBefore w:val="0"/>
        <w:widowControl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（2）因素分析法</w:t>
      </w:r>
    </w:p>
    <w:p w14:paraId="10ABB365">
      <w:pPr>
        <w:keepNext w:val="0"/>
        <w:keepLines w:val="0"/>
        <w:pageBreakBefore w:val="0"/>
        <w:widowControl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14:paraId="46D1E7CE">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atLeast"/>
        <w:ind w:firstLine="643" w:firstLineChars="200"/>
        <w:jc w:val="both"/>
        <w:textAlignment w:val="auto"/>
        <w:outlineLvl w:val="9"/>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4、绩效评价标准</w:t>
      </w:r>
    </w:p>
    <w:p w14:paraId="2424C588">
      <w:pPr>
        <w:keepNext w:val="0"/>
        <w:keepLines w:val="0"/>
        <w:pageBreakBefore w:val="0"/>
        <w:widowControl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绩效评价标准通常包括计划标准、行业标准、历史标准等，用于对绩效指标完成情况进行比较。本次评价主要采用了计划标准和行业标准。</w:t>
      </w:r>
    </w:p>
    <w:p w14:paraId="3985B190">
      <w:pPr>
        <w:keepNext w:val="0"/>
        <w:keepLines w:val="0"/>
        <w:pageBreakBefore w:val="0"/>
        <w:kinsoku/>
        <w:wordWrap/>
        <w:overflowPunct/>
        <w:topLinePunct w:val="0"/>
        <w:autoSpaceDE/>
        <w:autoSpaceDN/>
        <w:bidi w:val="0"/>
        <w:adjustRightInd/>
        <w:snapToGrid/>
        <w:spacing w:line="560" w:lineRule="atLeast"/>
        <w:ind w:left="0" w:firstLine="711" w:firstLineChars="200"/>
        <w:rPr>
          <w:rFonts w:hint="eastAsia" w:ascii="楷体" w:hAnsi="楷体" w:eastAsia="楷体" w:cs="楷体"/>
          <w:b w:val="0"/>
          <w:bCs w:val="0"/>
          <w:color w:val="000000"/>
          <w:spacing w:val="17"/>
          <w:kern w:val="2"/>
          <w:sz w:val="32"/>
          <w:szCs w:val="32"/>
          <w:highlight w:val="none"/>
          <w:lang w:val="en-US" w:eastAsia="zh-CN" w:bidi="ar-SA"/>
        </w:rPr>
      </w:pPr>
      <w:r>
        <w:rPr>
          <w:rFonts w:hint="eastAsia" w:ascii="楷体" w:hAnsi="楷体" w:eastAsia="楷体" w:cs="楷体"/>
          <w:b/>
          <w:bCs/>
          <w:color w:val="000000"/>
          <w:spacing w:val="17"/>
          <w:kern w:val="2"/>
          <w:sz w:val="32"/>
          <w:szCs w:val="32"/>
          <w:highlight w:val="none"/>
          <w:lang w:val="en-US" w:eastAsia="zh-CN" w:bidi="ar-SA"/>
        </w:rPr>
        <w:t>（三）绩效评价工作过程</w:t>
      </w:r>
      <w:r>
        <w:rPr>
          <w:rFonts w:hint="eastAsia" w:ascii="楷体" w:hAnsi="楷体" w:eastAsia="楷体" w:cs="楷体"/>
          <w:b w:val="0"/>
          <w:bCs w:val="0"/>
          <w:color w:val="000000"/>
          <w:spacing w:val="17"/>
          <w:kern w:val="2"/>
          <w:sz w:val="32"/>
          <w:szCs w:val="32"/>
          <w:highlight w:val="none"/>
          <w:lang w:val="en-US" w:eastAsia="zh-CN" w:bidi="ar-SA"/>
        </w:rPr>
        <w:t>。</w:t>
      </w:r>
    </w:p>
    <w:p w14:paraId="3C403A74">
      <w:pPr>
        <w:keepNext w:val="0"/>
        <w:keepLines w:val="0"/>
        <w:pageBreakBefore w:val="0"/>
        <w:widowControl w:val="0"/>
        <w:kinsoku/>
        <w:wordWrap/>
        <w:overflowPunct/>
        <w:topLinePunct w:val="0"/>
        <w:autoSpaceDE/>
        <w:autoSpaceDN/>
        <w:bidi w:val="0"/>
        <w:adjustRightInd/>
        <w:snapToGrid/>
        <w:spacing w:line="560" w:lineRule="atLeast"/>
        <w:ind w:firstLine="641"/>
        <w:textAlignment w:val="auto"/>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1、前期准备。首先成立评价工作组，开展前期调研；其次明确项目绩效目标，设计绩效评价指标体系并确定绩效评价方法；接着确定现场和非现场评价范围，设计资料清单；最后制定评价实施方案并进行论证。</w:t>
      </w:r>
    </w:p>
    <w:p w14:paraId="7D5E1AE1">
      <w:pPr>
        <w:keepNext w:val="0"/>
        <w:keepLines w:val="0"/>
        <w:pageBreakBefore w:val="0"/>
        <w:widowControl w:val="0"/>
        <w:kinsoku/>
        <w:wordWrap/>
        <w:overflowPunct/>
        <w:topLinePunct w:val="0"/>
        <w:autoSpaceDE/>
        <w:autoSpaceDN/>
        <w:bidi w:val="0"/>
        <w:adjustRightInd/>
        <w:snapToGrid/>
        <w:spacing w:line="560" w:lineRule="atLeast"/>
        <w:ind w:firstLine="641"/>
        <w:textAlignment w:val="auto"/>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2、组织实施。制定绩效评价工作方案，具体包括项目概况、评价思路、方法手段、组织实施、进度安排等。收集项目立项依据、相关会议纪要、实施方案、财政资金分配方案、支付管理情况等相关评价资料并进行梳理。</w:t>
      </w:r>
    </w:p>
    <w:p w14:paraId="3A10BDBE">
      <w:pPr>
        <w:keepNext w:val="0"/>
        <w:keepLines w:val="0"/>
        <w:pageBreakBefore w:val="0"/>
        <w:widowControl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3、分析评价。根据收集梳理的资料围绕项目立项、资金落实、业务管理、财务管理、项目产出、项目效益等内容，对照已确定的绩效评价指标进行详细全面的分析评价，逐项打分并形成绩效评价最终结果。</w:t>
      </w:r>
    </w:p>
    <w:p w14:paraId="5EBD1914">
      <w:pPr>
        <w:pStyle w:val="2"/>
        <w:keepNext w:val="0"/>
        <w:keepLines w:val="0"/>
        <w:pageBreakBefore w:val="0"/>
        <w:widowControl w:val="0"/>
        <w:kinsoku/>
        <w:wordWrap/>
        <w:overflowPunct/>
        <w:topLinePunct w:val="0"/>
        <w:autoSpaceDE/>
        <w:bidi w:val="0"/>
        <w:adjustRightInd/>
        <w:snapToGrid/>
        <w:spacing w:before="0" w:after="0" w:line="560" w:lineRule="atLeast"/>
        <w:ind w:firstLine="641"/>
        <w:jc w:val="both"/>
        <w:outlineLvl w:val="9"/>
        <w:rPr>
          <w:rFonts w:hint="eastAsia" w:ascii="黑体" w:hAnsi="黑体" w:eastAsia="黑体" w:cs="黑体"/>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rPr>
        <w:t>综合评价情况及评价结论（附相关评分表）</w:t>
      </w:r>
    </w:p>
    <w:p w14:paraId="2E29DC80">
      <w:pPr>
        <w:pStyle w:val="2"/>
        <w:keepNext w:val="0"/>
        <w:keepLines w:val="0"/>
        <w:pageBreakBefore w:val="0"/>
        <w:widowControl w:val="0"/>
        <w:kinsoku/>
        <w:wordWrap/>
        <w:overflowPunct/>
        <w:topLinePunct w:val="0"/>
        <w:autoSpaceDE/>
        <w:bidi w:val="0"/>
        <w:adjustRightInd/>
        <w:snapToGrid/>
        <w:spacing w:before="0" w:after="0" w:line="560" w:lineRule="atLeast"/>
        <w:ind w:firstLine="641"/>
        <w:jc w:val="both"/>
        <w:outlineLvl w:val="9"/>
        <w:rPr>
          <w:rFonts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对</w:t>
      </w:r>
      <w:r>
        <w:rPr>
          <w:rFonts w:hint="eastAsia" w:ascii="仿宋_GB2312" w:hAnsi="仿宋_GB2312" w:eastAsia="仿宋_GB2312" w:cs="仿宋_GB2312"/>
          <w:b w:val="0"/>
          <w:bCs w:val="0"/>
          <w:highlight w:val="none"/>
          <w:lang w:val="en-US" w:eastAsia="zh-CN"/>
        </w:rPr>
        <w:t>电影公司运行经费</w:t>
      </w:r>
      <w:r>
        <w:rPr>
          <w:rFonts w:hint="eastAsia" w:ascii="仿宋_GB2312" w:hAnsi="仿宋_GB2312" w:eastAsia="仿宋_GB2312" w:cs="仿宋_GB2312"/>
          <w:b w:val="0"/>
          <w:bCs w:val="0"/>
          <w:highlight w:val="none"/>
        </w:rPr>
        <w:t xml:space="preserve">项目进行客观评价，最终评分结果：总得分为 </w:t>
      </w:r>
      <w:r>
        <w:rPr>
          <w:rFonts w:hint="eastAsia" w:ascii="仿宋_GB2312" w:hAnsi="仿宋_GB2312" w:eastAsia="仿宋_GB2312" w:cs="仿宋_GB2312"/>
          <w:b w:val="0"/>
          <w:bCs w:val="0"/>
          <w:highlight w:val="none"/>
          <w:lang w:val="en-US" w:eastAsia="zh-CN"/>
        </w:rPr>
        <w:t>92.71</w:t>
      </w:r>
      <w:r>
        <w:rPr>
          <w:rFonts w:hint="eastAsia" w:ascii="仿宋_GB2312" w:hAnsi="仿宋_GB2312" w:eastAsia="仿宋_GB2312" w:cs="仿宋_GB2312"/>
          <w:b w:val="0"/>
          <w:bCs w:val="0"/>
          <w:highlight w:val="none"/>
        </w:rPr>
        <w:t>分，属于</w:t>
      </w:r>
      <w:r>
        <w:rPr>
          <w:rFonts w:hint="eastAsia" w:ascii="仿宋_GB2312" w:hAnsi="仿宋_GB2312" w:eastAsia="仿宋_GB2312" w:cs="仿宋_GB2312"/>
          <w:b w:val="0"/>
          <w:bCs w:val="0"/>
          <w:highlight w:val="none"/>
          <w:lang w:val="en-US" w:eastAsia="zh-CN"/>
        </w:rPr>
        <w:t>良好</w:t>
      </w:r>
      <w:r>
        <w:rPr>
          <w:rFonts w:hint="eastAsia" w:ascii="仿宋_GB2312" w:hAnsi="仿宋_GB2312" w:eastAsia="仿宋_GB2312" w:cs="仿宋_GB2312"/>
          <w:b w:val="0"/>
          <w:bCs w:val="0"/>
          <w:highlight w:val="none"/>
        </w:rPr>
        <w:t>。其中，项目决策类指标权重为5分，得分为 5分，得分率为 100%。项目过程类指标权重为5分，得分为5 分，得分率为 100%。项目产出类指标权重为50分，得分为</w:t>
      </w:r>
      <w:r>
        <w:rPr>
          <w:rFonts w:hint="eastAsia" w:ascii="仿宋_GB2312" w:hAnsi="仿宋_GB2312" w:eastAsia="仿宋_GB2312" w:cs="仿宋_GB2312"/>
          <w:b w:val="0"/>
          <w:bCs w:val="0"/>
          <w:highlight w:val="none"/>
          <w:lang w:val="en-US" w:eastAsia="zh-CN"/>
        </w:rPr>
        <w:t>45.71</w:t>
      </w:r>
      <w:r>
        <w:rPr>
          <w:rFonts w:hint="eastAsia" w:ascii="仿宋_GB2312" w:hAnsi="仿宋_GB2312" w:eastAsia="仿宋_GB2312" w:cs="仿宋_GB2312"/>
          <w:b w:val="0"/>
          <w:bCs w:val="0"/>
          <w:highlight w:val="none"/>
        </w:rPr>
        <w:t xml:space="preserve">分，得分率为 </w:t>
      </w:r>
      <w:r>
        <w:rPr>
          <w:rFonts w:hint="eastAsia" w:ascii="仿宋_GB2312" w:hAnsi="仿宋_GB2312" w:eastAsia="仿宋_GB2312" w:cs="仿宋_GB2312"/>
          <w:b w:val="0"/>
          <w:bCs w:val="0"/>
          <w:highlight w:val="none"/>
          <w:lang w:val="en-US" w:eastAsia="zh-CN"/>
        </w:rPr>
        <w:t>91.42</w:t>
      </w:r>
      <w:r>
        <w:rPr>
          <w:rFonts w:hint="eastAsia" w:ascii="仿宋_GB2312" w:hAnsi="仿宋_GB2312" w:eastAsia="仿宋_GB2312" w:cs="仿宋_GB2312"/>
          <w:b w:val="0"/>
          <w:bCs w:val="0"/>
          <w:highlight w:val="none"/>
        </w:rPr>
        <w:t>%。项目效益类指标权重为40分，得分为3</w:t>
      </w:r>
      <w:r>
        <w:rPr>
          <w:rFonts w:hint="eastAsia" w:ascii="仿宋_GB2312" w:hAnsi="仿宋_GB2312" w:eastAsia="仿宋_GB2312" w:cs="仿宋_GB2312"/>
          <w:b w:val="0"/>
          <w:bCs w:val="0"/>
          <w:highlight w:val="none"/>
          <w:lang w:val="en-US" w:eastAsia="zh-CN"/>
        </w:rPr>
        <w:t>7</w:t>
      </w:r>
      <w:r>
        <w:rPr>
          <w:rFonts w:hint="eastAsia" w:ascii="仿宋_GB2312" w:hAnsi="仿宋_GB2312" w:eastAsia="仿宋_GB2312" w:cs="仿宋_GB2312"/>
          <w:b w:val="0"/>
          <w:bCs w:val="0"/>
          <w:highlight w:val="none"/>
        </w:rPr>
        <w:t>分，得分率为</w:t>
      </w:r>
      <w:r>
        <w:rPr>
          <w:rFonts w:hint="eastAsia" w:ascii="仿宋_GB2312" w:hAnsi="仿宋_GB2312" w:eastAsia="仿宋_GB2312" w:cs="仿宋_GB2312"/>
          <w:b w:val="0"/>
          <w:bCs w:val="0"/>
          <w:highlight w:val="none"/>
          <w:lang w:val="en-US" w:eastAsia="zh-CN"/>
        </w:rPr>
        <w:t>92.5</w:t>
      </w:r>
      <w:r>
        <w:rPr>
          <w:rFonts w:hint="eastAsia" w:ascii="仿宋_GB2312" w:hAnsi="仿宋_GB2312" w:eastAsia="仿宋_GB2312" w:cs="仿宋_GB2312"/>
          <w:b w:val="0"/>
          <w:bCs w:val="0"/>
          <w:highlight w:val="none"/>
        </w:rPr>
        <w:t>%。</w:t>
      </w:r>
    </w:p>
    <w:p w14:paraId="0F375FB8">
      <w:pPr>
        <w:numPr>
          <w:ilvl w:val="0"/>
          <w:numId w:val="0"/>
        </w:numPr>
        <w:spacing w:line="600" w:lineRule="exact"/>
        <w:rPr>
          <w:rFonts w:ascii="黑体" w:hAnsi="黑体" w:eastAsia="黑体" w:cs="黑体"/>
          <w:sz w:val="32"/>
          <w:szCs w:val="32"/>
        </w:rPr>
      </w:pPr>
    </w:p>
    <w:p w14:paraId="62A6B7C8">
      <w:pPr>
        <w:pStyle w:val="2"/>
        <w:rPr>
          <w:rFonts w:ascii="仿宋_GB2312" w:hAnsi="仿宋_GB2312" w:eastAsia="仿宋_GB2312" w:cs="仿宋_GB2312"/>
          <w:sz w:val="30"/>
          <w:szCs w:val="30"/>
        </w:rPr>
      </w:pPr>
      <w:r>
        <w:rPr>
          <w:rFonts w:hint="eastAsia" w:ascii="仿宋_GB2312" w:hAnsi="仿宋_GB2312" w:eastAsia="仿宋_GB2312" w:cs="仿宋_GB2312"/>
          <w:sz w:val="30"/>
          <w:szCs w:val="30"/>
        </w:rPr>
        <w:t>表</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综合评分表</w:t>
      </w:r>
    </w:p>
    <w:p w14:paraId="49FE0EF5"/>
    <w:p w14:paraId="2658141C"/>
    <w:tbl>
      <w:tblPr>
        <w:tblStyle w:val="9"/>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14:paraId="57D933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14:paraId="750ECE03">
            <w:pPr>
              <w:widowControl/>
              <w:spacing w:line="0" w:lineRule="atLeast"/>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90" w:type="dxa"/>
            <w:shd w:val="clear" w:color="auto" w:fill="BFBFBF"/>
            <w:vAlign w:val="center"/>
          </w:tcPr>
          <w:p w14:paraId="386E2DDD">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83" w:type="dxa"/>
            <w:shd w:val="clear" w:color="auto" w:fill="BFBFBF"/>
            <w:vAlign w:val="center"/>
          </w:tcPr>
          <w:p w14:paraId="6E7894AD">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707" w:type="dxa"/>
            <w:shd w:val="clear" w:color="auto" w:fill="BFBFBF"/>
            <w:vAlign w:val="center"/>
          </w:tcPr>
          <w:p w14:paraId="6716A866">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727" w:type="dxa"/>
            <w:shd w:val="clear" w:color="auto" w:fill="BFBFBF"/>
            <w:vAlign w:val="center"/>
          </w:tcPr>
          <w:p w14:paraId="0FA29CD1">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044" w:type="dxa"/>
            <w:shd w:val="clear" w:color="auto" w:fill="BFBFBF"/>
            <w:vAlign w:val="center"/>
          </w:tcPr>
          <w:p w14:paraId="3C1B81A1">
            <w:pPr>
              <w:widowControl/>
              <w:tabs>
                <w:tab w:val="left" w:pos="1333"/>
                <w:tab w:val="center" w:pos="3623"/>
              </w:tabs>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924" w:type="dxa"/>
            <w:shd w:val="clear" w:color="auto" w:fill="BFBFBF"/>
            <w:vAlign w:val="center"/>
          </w:tcPr>
          <w:p w14:paraId="15A11E08">
            <w:pPr>
              <w:widowControl/>
              <w:tabs>
                <w:tab w:val="left" w:pos="1333"/>
                <w:tab w:val="center" w:pos="3623"/>
              </w:tabs>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215" w:type="dxa"/>
            <w:shd w:val="clear" w:color="auto" w:fill="BFBFBF"/>
            <w:vAlign w:val="center"/>
          </w:tcPr>
          <w:p w14:paraId="44FD78BC">
            <w:pPr>
              <w:widowControl/>
              <w:tabs>
                <w:tab w:val="left" w:pos="1333"/>
                <w:tab w:val="center" w:pos="3623"/>
              </w:tabs>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60" w:type="dxa"/>
            <w:shd w:val="clear" w:color="auto" w:fill="BFBFBF"/>
            <w:vAlign w:val="center"/>
          </w:tcPr>
          <w:p w14:paraId="166AEF1E">
            <w:pPr>
              <w:widowControl/>
              <w:tabs>
                <w:tab w:val="left" w:pos="1333"/>
                <w:tab w:val="center" w:pos="3623"/>
              </w:tabs>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14:paraId="02FC33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1083515B">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决策　</w:t>
            </w:r>
          </w:p>
          <w:p w14:paraId="2357D335">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p w14:paraId="2BD90A71">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p w14:paraId="30133A58">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14:paraId="0C0B87BE">
            <w:pPr>
              <w:widowControl/>
              <w:spacing w:line="0" w:lineRule="atLeast"/>
              <w:jc w:val="center"/>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14:paraId="4825F0AA">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1707" w:type="dxa"/>
            <w:shd w:val="clear" w:color="auto" w:fill="FFFFFF"/>
            <w:vAlign w:val="center"/>
          </w:tcPr>
          <w:p w14:paraId="383386AD">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立项依据</w:t>
            </w:r>
          </w:p>
          <w:p w14:paraId="5A4FCED0">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充分性</w:t>
            </w:r>
          </w:p>
        </w:tc>
        <w:tc>
          <w:tcPr>
            <w:tcW w:w="727" w:type="dxa"/>
            <w:shd w:val="clear" w:color="auto" w:fill="FFFFFF"/>
            <w:vAlign w:val="center"/>
          </w:tcPr>
          <w:p w14:paraId="6481CD30">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1044" w:type="dxa"/>
            <w:shd w:val="clear" w:color="auto" w:fill="FFFFFF"/>
            <w:vAlign w:val="center"/>
          </w:tcPr>
          <w:p w14:paraId="15E4F46D">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0.5</w:t>
            </w:r>
          </w:p>
        </w:tc>
        <w:tc>
          <w:tcPr>
            <w:tcW w:w="924" w:type="dxa"/>
            <w:shd w:val="clear" w:color="auto" w:fill="FFFFFF"/>
            <w:vAlign w:val="center"/>
          </w:tcPr>
          <w:p w14:paraId="48AE0AA1">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0.5</w:t>
            </w:r>
          </w:p>
        </w:tc>
        <w:tc>
          <w:tcPr>
            <w:tcW w:w="1215" w:type="dxa"/>
            <w:shd w:val="clear" w:color="auto" w:fill="FFFFFF"/>
            <w:vAlign w:val="center"/>
          </w:tcPr>
          <w:p w14:paraId="657E061D">
            <w:pPr>
              <w:widowControl/>
              <w:spacing w:line="0" w:lineRule="atLeas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bidi="ar-SA"/>
              </w:rPr>
              <w:t>100%</w:t>
            </w:r>
          </w:p>
        </w:tc>
        <w:tc>
          <w:tcPr>
            <w:tcW w:w="960" w:type="dxa"/>
            <w:shd w:val="clear" w:color="auto" w:fill="FFFFFF"/>
            <w:vAlign w:val="center"/>
          </w:tcPr>
          <w:p w14:paraId="7804AFE1">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0.5</w:t>
            </w:r>
          </w:p>
        </w:tc>
      </w:tr>
      <w:tr w14:paraId="46DC78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0FEDEE0">
            <w:pPr>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14:paraId="1A430A41">
            <w:pPr>
              <w:widowControl/>
              <w:spacing w:line="0" w:lineRule="atLeast"/>
              <w:jc w:val="center"/>
              <w:rPr>
                <w:rFonts w:ascii="宋体" w:hAnsi="宋体" w:cs="宋体"/>
                <w:color w:val="000000"/>
                <w:kern w:val="0"/>
                <w:sz w:val="22"/>
                <w:szCs w:val="22"/>
              </w:rPr>
            </w:pPr>
          </w:p>
        </w:tc>
        <w:tc>
          <w:tcPr>
            <w:tcW w:w="1283" w:type="dxa"/>
            <w:vMerge w:val="continue"/>
            <w:shd w:val="clear" w:color="auto" w:fill="FFFFFF"/>
            <w:vAlign w:val="center"/>
          </w:tcPr>
          <w:p w14:paraId="2B9E63CA">
            <w:pPr>
              <w:widowControl/>
              <w:spacing w:line="0" w:lineRule="atLeast"/>
              <w:jc w:val="center"/>
              <w:rPr>
                <w:rFonts w:ascii="宋体" w:hAnsi="宋体" w:cs="宋体"/>
                <w:color w:val="000000"/>
                <w:kern w:val="0"/>
                <w:sz w:val="22"/>
                <w:szCs w:val="22"/>
              </w:rPr>
            </w:pPr>
          </w:p>
        </w:tc>
        <w:tc>
          <w:tcPr>
            <w:tcW w:w="1707" w:type="dxa"/>
            <w:shd w:val="clear" w:color="auto" w:fill="FFFFFF"/>
            <w:vAlign w:val="center"/>
          </w:tcPr>
          <w:p w14:paraId="5E246255">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立项程序</w:t>
            </w:r>
          </w:p>
          <w:p w14:paraId="4DD30F49">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规范性</w:t>
            </w:r>
          </w:p>
        </w:tc>
        <w:tc>
          <w:tcPr>
            <w:tcW w:w="727" w:type="dxa"/>
            <w:shd w:val="clear" w:color="auto" w:fill="FFFFFF"/>
            <w:vAlign w:val="center"/>
          </w:tcPr>
          <w:p w14:paraId="0D37B556">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1044" w:type="dxa"/>
            <w:shd w:val="clear" w:color="auto" w:fill="FFFFFF"/>
            <w:vAlign w:val="center"/>
          </w:tcPr>
          <w:p w14:paraId="5367BA78">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0.5</w:t>
            </w:r>
          </w:p>
        </w:tc>
        <w:tc>
          <w:tcPr>
            <w:tcW w:w="924" w:type="dxa"/>
            <w:shd w:val="clear" w:color="auto" w:fill="FFFFFF"/>
            <w:vAlign w:val="center"/>
          </w:tcPr>
          <w:p w14:paraId="29D2FB77">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0.5</w:t>
            </w:r>
          </w:p>
        </w:tc>
        <w:tc>
          <w:tcPr>
            <w:tcW w:w="1215" w:type="dxa"/>
            <w:shd w:val="clear" w:color="auto" w:fill="FFFFFF"/>
            <w:vAlign w:val="center"/>
          </w:tcPr>
          <w:p w14:paraId="1D15586C">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bidi="ar-SA"/>
              </w:rPr>
              <w:t>100%</w:t>
            </w:r>
          </w:p>
        </w:tc>
        <w:tc>
          <w:tcPr>
            <w:tcW w:w="960" w:type="dxa"/>
            <w:shd w:val="clear" w:color="auto" w:fill="FFFFFF"/>
            <w:vAlign w:val="center"/>
          </w:tcPr>
          <w:p w14:paraId="676ABEDE">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0.5</w:t>
            </w:r>
          </w:p>
        </w:tc>
      </w:tr>
      <w:tr w14:paraId="6FE597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1802150">
            <w:pPr>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14:paraId="5B7A03A1">
            <w:pPr>
              <w:widowControl/>
              <w:spacing w:line="0" w:lineRule="atLeast"/>
              <w:jc w:val="center"/>
              <w:rPr>
                <w:rFonts w:ascii="宋体" w:hAnsi="宋体" w:cs="宋体"/>
                <w:color w:val="000000"/>
                <w:kern w:val="0"/>
                <w:sz w:val="22"/>
                <w:szCs w:val="22"/>
              </w:rPr>
            </w:pPr>
          </w:p>
        </w:tc>
        <w:tc>
          <w:tcPr>
            <w:tcW w:w="1283" w:type="dxa"/>
            <w:vMerge w:val="restart"/>
            <w:shd w:val="clear" w:color="auto" w:fill="FFFFFF"/>
            <w:vAlign w:val="center"/>
          </w:tcPr>
          <w:p w14:paraId="3755ECEB">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1707" w:type="dxa"/>
            <w:shd w:val="clear" w:color="auto" w:fill="FFFFFF"/>
            <w:vAlign w:val="center"/>
          </w:tcPr>
          <w:p w14:paraId="47C0EF93">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w:t>
            </w:r>
          </w:p>
          <w:p w14:paraId="26F45899">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7" w:type="dxa"/>
            <w:shd w:val="clear" w:color="000000" w:fill="FFFFFF"/>
            <w:vAlign w:val="center"/>
          </w:tcPr>
          <w:p w14:paraId="7F112244">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14:paraId="2ED4D8E6">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1</w:t>
            </w:r>
          </w:p>
        </w:tc>
        <w:tc>
          <w:tcPr>
            <w:tcW w:w="924" w:type="dxa"/>
            <w:shd w:val="clear" w:color="000000" w:fill="FFFFFF"/>
            <w:vAlign w:val="center"/>
          </w:tcPr>
          <w:p w14:paraId="470375B4">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1</w:t>
            </w:r>
          </w:p>
        </w:tc>
        <w:tc>
          <w:tcPr>
            <w:tcW w:w="1215" w:type="dxa"/>
            <w:shd w:val="clear" w:color="000000" w:fill="FFFFFF"/>
            <w:vAlign w:val="center"/>
          </w:tcPr>
          <w:p w14:paraId="02DDD1B2">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bidi="ar-SA"/>
              </w:rPr>
              <w:t>100%</w:t>
            </w:r>
          </w:p>
        </w:tc>
        <w:tc>
          <w:tcPr>
            <w:tcW w:w="960" w:type="dxa"/>
            <w:shd w:val="clear" w:color="000000" w:fill="FFFFFF"/>
            <w:vAlign w:val="center"/>
          </w:tcPr>
          <w:p w14:paraId="612CF788">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1</w:t>
            </w:r>
          </w:p>
        </w:tc>
      </w:tr>
      <w:tr w14:paraId="1BA2C3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43424651">
            <w:pPr>
              <w:widowControl/>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14:paraId="16917E2E">
            <w:pPr>
              <w:widowControl/>
              <w:spacing w:line="0" w:lineRule="atLeast"/>
              <w:jc w:val="center"/>
              <w:rPr>
                <w:rFonts w:ascii="宋体" w:hAnsi="宋体" w:cs="宋体"/>
                <w:color w:val="000000"/>
                <w:kern w:val="0"/>
                <w:sz w:val="22"/>
                <w:szCs w:val="22"/>
              </w:rPr>
            </w:pPr>
          </w:p>
        </w:tc>
        <w:tc>
          <w:tcPr>
            <w:tcW w:w="1283" w:type="dxa"/>
            <w:vMerge w:val="continue"/>
            <w:shd w:val="clear" w:color="auto" w:fill="FFFFFF"/>
            <w:vAlign w:val="center"/>
          </w:tcPr>
          <w:p w14:paraId="4D297B99">
            <w:pPr>
              <w:widowControl/>
              <w:spacing w:line="0" w:lineRule="atLeast"/>
              <w:jc w:val="center"/>
              <w:rPr>
                <w:rFonts w:ascii="宋体" w:hAnsi="宋体" w:cs="宋体"/>
                <w:color w:val="000000"/>
                <w:kern w:val="0"/>
                <w:sz w:val="22"/>
                <w:szCs w:val="22"/>
              </w:rPr>
            </w:pPr>
          </w:p>
        </w:tc>
        <w:tc>
          <w:tcPr>
            <w:tcW w:w="1707" w:type="dxa"/>
            <w:shd w:val="clear" w:color="auto" w:fill="FFFFFF"/>
            <w:vAlign w:val="center"/>
          </w:tcPr>
          <w:p w14:paraId="069F8CF2">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绩效指标</w:t>
            </w:r>
          </w:p>
          <w:p w14:paraId="251DC7AE">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明确性</w:t>
            </w:r>
          </w:p>
        </w:tc>
        <w:tc>
          <w:tcPr>
            <w:tcW w:w="727" w:type="dxa"/>
            <w:shd w:val="clear" w:color="000000" w:fill="FFFFFF"/>
            <w:vAlign w:val="center"/>
          </w:tcPr>
          <w:p w14:paraId="670CD827">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14:paraId="4FA87FC5">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1</w:t>
            </w:r>
          </w:p>
        </w:tc>
        <w:tc>
          <w:tcPr>
            <w:tcW w:w="924" w:type="dxa"/>
            <w:shd w:val="clear" w:color="000000" w:fill="FFFFFF"/>
            <w:vAlign w:val="center"/>
          </w:tcPr>
          <w:p w14:paraId="3847D70C">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1</w:t>
            </w:r>
          </w:p>
        </w:tc>
        <w:tc>
          <w:tcPr>
            <w:tcW w:w="1215" w:type="dxa"/>
            <w:shd w:val="clear" w:color="000000" w:fill="FFFFFF"/>
            <w:vAlign w:val="center"/>
          </w:tcPr>
          <w:p w14:paraId="11ABB699">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bidi="ar-SA"/>
              </w:rPr>
              <w:t>100%</w:t>
            </w:r>
          </w:p>
        </w:tc>
        <w:tc>
          <w:tcPr>
            <w:tcW w:w="960" w:type="dxa"/>
            <w:shd w:val="clear" w:color="000000" w:fill="FFFFFF"/>
            <w:vAlign w:val="center"/>
          </w:tcPr>
          <w:p w14:paraId="167B25AF">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1</w:t>
            </w:r>
          </w:p>
        </w:tc>
      </w:tr>
      <w:tr w14:paraId="0520C2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3A32F4F">
            <w:pPr>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14:paraId="32B1ACC2">
            <w:pPr>
              <w:spacing w:line="0" w:lineRule="atLeast"/>
              <w:jc w:val="center"/>
              <w:rPr>
                <w:rFonts w:ascii="宋体" w:hAnsi="宋体" w:cs="宋体"/>
                <w:color w:val="000000"/>
                <w:kern w:val="0"/>
                <w:sz w:val="22"/>
                <w:szCs w:val="22"/>
              </w:rPr>
            </w:pPr>
          </w:p>
        </w:tc>
        <w:tc>
          <w:tcPr>
            <w:tcW w:w="1283" w:type="dxa"/>
            <w:vMerge w:val="restart"/>
            <w:shd w:val="clear" w:color="auto" w:fill="FFFFFF"/>
            <w:vAlign w:val="center"/>
          </w:tcPr>
          <w:p w14:paraId="44F49BF7">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资金投入</w:t>
            </w:r>
          </w:p>
        </w:tc>
        <w:tc>
          <w:tcPr>
            <w:tcW w:w="1707" w:type="dxa"/>
            <w:shd w:val="clear" w:color="auto" w:fill="FFFFFF"/>
            <w:vAlign w:val="center"/>
          </w:tcPr>
          <w:p w14:paraId="1585B17F">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预算编制</w:t>
            </w:r>
          </w:p>
          <w:p w14:paraId="673F442B">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科学性</w:t>
            </w:r>
          </w:p>
        </w:tc>
        <w:tc>
          <w:tcPr>
            <w:tcW w:w="727" w:type="dxa"/>
            <w:shd w:val="clear" w:color="auto" w:fill="FFFFFF"/>
            <w:vAlign w:val="center"/>
          </w:tcPr>
          <w:p w14:paraId="02FA54EF">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14:paraId="69E410D7">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1</w:t>
            </w:r>
          </w:p>
        </w:tc>
        <w:tc>
          <w:tcPr>
            <w:tcW w:w="924" w:type="dxa"/>
            <w:shd w:val="clear" w:color="auto" w:fill="FFFFFF"/>
            <w:vAlign w:val="center"/>
          </w:tcPr>
          <w:p w14:paraId="5634BF0B">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1</w:t>
            </w:r>
          </w:p>
        </w:tc>
        <w:tc>
          <w:tcPr>
            <w:tcW w:w="1215" w:type="dxa"/>
            <w:shd w:val="clear" w:color="auto" w:fill="FFFFFF"/>
            <w:vAlign w:val="center"/>
          </w:tcPr>
          <w:p w14:paraId="0E1137EE">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bidi="ar-SA"/>
              </w:rPr>
              <w:t>100%</w:t>
            </w:r>
          </w:p>
        </w:tc>
        <w:tc>
          <w:tcPr>
            <w:tcW w:w="960" w:type="dxa"/>
            <w:shd w:val="clear" w:color="auto" w:fill="FFFFFF"/>
            <w:vAlign w:val="center"/>
          </w:tcPr>
          <w:p w14:paraId="662D29DB">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1</w:t>
            </w:r>
          </w:p>
        </w:tc>
      </w:tr>
      <w:tr w14:paraId="1B2037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098BF045">
            <w:pPr>
              <w:widowControl/>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14:paraId="29F02A96">
            <w:pPr>
              <w:widowControl/>
              <w:spacing w:line="0" w:lineRule="atLeast"/>
              <w:jc w:val="center"/>
              <w:rPr>
                <w:rFonts w:ascii="宋体" w:hAnsi="宋体" w:cs="宋体"/>
                <w:color w:val="000000"/>
                <w:kern w:val="0"/>
                <w:sz w:val="22"/>
                <w:szCs w:val="22"/>
              </w:rPr>
            </w:pPr>
          </w:p>
        </w:tc>
        <w:tc>
          <w:tcPr>
            <w:tcW w:w="1283" w:type="dxa"/>
            <w:vMerge w:val="continue"/>
            <w:shd w:val="clear" w:color="auto" w:fill="FFFFFF"/>
            <w:vAlign w:val="center"/>
          </w:tcPr>
          <w:p w14:paraId="441409B5">
            <w:pPr>
              <w:widowControl/>
              <w:spacing w:line="0" w:lineRule="atLeast"/>
              <w:jc w:val="center"/>
              <w:rPr>
                <w:rFonts w:ascii="宋体" w:hAnsi="宋体" w:cs="宋体"/>
                <w:color w:val="000000"/>
                <w:kern w:val="0"/>
                <w:sz w:val="22"/>
                <w:szCs w:val="22"/>
              </w:rPr>
            </w:pPr>
          </w:p>
        </w:tc>
        <w:tc>
          <w:tcPr>
            <w:tcW w:w="1707" w:type="dxa"/>
            <w:shd w:val="clear" w:color="auto" w:fill="FFFFFF"/>
            <w:vAlign w:val="center"/>
          </w:tcPr>
          <w:p w14:paraId="2FF03BC4">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资金分配</w:t>
            </w:r>
          </w:p>
          <w:p w14:paraId="275ADA97">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7" w:type="dxa"/>
            <w:shd w:val="clear" w:color="auto" w:fill="FFFFFF"/>
            <w:vAlign w:val="center"/>
          </w:tcPr>
          <w:p w14:paraId="6F8FD268">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14:paraId="4234BE6A">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1</w:t>
            </w:r>
          </w:p>
        </w:tc>
        <w:tc>
          <w:tcPr>
            <w:tcW w:w="924" w:type="dxa"/>
            <w:shd w:val="clear" w:color="auto" w:fill="FFFFFF"/>
            <w:vAlign w:val="center"/>
          </w:tcPr>
          <w:p w14:paraId="4C48DC93">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1</w:t>
            </w:r>
          </w:p>
        </w:tc>
        <w:tc>
          <w:tcPr>
            <w:tcW w:w="1215" w:type="dxa"/>
            <w:shd w:val="clear" w:color="auto" w:fill="FFFFFF"/>
            <w:vAlign w:val="center"/>
          </w:tcPr>
          <w:p w14:paraId="26C32BA5">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bidi="ar-SA"/>
              </w:rPr>
              <w:t>100%</w:t>
            </w:r>
          </w:p>
        </w:tc>
        <w:tc>
          <w:tcPr>
            <w:tcW w:w="960" w:type="dxa"/>
            <w:shd w:val="clear" w:color="auto" w:fill="FFFFFF"/>
            <w:vAlign w:val="center"/>
          </w:tcPr>
          <w:p w14:paraId="0AB3AF7D">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1</w:t>
            </w:r>
          </w:p>
        </w:tc>
      </w:tr>
      <w:tr w14:paraId="53B02E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2A498B60">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过程</w:t>
            </w:r>
          </w:p>
          <w:p w14:paraId="3CB69B51">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14:paraId="27B24455">
            <w:pPr>
              <w:widowControl/>
              <w:spacing w:line="0" w:lineRule="atLeast"/>
              <w:jc w:val="center"/>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14:paraId="3430B345">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14:paraId="05C12CDB">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727" w:type="dxa"/>
            <w:shd w:val="clear" w:color="000000" w:fill="FFFFFF"/>
            <w:vAlign w:val="center"/>
          </w:tcPr>
          <w:p w14:paraId="1CAB3E2E">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14:paraId="01349B0F">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1</w:t>
            </w:r>
          </w:p>
        </w:tc>
        <w:tc>
          <w:tcPr>
            <w:tcW w:w="924" w:type="dxa"/>
            <w:shd w:val="clear" w:color="000000" w:fill="FFFFFF"/>
            <w:vAlign w:val="center"/>
          </w:tcPr>
          <w:p w14:paraId="5F8C2BB4">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1</w:t>
            </w:r>
          </w:p>
        </w:tc>
        <w:tc>
          <w:tcPr>
            <w:tcW w:w="1215" w:type="dxa"/>
            <w:shd w:val="clear" w:color="000000" w:fill="FFFFFF"/>
            <w:vAlign w:val="center"/>
          </w:tcPr>
          <w:p w14:paraId="33F2EBA3">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bidi="ar-SA"/>
              </w:rPr>
              <w:t>100%</w:t>
            </w:r>
          </w:p>
        </w:tc>
        <w:tc>
          <w:tcPr>
            <w:tcW w:w="960" w:type="dxa"/>
            <w:shd w:val="clear" w:color="000000" w:fill="FFFFFF"/>
            <w:vAlign w:val="center"/>
          </w:tcPr>
          <w:p w14:paraId="4DE4E19F">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1</w:t>
            </w:r>
          </w:p>
        </w:tc>
      </w:tr>
      <w:tr w14:paraId="45657E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15342110">
            <w:pPr>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14:paraId="6724B6B3">
            <w:pPr>
              <w:spacing w:line="0" w:lineRule="atLeast"/>
              <w:jc w:val="center"/>
              <w:rPr>
                <w:rFonts w:ascii="宋体" w:hAnsi="宋体" w:cs="宋体"/>
                <w:color w:val="000000"/>
                <w:kern w:val="0"/>
                <w:sz w:val="22"/>
                <w:szCs w:val="22"/>
              </w:rPr>
            </w:pPr>
          </w:p>
        </w:tc>
        <w:tc>
          <w:tcPr>
            <w:tcW w:w="1283" w:type="dxa"/>
            <w:vMerge w:val="continue"/>
            <w:shd w:val="clear" w:color="auto" w:fill="FFFFFF"/>
            <w:vAlign w:val="center"/>
          </w:tcPr>
          <w:p w14:paraId="2CD5644D">
            <w:pPr>
              <w:spacing w:line="0" w:lineRule="atLeast"/>
              <w:jc w:val="center"/>
              <w:rPr>
                <w:rFonts w:ascii="宋体" w:hAnsi="宋体" w:cs="宋体"/>
                <w:color w:val="000000"/>
                <w:kern w:val="0"/>
                <w:sz w:val="22"/>
                <w:szCs w:val="22"/>
              </w:rPr>
            </w:pPr>
          </w:p>
        </w:tc>
        <w:tc>
          <w:tcPr>
            <w:tcW w:w="1707" w:type="dxa"/>
            <w:shd w:val="clear" w:color="auto" w:fill="FFFFFF"/>
            <w:vAlign w:val="center"/>
          </w:tcPr>
          <w:p w14:paraId="0CDD42AA">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727" w:type="dxa"/>
            <w:shd w:val="clear" w:color="auto" w:fill="FFFFFF"/>
            <w:vAlign w:val="center"/>
          </w:tcPr>
          <w:p w14:paraId="0118F9E2">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14:paraId="0DD84D0F">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1</w:t>
            </w:r>
          </w:p>
        </w:tc>
        <w:tc>
          <w:tcPr>
            <w:tcW w:w="924" w:type="dxa"/>
            <w:shd w:val="clear" w:color="auto" w:fill="FFFFFF"/>
            <w:vAlign w:val="center"/>
          </w:tcPr>
          <w:p w14:paraId="1EE76E6B">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1</w:t>
            </w:r>
          </w:p>
        </w:tc>
        <w:tc>
          <w:tcPr>
            <w:tcW w:w="1215" w:type="dxa"/>
            <w:shd w:val="clear" w:color="auto" w:fill="FFFFFF"/>
            <w:vAlign w:val="center"/>
          </w:tcPr>
          <w:p w14:paraId="177784FD">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bidi="ar-SA"/>
              </w:rPr>
              <w:t>100%</w:t>
            </w:r>
          </w:p>
        </w:tc>
        <w:tc>
          <w:tcPr>
            <w:tcW w:w="960" w:type="dxa"/>
            <w:shd w:val="clear" w:color="auto" w:fill="FFFFFF"/>
            <w:vAlign w:val="center"/>
          </w:tcPr>
          <w:p w14:paraId="407B547E">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1</w:t>
            </w:r>
          </w:p>
        </w:tc>
      </w:tr>
      <w:tr w14:paraId="3DF5CD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31878185">
            <w:pPr>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14:paraId="6023865A">
            <w:pPr>
              <w:widowControl/>
              <w:spacing w:line="0" w:lineRule="atLeast"/>
              <w:jc w:val="center"/>
              <w:rPr>
                <w:rFonts w:ascii="宋体" w:hAnsi="宋体" w:cs="宋体"/>
                <w:color w:val="000000"/>
                <w:kern w:val="0"/>
                <w:sz w:val="22"/>
                <w:szCs w:val="22"/>
              </w:rPr>
            </w:pPr>
          </w:p>
        </w:tc>
        <w:tc>
          <w:tcPr>
            <w:tcW w:w="1283" w:type="dxa"/>
            <w:shd w:val="clear" w:color="auto" w:fill="FFFFFF"/>
            <w:vAlign w:val="center"/>
          </w:tcPr>
          <w:p w14:paraId="37368BE5">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14:paraId="24BA0D49">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资金使用</w:t>
            </w:r>
          </w:p>
          <w:p w14:paraId="0D29126F">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合规性</w:t>
            </w:r>
          </w:p>
        </w:tc>
        <w:tc>
          <w:tcPr>
            <w:tcW w:w="727" w:type="dxa"/>
            <w:shd w:val="clear" w:color="000000" w:fill="FFFFFF"/>
            <w:vAlign w:val="center"/>
          </w:tcPr>
          <w:p w14:paraId="50A80657">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14:paraId="64A4606D">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1</w:t>
            </w:r>
          </w:p>
        </w:tc>
        <w:tc>
          <w:tcPr>
            <w:tcW w:w="924" w:type="dxa"/>
            <w:shd w:val="clear" w:color="000000" w:fill="FFFFFF"/>
            <w:vAlign w:val="center"/>
          </w:tcPr>
          <w:p w14:paraId="443B2FAD">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1</w:t>
            </w:r>
          </w:p>
        </w:tc>
        <w:tc>
          <w:tcPr>
            <w:tcW w:w="1215" w:type="dxa"/>
            <w:shd w:val="clear" w:color="000000" w:fill="FFFFFF"/>
            <w:vAlign w:val="center"/>
          </w:tcPr>
          <w:p w14:paraId="18C2DDFE">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bidi="ar-SA"/>
              </w:rPr>
              <w:t>100%</w:t>
            </w:r>
          </w:p>
        </w:tc>
        <w:tc>
          <w:tcPr>
            <w:tcW w:w="960" w:type="dxa"/>
            <w:shd w:val="clear" w:color="000000" w:fill="FFFFFF"/>
            <w:vAlign w:val="center"/>
          </w:tcPr>
          <w:p w14:paraId="7AE44911">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1</w:t>
            </w:r>
          </w:p>
        </w:tc>
      </w:tr>
      <w:tr w14:paraId="0D7C87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7AFD52DC">
            <w:pPr>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14:paraId="5A070000">
            <w:pPr>
              <w:spacing w:line="0" w:lineRule="atLeast"/>
              <w:jc w:val="center"/>
              <w:rPr>
                <w:rFonts w:ascii="宋体" w:hAnsi="宋体" w:cs="宋体"/>
                <w:color w:val="000000"/>
                <w:kern w:val="0"/>
                <w:sz w:val="22"/>
                <w:szCs w:val="22"/>
              </w:rPr>
            </w:pPr>
          </w:p>
        </w:tc>
        <w:tc>
          <w:tcPr>
            <w:tcW w:w="1283" w:type="dxa"/>
            <w:vMerge w:val="restart"/>
            <w:shd w:val="clear" w:color="auto" w:fill="FFFFFF"/>
            <w:vAlign w:val="center"/>
          </w:tcPr>
          <w:p w14:paraId="66CAEE0D">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组织实施</w:t>
            </w:r>
          </w:p>
        </w:tc>
        <w:tc>
          <w:tcPr>
            <w:tcW w:w="1707" w:type="dxa"/>
            <w:shd w:val="clear" w:color="auto" w:fill="FFFFFF"/>
            <w:vAlign w:val="center"/>
          </w:tcPr>
          <w:p w14:paraId="7006F472">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管理制度</w:t>
            </w:r>
          </w:p>
          <w:p w14:paraId="51D18812">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健全性</w:t>
            </w:r>
          </w:p>
        </w:tc>
        <w:tc>
          <w:tcPr>
            <w:tcW w:w="727" w:type="dxa"/>
            <w:shd w:val="clear" w:color="000000" w:fill="FFFFFF"/>
            <w:vAlign w:val="center"/>
          </w:tcPr>
          <w:p w14:paraId="7585EC46">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14:paraId="1696C6DF">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1</w:t>
            </w:r>
          </w:p>
        </w:tc>
        <w:tc>
          <w:tcPr>
            <w:tcW w:w="924" w:type="dxa"/>
            <w:shd w:val="clear" w:color="000000" w:fill="FFFFFF"/>
            <w:vAlign w:val="center"/>
          </w:tcPr>
          <w:p w14:paraId="384E79DA">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1</w:t>
            </w:r>
          </w:p>
        </w:tc>
        <w:tc>
          <w:tcPr>
            <w:tcW w:w="1215" w:type="dxa"/>
            <w:shd w:val="clear" w:color="000000" w:fill="FFFFFF"/>
            <w:vAlign w:val="center"/>
          </w:tcPr>
          <w:p w14:paraId="0627D1E0">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bidi="ar-SA"/>
              </w:rPr>
              <w:t>100%</w:t>
            </w:r>
          </w:p>
        </w:tc>
        <w:tc>
          <w:tcPr>
            <w:tcW w:w="960" w:type="dxa"/>
            <w:shd w:val="clear" w:color="000000" w:fill="FFFFFF"/>
            <w:vAlign w:val="center"/>
          </w:tcPr>
          <w:p w14:paraId="5DBF3FCE">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1</w:t>
            </w:r>
          </w:p>
        </w:tc>
      </w:tr>
      <w:tr w14:paraId="5D6D74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4A14C3C">
            <w:pPr>
              <w:widowControl/>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14:paraId="328B780D">
            <w:pPr>
              <w:widowControl/>
              <w:spacing w:line="0" w:lineRule="atLeast"/>
              <w:jc w:val="center"/>
              <w:rPr>
                <w:rFonts w:ascii="宋体" w:hAnsi="宋体" w:cs="宋体"/>
                <w:color w:val="000000"/>
                <w:kern w:val="0"/>
                <w:sz w:val="22"/>
                <w:szCs w:val="22"/>
              </w:rPr>
            </w:pPr>
          </w:p>
        </w:tc>
        <w:tc>
          <w:tcPr>
            <w:tcW w:w="1283" w:type="dxa"/>
            <w:vMerge w:val="continue"/>
            <w:shd w:val="clear" w:color="auto" w:fill="FFFFFF"/>
            <w:vAlign w:val="center"/>
          </w:tcPr>
          <w:p w14:paraId="437CF1C7">
            <w:pPr>
              <w:widowControl/>
              <w:spacing w:line="0" w:lineRule="atLeast"/>
              <w:jc w:val="center"/>
              <w:rPr>
                <w:rFonts w:ascii="宋体" w:hAnsi="宋体" w:cs="宋体"/>
                <w:color w:val="000000"/>
                <w:kern w:val="0"/>
                <w:sz w:val="22"/>
                <w:szCs w:val="22"/>
              </w:rPr>
            </w:pPr>
          </w:p>
        </w:tc>
        <w:tc>
          <w:tcPr>
            <w:tcW w:w="1707" w:type="dxa"/>
            <w:shd w:val="clear" w:color="auto" w:fill="FFFFFF"/>
            <w:vAlign w:val="center"/>
          </w:tcPr>
          <w:p w14:paraId="0DD7DF45">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制度执行</w:t>
            </w:r>
          </w:p>
          <w:p w14:paraId="0A99C7EE">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有效性</w:t>
            </w:r>
          </w:p>
        </w:tc>
        <w:tc>
          <w:tcPr>
            <w:tcW w:w="727" w:type="dxa"/>
            <w:shd w:val="clear" w:color="000000" w:fill="FFFFFF"/>
            <w:vAlign w:val="center"/>
          </w:tcPr>
          <w:p w14:paraId="23C989C9">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14:paraId="0C1DE0C7">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1</w:t>
            </w:r>
          </w:p>
        </w:tc>
        <w:tc>
          <w:tcPr>
            <w:tcW w:w="924" w:type="dxa"/>
            <w:shd w:val="clear" w:color="000000" w:fill="FFFFFF"/>
            <w:vAlign w:val="center"/>
          </w:tcPr>
          <w:p w14:paraId="2063638B">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1</w:t>
            </w:r>
          </w:p>
        </w:tc>
        <w:tc>
          <w:tcPr>
            <w:tcW w:w="1215" w:type="dxa"/>
            <w:shd w:val="clear" w:color="000000" w:fill="FFFFFF"/>
            <w:vAlign w:val="center"/>
          </w:tcPr>
          <w:p w14:paraId="774747FE">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bidi="ar-SA"/>
              </w:rPr>
              <w:t>100%</w:t>
            </w:r>
          </w:p>
        </w:tc>
        <w:tc>
          <w:tcPr>
            <w:tcW w:w="960" w:type="dxa"/>
            <w:shd w:val="clear" w:color="000000" w:fill="FFFFFF"/>
            <w:vAlign w:val="center"/>
          </w:tcPr>
          <w:p w14:paraId="1DF3B02C">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1</w:t>
            </w:r>
          </w:p>
        </w:tc>
      </w:tr>
      <w:tr w14:paraId="4850DF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2B65C781">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w:t>
            </w:r>
          </w:p>
        </w:tc>
        <w:tc>
          <w:tcPr>
            <w:tcW w:w="990" w:type="dxa"/>
            <w:vMerge w:val="restart"/>
            <w:shd w:val="clear" w:color="auto" w:fill="FFFFFF"/>
            <w:vAlign w:val="center"/>
          </w:tcPr>
          <w:p w14:paraId="5F80640C">
            <w:pPr>
              <w:widowControl/>
              <w:spacing w:line="0" w:lineRule="atLeast"/>
              <w:jc w:val="center"/>
              <w:rPr>
                <w:rFonts w:ascii="宋体" w:hAnsi="宋体" w:cs="宋体"/>
                <w:color w:val="000000"/>
                <w:kern w:val="0"/>
                <w:sz w:val="22"/>
                <w:szCs w:val="22"/>
              </w:rPr>
            </w:pPr>
            <w:r>
              <w:rPr>
                <w:rFonts w:hint="eastAsia" w:ascii="宋体" w:hAnsi="宋体" w:cs="宋体"/>
                <w:kern w:val="0"/>
                <w:sz w:val="22"/>
                <w:szCs w:val="22"/>
              </w:rPr>
              <w:t>50分</w:t>
            </w:r>
          </w:p>
        </w:tc>
        <w:tc>
          <w:tcPr>
            <w:tcW w:w="1283" w:type="dxa"/>
            <w:shd w:val="clear" w:color="auto" w:fill="FFFFFF"/>
            <w:vAlign w:val="center"/>
          </w:tcPr>
          <w:p w14:paraId="7251C9CA">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1707" w:type="dxa"/>
            <w:shd w:val="clear" w:color="auto" w:fill="FFFFFF"/>
            <w:vAlign w:val="center"/>
          </w:tcPr>
          <w:p w14:paraId="6ACD9687">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实际完成率</w:t>
            </w:r>
          </w:p>
        </w:tc>
        <w:tc>
          <w:tcPr>
            <w:tcW w:w="727" w:type="dxa"/>
            <w:shd w:val="clear" w:color="000000" w:fill="FFFFFF"/>
            <w:vAlign w:val="center"/>
          </w:tcPr>
          <w:p w14:paraId="02A2D375">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24.99</w:t>
            </w:r>
          </w:p>
        </w:tc>
        <w:tc>
          <w:tcPr>
            <w:tcW w:w="1044" w:type="dxa"/>
            <w:shd w:val="clear" w:color="000000" w:fill="FFFFFF"/>
            <w:vAlign w:val="center"/>
          </w:tcPr>
          <w:p w14:paraId="63595ECE">
            <w:pPr>
              <w:widowControl/>
              <w:spacing w:line="0" w:lineRule="atLeas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24.99</w:t>
            </w:r>
          </w:p>
        </w:tc>
        <w:tc>
          <w:tcPr>
            <w:tcW w:w="924" w:type="dxa"/>
            <w:shd w:val="clear" w:color="000000" w:fill="FFFFFF"/>
            <w:vAlign w:val="center"/>
          </w:tcPr>
          <w:p w14:paraId="7B63F8DD">
            <w:pPr>
              <w:widowControl/>
              <w:spacing w:line="0" w:lineRule="atLeas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20.7</w:t>
            </w:r>
          </w:p>
        </w:tc>
        <w:tc>
          <w:tcPr>
            <w:tcW w:w="1215" w:type="dxa"/>
            <w:shd w:val="clear" w:color="000000" w:fill="FFFFFF"/>
            <w:vAlign w:val="center"/>
          </w:tcPr>
          <w:p w14:paraId="03181DF5">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bidi="ar-SA"/>
              </w:rPr>
              <w:t>82.83%</w:t>
            </w:r>
          </w:p>
        </w:tc>
        <w:tc>
          <w:tcPr>
            <w:tcW w:w="960" w:type="dxa"/>
            <w:shd w:val="clear" w:color="000000" w:fill="FFFFFF"/>
            <w:vAlign w:val="center"/>
          </w:tcPr>
          <w:p w14:paraId="5BA6D6F5">
            <w:pPr>
              <w:widowControl/>
              <w:spacing w:line="0" w:lineRule="atLeas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20.7</w:t>
            </w:r>
          </w:p>
        </w:tc>
      </w:tr>
      <w:tr w14:paraId="434BC7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12A41837">
            <w:pPr>
              <w:widowControl/>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14:paraId="704847EE">
            <w:pPr>
              <w:widowControl/>
              <w:spacing w:line="0" w:lineRule="atLeast"/>
              <w:jc w:val="center"/>
              <w:rPr>
                <w:rFonts w:ascii="宋体" w:hAnsi="宋体" w:cs="宋体"/>
                <w:color w:val="000000"/>
                <w:kern w:val="0"/>
                <w:sz w:val="22"/>
                <w:szCs w:val="22"/>
              </w:rPr>
            </w:pPr>
          </w:p>
        </w:tc>
        <w:tc>
          <w:tcPr>
            <w:tcW w:w="1283" w:type="dxa"/>
            <w:shd w:val="clear" w:color="auto" w:fill="FFFFFF"/>
            <w:vAlign w:val="center"/>
          </w:tcPr>
          <w:p w14:paraId="16D9FE15">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1707" w:type="dxa"/>
            <w:shd w:val="clear" w:color="auto" w:fill="FFFFFF"/>
            <w:vAlign w:val="center"/>
          </w:tcPr>
          <w:p w14:paraId="24DA5DE7">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质量达标率</w:t>
            </w:r>
          </w:p>
        </w:tc>
        <w:tc>
          <w:tcPr>
            <w:tcW w:w="727" w:type="dxa"/>
            <w:shd w:val="clear" w:color="000000" w:fill="FFFFFF"/>
            <w:vAlign w:val="center"/>
          </w:tcPr>
          <w:p w14:paraId="0A42509D">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8.33</w:t>
            </w:r>
          </w:p>
        </w:tc>
        <w:tc>
          <w:tcPr>
            <w:tcW w:w="1044" w:type="dxa"/>
            <w:shd w:val="clear" w:color="000000" w:fill="FFFFFF"/>
            <w:vAlign w:val="center"/>
          </w:tcPr>
          <w:p w14:paraId="6EC11C70">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8.33</w:t>
            </w:r>
          </w:p>
        </w:tc>
        <w:tc>
          <w:tcPr>
            <w:tcW w:w="924" w:type="dxa"/>
            <w:shd w:val="clear" w:color="000000" w:fill="FFFFFF"/>
            <w:vAlign w:val="center"/>
          </w:tcPr>
          <w:p w14:paraId="20372CF8">
            <w:pPr>
              <w:widowControl/>
              <w:spacing w:line="0" w:lineRule="atLeas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8.33</w:t>
            </w:r>
          </w:p>
        </w:tc>
        <w:tc>
          <w:tcPr>
            <w:tcW w:w="1215" w:type="dxa"/>
            <w:shd w:val="clear" w:color="000000" w:fill="FFFFFF"/>
            <w:vAlign w:val="center"/>
          </w:tcPr>
          <w:p w14:paraId="270EC46A">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bidi="ar-SA"/>
              </w:rPr>
              <w:t>100%</w:t>
            </w:r>
          </w:p>
        </w:tc>
        <w:tc>
          <w:tcPr>
            <w:tcW w:w="960" w:type="dxa"/>
            <w:shd w:val="clear" w:color="000000" w:fill="FFFFFF"/>
            <w:vAlign w:val="center"/>
          </w:tcPr>
          <w:p w14:paraId="626E7540">
            <w:pPr>
              <w:widowControl/>
              <w:spacing w:line="0" w:lineRule="atLeas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8.33</w:t>
            </w:r>
          </w:p>
        </w:tc>
      </w:tr>
      <w:tr w14:paraId="603DD3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B9E5A12">
            <w:pPr>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14:paraId="60811B37">
            <w:pPr>
              <w:spacing w:line="0" w:lineRule="atLeast"/>
              <w:jc w:val="center"/>
              <w:rPr>
                <w:rFonts w:ascii="宋体" w:hAnsi="宋体" w:cs="宋体"/>
                <w:color w:val="000000"/>
                <w:kern w:val="0"/>
                <w:sz w:val="22"/>
                <w:szCs w:val="22"/>
              </w:rPr>
            </w:pPr>
          </w:p>
        </w:tc>
        <w:tc>
          <w:tcPr>
            <w:tcW w:w="1283" w:type="dxa"/>
            <w:shd w:val="clear" w:color="auto" w:fill="FFFFFF"/>
            <w:vAlign w:val="center"/>
          </w:tcPr>
          <w:p w14:paraId="7CB8033D">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1707" w:type="dxa"/>
            <w:shd w:val="clear" w:color="auto" w:fill="FFFFFF"/>
            <w:vAlign w:val="center"/>
          </w:tcPr>
          <w:p w14:paraId="6D99F5F2">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完成及时性</w:t>
            </w:r>
          </w:p>
        </w:tc>
        <w:tc>
          <w:tcPr>
            <w:tcW w:w="727" w:type="dxa"/>
            <w:shd w:val="clear" w:color="000000" w:fill="FFFFFF"/>
            <w:vAlign w:val="center"/>
          </w:tcPr>
          <w:p w14:paraId="07D0D94C">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8.33</w:t>
            </w:r>
          </w:p>
        </w:tc>
        <w:tc>
          <w:tcPr>
            <w:tcW w:w="1044" w:type="dxa"/>
            <w:shd w:val="clear" w:color="000000" w:fill="FFFFFF"/>
            <w:vAlign w:val="center"/>
          </w:tcPr>
          <w:p w14:paraId="5EC4F341">
            <w:pPr>
              <w:widowControl/>
              <w:spacing w:line="0" w:lineRule="atLeas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8.33</w:t>
            </w:r>
          </w:p>
        </w:tc>
        <w:tc>
          <w:tcPr>
            <w:tcW w:w="924" w:type="dxa"/>
            <w:shd w:val="clear" w:color="000000" w:fill="FFFFFF"/>
            <w:vAlign w:val="center"/>
          </w:tcPr>
          <w:p w14:paraId="54F59937">
            <w:pPr>
              <w:widowControl/>
              <w:spacing w:line="0" w:lineRule="atLeas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8.33</w:t>
            </w:r>
          </w:p>
        </w:tc>
        <w:tc>
          <w:tcPr>
            <w:tcW w:w="1215" w:type="dxa"/>
            <w:shd w:val="clear" w:color="000000" w:fill="FFFFFF"/>
            <w:vAlign w:val="center"/>
          </w:tcPr>
          <w:p w14:paraId="3051361A">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bidi="ar-SA"/>
              </w:rPr>
              <w:t>100%</w:t>
            </w:r>
          </w:p>
        </w:tc>
        <w:tc>
          <w:tcPr>
            <w:tcW w:w="960" w:type="dxa"/>
            <w:shd w:val="clear" w:color="000000" w:fill="FFFFFF"/>
            <w:vAlign w:val="center"/>
          </w:tcPr>
          <w:p w14:paraId="3AE3F7BA">
            <w:pPr>
              <w:widowControl/>
              <w:spacing w:line="0" w:lineRule="atLeas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8.33</w:t>
            </w:r>
          </w:p>
        </w:tc>
      </w:tr>
      <w:tr w14:paraId="7EB6C0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33057518">
            <w:pPr>
              <w:widowControl/>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14:paraId="243482DB">
            <w:pPr>
              <w:widowControl/>
              <w:spacing w:line="0" w:lineRule="atLeast"/>
              <w:jc w:val="center"/>
              <w:rPr>
                <w:rFonts w:ascii="宋体" w:hAnsi="宋体" w:cs="宋体"/>
                <w:color w:val="000000"/>
                <w:kern w:val="0"/>
                <w:sz w:val="22"/>
                <w:szCs w:val="22"/>
              </w:rPr>
            </w:pPr>
          </w:p>
        </w:tc>
        <w:tc>
          <w:tcPr>
            <w:tcW w:w="1283" w:type="dxa"/>
            <w:shd w:val="clear" w:color="auto" w:fill="FFFFFF"/>
            <w:vAlign w:val="center"/>
          </w:tcPr>
          <w:p w14:paraId="6FC46F07">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1707" w:type="dxa"/>
            <w:shd w:val="clear" w:color="auto" w:fill="FFFFFF"/>
            <w:vAlign w:val="center"/>
          </w:tcPr>
          <w:p w14:paraId="5FFAE29D">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成本节约率</w:t>
            </w:r>
          </w:p>
        </w:tc>
        <w:tc>
          <w:tcPr>
            <w:tcW w:w="727" w:type="dxa"/>
            <w:shd w:val="clear" w:color="000000" w:fill="FFFFFF"/>
            <w:vAlign w:val="center"/>
          </w:tcPr>
          <w:p w14:paraId="5BC15060">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8.35</w:t>
            </w:r>
          </w:p>
        </w:tc>
        <w:tc>
          <w:tcPr>
            <w:tcW w:w="1044" w:type="dxa"/>
            <w:shd w:val="clear" w:color="000000" w:fill="FFFFFF"/>
            <w:vAlign w:val="center"/>
          </w:tcPr>
          <w:p w14:paraId="38FC5843">
            <w:pPr>
              <w:widowControl/>
              <w:spacing w:line="0" w:lineRule="atLeas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8.35</w:t>
            </w:r>
          </w:p>
        </w:tc>
        <w:tc>
          <w:tcPr>
            <w:tcW w:w="924" w:type="dxa"/>
            <w:shd w:val="clear" w:color="000000" w:fill="FFFFFF"/>
            <w:vAlign w:val="center"/>
          </w:tcPr>
          <w:p w14:paraId="3E271588">
            <w:pPr>
              <w:widowControl/>
              <w:spacing w:line="0" w:lineRule="atLeas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8.35</w:t>
            </w:r>
          </w:p>
        </w:tc>
        <w:tc>
          <w:tcPr>
            <w:tcW w:w="1215" w:type="dxa"/>
            <w:shd w:val="clear" w:color="000000" w:fill="FFFFFF"/>
            <w:vAlign w:val="center"/>
          </w:tcPr>
          <w:p w14:paraId="6469B892">
            <w:pPr>
              <w:widowControl/>
              <w:spacing w:line="0" w:lineRule="atLeas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14:paraId="1F7CDE4D">
            <w:pPr>
              <w:widowControl/>
              <w:spacing w:line="0" w:lineRule="atLeas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8.35</w:t>
            </w:r>
          </w:p>
        </w:tc>
      </w:tr>
      <w:tr w14:paraId="4CF3EE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5AC91595">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效益　</w:t>
            </w:r>
          </w:p>
        </w:tc>
        <w:tc>
          <w:tcPr>
            <w:tcW w:w="990" w:type="dxa"/>
            <w:vMerge w:val="restart"/>
            <w:shd w:val="clear" w:color="auto" w:fill="FFFFFF"/>
            <w:vAlign w:val="center"/>
          </w:tcPr>
          <w:p w14:paraId="304B51B4">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40分</w:t>
            </w:r>
          </w:p>
        </w:tc>
        <w:tc>
          <w:tcPr>
            <w:tcW w:w="1283" w:type="dxa"/>
            <w:vMerge w:val="restart"/>
            <w:shd w:val="clear" w:color="auto" w:fill="FFFFFF"/>
            <w:vAlign w:val="center"/>
          </w:tcPr>
          <w:p w14:paraId="7AADB71D">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项目效益　</w:t>
            </w:r>
          </w:p>
        </w:tc>
        <w:tc>
          <w:tcPr>
            <w:tcW w:w="1707" w:type="dxa"/>
            <w:shd w:val="clear" w:color="auto" w:fill="FFFFFF"/>
            <w:vAlign w:val="center"/>
          </w:tcPr>
          <w:p w14:paraId="63BBD426">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实施效益</w:t>
            </w:r>
          </w:p>
          <w:p w14:paraId="0F64D37F">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（社会效益、经济效益、可持续效益）</w:t>
            </w:r>
          </w:p>
        </w:tc>
        <w:tc>
          <w:tcPr>
            <w:tcW w:w="727" w:type="dxa"/>
            <w:shd w:val="clear" w:color="auto" w:fill="FFFFFF"/>
            <w:vAlign w:val="center"/>
          </w:tcPr>
          <w:p w14:paraId="5918710A">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30</w:t>
            </w:r>
          </w:p>
        </w:tc>
        <w:tc>
          <w:tcPr>
            <w:tcW w:w="1044" w:type="dxa"/>
            <w:shd w:val="clear" w:color="auto" w:fill="FFFFFF"/>
            <w:vAlign w:val="center"/>
          </w:tcPr>
          <w:p w14:paraId="3F7D4854">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30</w:t>
            </w:r>
          </w:p>
        </w:tc>
        <w:tc>
          <w:tcPr>
            <w:tcW w:w="924" w:type="dxa"/>
            <w:shd w:val="clear" w:color="auto" w:fill="FFFFFF"/>
            <w:vAlign w:val="center"/>
          </w:tcPr>
          <w:p w14:paraId="71234E8F">
            <w:pPr>
              <w:widowControl/>
              <w:spacing w:line="0" w:lineRule="atLeas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28</w:t>
            </w:r>
          </w:p>
        </w:tc>
        <w:tc>
          <w:tcPr>
            <w:tcW w:w="1215" w:type="dxa"/>
            <w:shd w:val="clear" w:color="auto" w:fill="FFFFFF"/>
            <w:vAlign w:val="center"/>
          </w:tcPr>
          <w:p w14:paraId="651A0B25">
            <w:pPr>
              <w:widowControl/>
              <w:spacing w:line="0" w:lineRule="atLeas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93.33%</w:t>
            </w:r>
          </w:p>
        </w:tc>
        <w:tc>
          <w:tcPr>
            <w:tcW w:w="960" w:type="dxa"/>
            <w:shd w:val="clear" w:color="auto" w:fill="FFFFFF"/>
            <w:vAlign w:val="center"/>
          </w:tcPr>
          <w:p w14:paraId="254A2E63">
            <w:pPr>
              <w:widowControl/>
              <w:spacing w:line="0" w:lineRule="atLeas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28</w:t>
            </w:r>
          </w:p>
        </w:tc>
      </w:tr>
      <w:tr w14:paraId="13A94E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048789BE">
            <w:pPr>
              <w:widowControl/>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14:paraId="1A7B2495">
            <w:pPr>
              <w:widowControl/>
              <w:spacing w:line="0" w:lineRule="atLeast"/>
              <w:jc w:val="center"/>
              <w:rPr>
                <w:rFonts w:ascii="宋体" w:hAnsi="宋体" w:cs="宋体"/>
                <w:color w:val="000000"/>
                <w:kern w:val="0"/>
                <w:sz w:val="22"/>
                <w:szCs w:val="22"/>
              </w:rPr>
            </w:pPr>
          </w:p>
        </w:tc>
        <w:tc>
          <w:tcPr>
            <w:tcW w:w="1283" w:type="dxa"/>
            <w:vMerge w:val="continue"/>
            <w:shd w:val="clear" w:color="auto" w:fill="FFFFFF"/>
            <w:vAlign w:val="center"/>
          </w:tcPr>
          <w:p w14:paraId="48F89F52">
            <w:pPr>
              <w:widowControl/>
              <w:spacing w:line="0" w:lineRule="atLeast"/>
              <w:jc w:val="center"/>
              <w:rPr>
                <w:rFonts w:ascii="宋体" w:hAnsi="宋体" w:cs="宋体"/>
                <w:color w:val="000000"/>
                <w:kern w:val="0"/>
                <w:sz w:val="22"/>
                <w:szCs w:val="22"/>
              </w:rPr>
            </w:pPr>
          </w:p>
        </w:tc>
        <w:tc>
          <w:tcPr>
            <w:tcW w:w="1707" w:type="dxa"/>
            <w:shd w:val="clear" w:color="auto" w:fill="FFFFFF"/>
            <w:vAlign w:val="center"/>
          </w:tcPr>
          <w:p w14:paraId="4B8C3F87">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满意度</w:t>
            </w:r>
          </w:p>
        </w:tc>
        <w:tc>
          <w:tcPr>
            <w:tcW w:w="727" w:type="dxa"/>
            <w:shd w:val="clear" w:color="000000" w:fill="FFFFFF"/>
            <w:vAlign w:val="center"/>
          </w:tcPr>
          <w:p w14:paraId="18B33B96">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14:paraId="5BB6AF5F">
            <w:pPr>
              <w:widowControl/>
              <w:spacing w:line="0" w:lineRule="atLeast"/>
              <w:jc w:val="center"/>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10</w:t>
            </w:r>
          </w:p>
        </w:tc>
        <w:tc>
          <w:tcPr>
            <w:tcW w:w="924" w:type="dxa"/>
            <w:shd w:val="clear" w:color="000000" w:fill="FFFFFF"/>
            <w:vAlign w:val="center"/>
          </w:tcPr>
          <w:p w14:paraId="76261266">
            <w:pPr>
              <w:widowControl/>
              <w:spacing w:line="0" w:lineRule="atLeas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9</w:t>
            </w:r>
          </w:p>
        </w:tc>
        <w:tc>
          <w:tcPr>
            <w:tcW w:w="1215" w:type="dxa"/>
            <w:shd w:val="clear" w:color="000000" w:fill="FFFFFF"/>
            <w:vAlign w:val="center"/>
          </w:tcPr>
          <w:p w14:paraId="1E889009">
            <w:pPr>
              <w:widowControl/>
              <w:spacing w:line="0" w:lineRule="atLeast"/>
              <w:jc w:val="center"/>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90%</w:t>
            </w:r>
          </w:p>
        </w:tc>
        <w:tc>
          <w:tcPr>
            <w:tcW w:w="960" w:type="dxa"/>
            <w:shd w:val="clear" w:color="000000" w:fill="FFFFFF"/>
            <w:vAlign w:val="center"/>
          </w:tcPr>
          <w:p w14:paraId="1B6AE49E">
            <w:pPr>
              <w:widowControl/>
              <w:spacing w:line="0" w:lineRule="atLeast"/>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9</w:t>
            </w:r>
          </w:p>
        </w:tc>
      </w:tr>
    </w:tbl>
    <w:p w14:paraId="501AC934">
      <w:pPr>
        <w:spacing w:line="600" w:lineRule="exact"/>
        <w:ind w:firstLine="321" w:firstLineChars="100"/>
        <w:rPr>
          <w:rFonts w:ascii="黑体" w:hAnsi="黑体" w:eastAsia="黑体"/>
          <w:b/>
          <w:bCs/>
          <w:sz w:val="32"/>
          <w:szCs w:val="32"/>
        </w:rPr>
      </w:pPr>
      <w:r>
        <w:rPr>
          <w:rFonts w:hint="eastAsia" w:ascii="黑体" w:hAnsi="黑体" w:eastAsia="黑体"/>
          <w:b/>
          <w:bCs/>
          <w:sz w:val="32"/>
          <w:szCs w:val="32"/>
        </w:rPr>
        <w:t>四、绩效评价指标分析</w:t>
      </w:r>
    </w:p>
    <w:p w14:paraId="5B5BAA00">
      <w:pPr>
        <w:pStyle w:val="2"/>
        <w:ind w:firstLine="643" w:firstLineChars="200"/>
        <w:jc w:val="both"/>
        <w:rPr>
          <w:rFonts w:hint="eastAsia" w:ascii="楷体_GB2312" w:hAnsi="楷体_GB2312" w:eastAsia="楷体_GB2312" w:cs="楷体_GB2312"/>
        </w:rPr>
      </w:pPr>
      <w:r>
        <w:rPr>
          <w:rFonts w:hint="eastAsia" w:ascii="楷体_GB2312" w:hAnsi="楷体_GB2312" w:eastAsia="楷体_GB2312" w:cs="楷体_GB2312"/>
        </w:rPr>
        <w:t>（一）项目决策情况</w:t>
      </w:r>
    </w:p>
    <w:p w14:paraId="0A6CE3B1">
      <w:pPr>
        <w:keepNext w:val="0"/>
        <w:keepLines w:val="0"/>
        <w:pageBreakBefore w:val="0"/>
        <w:widowControl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项目立项符合法律法规、相关政策及部门职责，能反映和考核项目立项依据情况，项目申请、设立过程符合相关要求，能反映和考核项目立项的规范情况，所设定的绩效目标依据充分，符合客观实际，能反映和考核项目绩效目标与项目实施的相符情况，依据绩效目标设定的绩效指标清晰、细化、可衡量，能反映和考核项目绩效目标的明细化情况。</w:t>
      </w:r>
    </w:p>
    <w:p w14:paraId="000B0EDF">
      <w:pPr>
        <w:keepNext w:val="0"/>
        <w:keepLines w:val="0"/>
        <w:pageBreakBefore w:val="0"/>
        <w:widowControl w:val="0"/>
        <w:kinsoku/>
        <w:wordWrap/>
        <w:overflowPunct/>
        <w:topLinePunct w:val="0"/>
        <w:autoSpaceDE/>
        <w:autoSpaceDN/>
        <w:bidi w:val="0"/>
        <w:adjustRightInd/>
        <w:snapToGrid/>
        <w:spacing w:line="560" w:lineRule="atLeast"/>
        <w:ind w:firstLine="641"/>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我部紧紧围绕加强项目的规范化、科学化管理要求，切实提高项目管理和实施成效，建立和完善科学的项目管理机制，提高项目管理和实施成效，我部于年初制定了年度电影发行放映工作要点，并依据该要点设立了项目年度总目标和阶段性目标，会议研究通过了总金额为67.98万的年度项目总预算，项目实施过程中，能够严格按照预算项目绩效目标申报计划，严密组织实施。在实施过程中能够进一步建立健全绩效评价体系，科学制定项目实施预算方案和会计核算制度,按照项目经费管理财务制度，对项目支出进行了严格的授权审批，资金拨付审批程序规范，会计核算结果真实、准确。</w:t>
      </w:r>
    </w:p>
    <w:p w14:paraId="3CE45C6E">
      <w:pPr>
        <w:pStyle w:val="2"/>
        <w:pageBreakBefore w:val="0"/>
        <w:numPr>
          <w:ilvl w:val="0"/>
          <w:numId w:val="3"/>
        </w:numPr>
        <w:kinsoku/>
        <w:wordWrap/>
        <w:overflowPunct/>
        <w:topLinePunct w:val="0"/>
        <w:autoSpaceDE/>
        <w:autoSpaceDN/>
        <w:bidi w:val="0"/>
        <w:adjustRightInd/>
        <w:snapToGrid/>
        <w:spacing w:before="0" w:after="0" w:line="560" w:lineRule="atLeast"/>
        <w:ind w:firstLine="321" w:firstLineChars="100"/>
        <w:jc w:val="both"/>
        <w:textAlignment w:val="auto"/>
      </w:pPr>
      <w:r>
        <w:rPr>
          <w:rFonts w:hint="eastAsia" w:ascii="楷体_GB2312" w:hAnsi="楷体_GB2312" w:eastAsia="楷体_GB2312" w:cs="楷体_GB2312"/>
        </w:rPr>
        <w:t>项目过程情况</w:t>
      </w:r>
    </w:p>
    <w:p w14:paraId="3950CBDA">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b w:val="0"/>
          <w:bCs w:val="0"/>
          <w:kern w:val="28"/>
          <w:sz w:val="32"/>
          <w:szCs w:val="32"/>
          <w:highlight w:val="none"/>
          <w:lang w:val="en-US" w:eastAsia="zh-CN" w:bidi="ar-SA"/>
        </w:rPr>
      </w:pPr>
      <w:r>
        <w:rPr>
          <w:rFonts w:hint="eastAsia" w:ascii="仿宋_GB2312" w:hAnsi="仿宋_GB2312" w:eastAsia="仿宋_GB2312" w:cs="仿宋_GB2312"/>
          <w:b w:val="0"/>
          <w:bCs w:val="0"/>
          <w:kern w:val="28"/>
          <w:sz w:val="32"/>
          <w:szCs w:val="32"/>
          <w:highlight w:val="none"/>
          <w:lang w:val="en-US" w:eastAsia="zh-CN" w:bidi="ar-SA"/>
        </w:rPr>
        <w:t>本项目资金的到位率100%，执行率100%，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14:paraId="4C4B33D2">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b w:val="0"/>
          <w:bCs w:val="0"/>
          <w:kern w:val="28"/>
          <w:sz w:val="32"/>
          <w:szCs w:val="32"/>
          <w:highlight w:val="none"/>
          <w:lang w:val="en-US" w:eastAsia="zh-CN" w:bidi="ar-SA"/>
        </w:rPr>
      </w:pPr>
      <w:r>
        <w:rPr>
          <w:rFonts w:hint="eastAsia" w:ascii="仿宋_GB2312" w:hAnsi="仿宋_GB2312" w:eastAsia="仿宋_GB2312" w:cs="仿宋_GB2312"/>
          <w:b w:val="0"/>
          <w:bCs w:val="0"/>
          <w:kern w:val="28"/>
          <w:sz w:val="32"/>
          <w:szCs w:val="32"/>
          <w:highlight w:val="none"/>
          <w:lang w:val="en-US" w:eastAsia="zh-CN" w:bidi="ar-SA"/>
        </w:rPr>
        <w:t>一是严把农村电影放映影片质量关。二是派电影放映技术员全面进行技术指导和跟踪服务。三是严格编制完成项目预算、及时报财政审核审批。</w:t>
      </w:r>
    </w:p>
    <w:p w14:paraId="09023AA2">
      <w:pPr>
        <w:pStyle w:val="8"/>
        <w:pageBreakBefore w:val="0"/>
        <w:numPr>
          <w:ilvl w:val="0"/>
          <w:numId w:val="3"/>
        </w:numPr>
        <w:kinsoku/>
        <w:wordWrap/>
        <w:overflowPunct/>
        <w:topLinePunct w:val="0"/>
        <w:autoSpaceDE/>
        <w:autoSpaceDN/>
        <w:bidi w:val="0"/>
        <w:adjustRightInd/>
        <w:snapToGrid/>
        <w:spacing w:after="0" w:line="560" w:lineRule="atLeast"/>
        <w:ind w:firstLine="321" w:firstLineChars="1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项目产出</w:t>
      </w:r>
    </w:p>
    <w:p w14:paraId="52D62857">
      <w:pPr>
        <w:pageBreakBefore w:val="0"/>
        <w:kinsoku/>
        <w:wordWrap/>
        <w:overflowPunct/>
        <w:topLinePunct w:val="0"/>
        <w:autoSpaceDE/>
        <w:autoSpaceDN/>
        <w:bidi w:val="0"/>
        <w:adjustRightInd/>
        <w:snapToGrid/>
        <w:spacing w:line="560" w:lineRule="atLeast"/>
        <w:ind w:firstLine="640"/>
        <w:textAlignment w:val="auto"/>
        <w:rPr>
          <w:rStyle w:val="11"/>
          <w:rFonts w:hint="default" w:ascii="仿宋" w:hAnsi="仿宋" w:eastAsia="仿宋" w:cs="仿宋"/>
          <w:b w:val="0"/>
          <w:bCs/>
          <w:spacing w:val="-4"/>
          <w:sz w:val="32"/>
          <w:szCs w:val="32"/>
          <w:lang w:val="en-US" w:eastAsia="zh-CN"/>
        </w:rPr>
      </w:pPr>
      <w:r>
        <w:rPr>
          <w:rStyle w:val="11"/>
          <w:rFonts w:hint="eastAsia" w:ascii="仿宋" w:hAnsi="仿宋" w:eastAsia="仿宋" w:cs="仿宋"/>
          <w:b w:val="0"/>
          <w:bCs/>
          <w:spacing w:val="-4"/>
          <w:sz w:val="32"/>
          <w:szCs w:val="32"/>
        </w:rPr>
        <w:t>数量指标方面：</w:t>
      </w:r>
      <w:r>
        <w:rPr>
          <w:rStyle w:val="11"/>
          <w:rFonts w:hint="eastAsia" w:ascii="仿宋" w:hAnsi="仿宋" w:eastAsia="仿宋" w:cs="仿宋"/>
          <w:b w:val="0"/>
          <w:bCs/>
          <w:spacing w:val="-4"/>
          <w:sz w:val="32"/>
          <w:szCs w:val="32"/>
          <w:lang w:val="en-US" w:eastAsia="zh-CN"/>
        </w:rPr>
        <w:t>全年公益数字电影放映9360场次，实际完成6550场次。举办放映员培训40人，观看电影放映人数60万人次，实际观看电影放映人数50万人次。</w:t>
      </w:r>
    </w:p>
    <w:p w14:paraId="12675927">
      <w:pPr>
        <w:pageBreakBefore w:val="0"/>
        <w:kinsoku/>
        <w:wordWrap/>
        <w:overflowPunct/>
        <w:topLinePunct w:val="0"/>
        <w:autoSpaceDE/>
        <w:autoSpaceDN/>
        <w:bidi w:val="0"/>
        <w:adjustRightInd/>
        <w:snapToGrid/>
        <w:spacing w:line="560" w:lineRule="atLeast"/>
        <w:ind w:firstLine="640"/>
        <w:textAlignment w:val="auto"/>
        <w:rPr>
          <w:rStyle w:val="11"/>
          <w:rFonts w:hint="eastAsia" w:ascii="仿宋" w:hAnsi="仿宋" w:eastAsia="仿宋" w:cs="仿宋"/>
          <w:b w:val="0"/>
          <w:bCs/>
          <w:spacing w:val="-4"/>
          <w:sz w:val="32"/>
          <w:szCs w:val="32"/>
          <w:lang w:val="en-US" w:eastAsia="zh-CN"/>
        </w:rPr>
      </w:pPr>
      <w:r>
        <w:rPr>
          <w:rStyle w:val="12"/>
          <w:rFonts w:hint="eastAsia"/>
          <w:color w:val="auto"/>
        </w:rPr>
        <w:t>质量指标方面：</w:t>
      </w:r>
      <w:r>
        <w:rPr>
          <w:rStyle w:val="12"/>
          <w:rFonts w:hint="eastAsia" w:eastAsia="仿宋_GB2312"/>
          <w:color w:val="auto"/>
          <w:lang w:val="en-US" w:eastAsia="zh-CN"/>
        </w:rPr>
        <w:t>科教片占比为</w:t>
      </w:r>
      <w:r>
        <w:rPr>
          <w:rStyle w:val="11"/>
          <w:rFonts w:hint="eastAsia" w:ascii="仿宋" w:hAnsi="仿宋" w:eastAsia="仿宋" w:cs="仿宋"/>
          <w:b w:val="0"/>
          <w:bCs/>
          <w:spacing w:val="-4"/>
          <w:sz w:val="32"/>
          <w:szCs w:val="32"/>
          <w:lang w:val="en-US" w:eastAsia="zh-CN"/>
        </w:rPr>
        <w:t>全年公益数字电影放映场次的12%。</w:t>
      </w:r>
    </w:p>
    <w:p w14:paraId="08A4E531">
      <w:pPr>
        <w:pageBreakBefore w:val="0"/>
        <w:kinsoku/>
        <w:wordWrap/>
        <w:overflowPunct/>
        <w:topLinePunct w:val="0"/>
        <w:autoSpaceDE/>
        <w:autoSpaceDN/>
        <w:bidi w:val="0"/>
        <w:adjustRightInd/>
        <w:snapToGrid/>
        <w:spacing w:line="560" w:lineRule="atLeast"/>
        <w:ind w:firstLine="640"/>
        <w:textAlignment w:val="auto"/>
        <w:rPr>
          <w:rStyle w:val="12"/>
          <w:rFonts w:hint="default"/>
          <w:b w:val="0"/>
          <w:bCs w:val="0"/>
          <w:color w:val="auto"/>
          <w:lang w:val="en-US" w:eastAsia="zh-CN"/>
        </w:rPr>
      </w:pPr>
      <w:r>
        <w:rPr>
          <w:rStyle w:val="12"/>
          <w:rFonts w:hint="eastAsia"/>
          <w:b w:val="0"/>
          <w:bCs w:val="0"/>
          <w:color w:val="auto"/>
          <w:lang w:val="en-US" w:eastAsia="zh-CN"/>
        </w:rPr>
        <w:t>成本指标方面：全年</w:t>
      </w:r>
      <w:r>
        <w:rPr>
          <w:rStyle w:val="11"/>
          <w:rFonts w:hint="eastAsia" w:ascii="仿宋" w:hAnsi="仿宋" w:eastAsia="仿宋" w:cs="仿宋"/>
          <w:b w:val="0"/>
          <w:bCs/>
          <w:spacing w:val="-4"/>
          <w:sz w:val="32"/>
          <w:szCs w:val="32"/>
          <w:lang w:val="en-US" w:eastAsia="zh-CN"/>
        </w:rPr>
        <w:t>公益数字电影</w:t>
      </w:r>
      <w:r>
        <w:rPr>
          <w:rStyle w:val="12"/>
          <w:rFonts w:hint="eastAsia"/>
          <w:b w:val="0"/>
          <w:bCs w:val="0"/>
          <w:color w:val="auto"/>
          <w:lang w:val="en-US" w:eastAsia="zh-CN"/>
        </w:rPr>
        <w:t>放映费用18万元。</w:t>
      </w:r>
    </w:p>
    <w:p w14:paraId="7DD16DE9">
      <w:pPr>
        <w:pageBreakBefore w:val="0"/>
        <w:kinsoku/>
        <w:wordWrap/>
        <w:overflowPunct/>
        <w:topLinePunct w:val="0"/>
        <w:autoSpaceDE/>
        <w:autoSpaceDN/>
        <w:bidi w:val="0"/>
        <w:adjustRightInd/>
        <w:snapToGrid/>
        <w:spacing w:line="560" w:lineRule="atLeast"/>
        <w:ind w:firstLine="640" w:firstLineChars="200"/>
        <w:textAlignment w:val="auto"/>
        <w:rPr>
          <w:rFonts w:hint="default" w:ascii="楷体_GB2312" w:hAnsi="楷体_GB2312" w:eastAsia="楷体_GB2312" w:cs="楷体_GB2312"/>
          <w:b/>
          <w:bCs/>
          <w:sz w:val="32"/>
          <w:szCs w:val="32"/>
          <w:lang w:val="en-US"/>
        </w:rPr>
      </w:pPr>
      <w:r>
        <w:rPr>
          <w:rStyle w:val="12"/>
          <w:rFonts w:hint="eastAsia"/>
          <w:color w:val="auto"/>
          <w:lang w:val="en-US" w:eastAsia="zh-CN"/>
        </w:rPr>
        <w:t>时效指标方面：</w:t>
      </w:r>
      <w:r>
        <w:rPr>
          <w:rStyle w:val="12"/>
          <w:rFonts w:hint="eastAsia"/>
          <w:b w:val="0"/>
          <w:bCs w:val="0"/>
          <w:color w:val="auto"/>
          <w:lang w:val="en-US" w:eastAsia="zh-CN"/>
        </w:rPr>
        <w:t>全年</w:t>
      </w:r>
      <w:r>
        <w:rPr>
          <w:rStyle w:val="11"/>
          <w:rFonts w:hint="eastAsia" w:ascii="仿宋" w:hAnsi="仿宋" w:eastAsia="仿宋" w:cs="仿宋"/>
          <w:b w:val="0"/>
          <w:bCs/>
          <w:spacing w:val="-4"/>
          <w:sz w:val="32"/>
          <w:szCs w:val="32"/>
          <w:lang w:val="en-US" w:eastAsia="zh-CN"/>
        </w:rPr>
        <w:t>公益数字电影</w:t>
      </w:r>
      <w:r>
        <w:rPr>
          <w:rStyle w:val="12"/>
          <w:rFonts w:hint="eastAsia"/>
          <w:b w:val="0"/>
          <w:bCs w:val="0"/>
          <w:color w:val="auto"/>
          <w:lang w:val="en-US" w:eastAsia="zh-CN"/>
        </w:rPr>
        <w:t>放映</w:t>
      </w:r>
      <w:r>
        <w:rPr>
          <w:rStyle w:val="12"/>
          <w:rFonts w:hint="eastAsia"/>
          <w:color w:val="auto"/>
          <w:lang w:val="en-US" w:eastAsia="zh-CN"/>
        </w:rPr>
        <w:t>完成时限2020年12月以前。</w:t>
      </w:r>
    </w:p>
    <w:p w14:paraId="63A03DA0">
      <w:pPr>
        <w:pStyle w:val="8"/>
        <w:pageBreakBefore w:val="0"/>
        <w:numPr>
          <w:ilvl w:val="0"/>
          <w:numId w:val="3"/>
        </w:numPr>
        <w:kinsoku/>
        <w:wordWrap/>
        <w:overflowPunct/>
        <w:topLinePunct w:val="0"/>
        <w:autoSpaceDE/>
        <w:autoSpaceDN/>
        <w:bidi w:val="0"/>
        <w:adjustRightInd/>
        <w:snapToGrid/>
        <w:spacing w:after="0" w:line="560" w:lineRule="atLeast"/>
        <w:ind w:firstLine="321" w:firstLineChars="1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效益情况</w:t>
      </w:r>
    </w:p>
    <w:p w14:paraId="73384FEE">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b w:val="0"/>
          <w:bCs w:val="0"/>
          <w:kern w:val="28"/>
          <w:sz w:val="32"/>
          <w:szCs w:val="32"/>
          <w:highlight w:val="none"/>
          <w:lang w:val="en-US" w:eastAsia="zh-CN" w:bidi="ar-SA"/>
        </w:rPr>
      </w:pPr>
      <w:r>
        <w:rPr>
          <w:rFonts w:hint="eastAsia" w:ascii="仿宋_GB2312" w:hAnsi="仿宋_GB2312" w:eastAsia="仿宋_GB2312" w:cs="仿宋_GB2312"/>
          <w:b w:val="0"/>
          <w:bCs w:val="0"/>
          <w:kern w:val="28"/>
          <w:sz w:val="32"/>
          <w:szCs w:val="32"/>
          <w:highlight w:val="none"/>
          <w:lang w:val="en-US" w:eastAsia="zh-CN" w:bidi="ar-SA"/>
        </w:rPr>
        <w:t>经济效益指标方面：公益电影项目的实施为构建人民群众的基本公共服务体系奠定了坚实的资金保障。</w:t>
      </w:r>
    </w:p>
    <w:p w14:paraId="1F175DED">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b w:val="0"/>
          <w:bCs w:val="0"/>
          <w:kern w:val="28"/>
          <w:sz w:val="32"/>
          <w:szCs w:val="32"/>
          <w:highlight w:val="none"/>
          <w:lang w:val="en-US" w:eastAsia="zh-CN" w:bidi="ar-SA"/>
        </w:rPr>
      </w:pPr>
      <w:r>
        <w:rPr>
          <w:rFonts w:hint="eastAsia" w:ascii="仿宋_GB2312" w:hAnsi="仿宋_GB2312" w:eastAsia="仿宋_GB2312" w:cs="仿宋_GB2312"/>
          <w:b w:val="0"/>
          <w:bCs w:val="0"/>
          <w:kern w:val="28"/>
          <w:sz w:val="32"/>
          <w:szCs w:val="32"/>
          <w:highlight w:val="none"/>
          <w:lang w:val="en-US" w:eastAsia="zh-CN" w:bidi="ar-SA"/>
        </w:rPr>
        <w:t>社会效益指标方面：全区农村公益电影放映工作较好地满足农村广大农民群众文化精神生活的需求，促进了社会主义核心价值观的宣传教育，取得了很好的社会效益。</w:t>
      </w:r>
    </w:p>
    <w:p w14:paraId="68A253E4">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b w:val="0"/>
          <w:bCs w:val="0"/>
          <w:kern w:val="28"/>
          <w:sz w:val="32"/>
          <w:szCs w:val="32"/>
          <w:highlight w:val="none"/>
          <w:lang w:val="en-US" w:eastAsia="zh-CN" w:bidi="ar-SA"/>
        </w:rPr>
      </w:pPr>
      <w:r>
        <w:rPr>
          <w:rFonts w:hint="eastAsia" w:ascii="仿宋_GB2312" w:hAnsi="仿宋_GB2312" w:eastAsia="仿宋_GB2312" w:cs="仿宋_GB2312"/>
          <w:b w:val="0"/>
          <w:bCs w:val="0"/>
          <w:kern w:val="28"/>
          <w:sz w:val="32"/>
          <w:szCs w:val="32"/>
          <w:highlight w:val="none"/>
          <w:lang w:val="en-US" w:eastAsia="zh-CN" w:bidi="ar-SA"/>
        </w:rPr>
        <w:t>可持续影响指标方面：农村公益电影放映的项目属于经常性项目，我区农村公益电影放映工作项目每年要列入财政预算，应持续提供运行维护经费问题，确保我区公益电影放映工作得以制度化、长效化，保障我区人民群众享受到基本的文化权益。得到群众认可和欢迎。</w:t>
      </w:r>
    </w:p>
    <w:p w14:paraId="6A27E015">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b w:val="0"/>
          <w:bCs w:val="0"/>
          <w:kern w:val="28"/>
          <w:sz w:val="32"/>
          <w:szCs w:val="32"/>
          <w:highlight w:val="none"/>
          <w:lang w:val="en-US" w:eastAsia="zh-CN" w:bidi="ar-SA"/>
        </w:rPr>
      </w:pPr>
      <w:r>
        <w:rPr>
          <w:rStyle w:val="12"/>
          <w:color w:val="auto"/>
        </w:rPr>
        <w:t>满意度指标</w:t>
      </w:r>
      <w:r>
        <w:rPr>
          <w:rStyle w:val="12"/>
          <w:rFonts w:hint="eastAsia"/>
          <w:color w:val="auto"/>
        </w:rPr>
        <w:t>方面：</w:t>
      </w:r>
      <w:r>
        <w:rPr>
          <w:rFonts w:hint="eastAsia" w:ascii="仿宋_GB2312" w:hAnsi="仿宋_GB2312" w:eastAsia="仿宋_GB2312" w:cs="仿宋_GB2312"/>
          <w:b w:val="0"/>
          <w:bCs w:val="0"/>
          <w:kern w:val="28"/>
          <w:sz w:val="32"/>
          <w:szCs w:val="32"/>
          <w:highlight w:val="none"/>
          <w:lang w:val="en-US" w:eastAsia="zh-CN" w:bidi="ar-SA"/>
        </w:rPr>
        <w:t>通过观影群众的问卷调查，对组织培训质量及效果情况进行了调查，调查结果综合满意度为90%。</w:t>
      </w:r>
    </w:p>
    <w:p w14:paraId="0D54B6B2">
      <w:pPr>
        <w:pageBreakBefore w:val="0"/>
        <w:kinsoku/>
        <w:wordWrap/>
        <w:overflowPunct/>
        <w:topLinePunct w:val="0"/>
        <w:autoSpaceDE/>
        <w:autoSpaceDN/>
        <w:bidi w:val="0"/>
        <w:adjustRightInd/>
        <w:snapToGrid/>
        <w:spacing w:line="560" w:lineRule="atLeast"/>
        <w:ind w:firstLine="641"/>
        <w:textAlignment w:val="auto"/>
        <w:rPr>
          <w:rStyle w:val="12"/>
          <w:b/>
          <w:bCs/>
          <w:color w:val="auto"/>
        </w:rPr>
      </w:pPr>
      <w:r>
        <w:rPr>
          <w:rFonts w:hint="eastAsia" w:ascii="黑体" w:hAnsi="黑体" w:eastAsia="黑体"/>
          <w:b/>
          <w:bCs/>
          <w:sz w:val="32"/>
          <w:szCs w:val="32"/>
        </w:rPr>
        <w:t>五、主要经验及做法、存在的问题及原因分析</w:t>
      </w:r>
    </w:p>
    <w:p w14:paraId="6AC61E2A">
      <w:pPr>
        <w:pageBreakBefore w:val="0"/>
        <w:kinsoku/>
        <w:wordWrap/>
        <w:overflowPunct/>
        <w:topLinePunct w:val="0"/>
        <w:autoSpaceDE/>
        <w:autoSpaceDN/>
        <w:bidi w:val="0"/>
        <w:adjustRightInd/>
        <w:snapToGrid/>
        <w:spacing w:line="560" w:lineRule="atLeas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（一）主要经验及做法</w:t>
      </w:r>
    </w:p>
    <w:p w14:paraId="0B96E9D5">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7031582A">
      <w:pPr>
        <w:pStyle w:val="2"/>
        <w:pageBreakBefore w:val="0"/>
        <w:kinsoku/>
        <w:wordWrap/>
        <w:overflowPunct/>
        <w:topLinePunct w:val="0"/>
        <w:autoSpaceDE/>
        <w:autoSpaceDN/>
        <w:bidi w:val="0"/>
        <w:adjustRightInd/>
        <w:snapToGrid/>
        <w:spacing w:before="0" w:after="0" w:line="560" w:lineRule="atLeast"/>
        <w:ind w:firstLine="640" w:firstLineChars="200"/>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5EB93B39">
      <w:pPr>
        <w:keepNext/>
        <w:keepLines/>
        <w:pageBreakBefore w:val="0"/>
        <w:numPr>
          <w:ilvl w:val="0"/>
          <w:numId w:val="4"/>
        </w:numPr>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存在的问题及原因分析</w:t>
      </w:r>
    </w:p>
    <w:p w14:paraId="639C0600">
      <w:pPr>
        <w:pageBreakBefore w:val="0"/>
        <w:kinsoku/>
        <w:wordWrap/>
        <w:overflowPunct/>
        <w:topLinePunct w:val="0"/>
        <w:autoSpaceDE/>
        <w:autoSpaceDN/>
        <w:bidi w:val="0"/>
        <w:adjustRightInd/>
        <w:snapToGrid/>
        <w:spacing w:line="560" w:lineRule="atLeas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1、存在的问题</w:t>
      </w:r>
      <w:r>
        <w:rPr>
          <w:rFonts w:hint="eastAsia" w:ascii="仿宋_GB2312" w:hAnsi="仿宋_GB2312" w:eastAsia="仿宋_GB2312" w:cs="仿宋_GB2312"/>
          <w:sz w:val="32"/>
          <w:szCs w:val="32"/>
          <w:lang w:val="en-US" w:eastAsia="zh-CN"/>
        </w:rPr>
        <w:t>：</w:t>
      </w:r>
    </w:p>
    <w:p w14:paraId="6F9C0967">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atLeast"/>
        <w:ind w:right="0" w:righ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一是因现有农村受益人群大部分是老人和小孩，造成受益群众看影后安全不能完全保障。二是放映成本参差不齐，因放映地点是全区74个乡镇街道村社，所以放映难度加大。三是因是流动电影放映车播放电影，所以观影条件比较受影响。</w:t>
      </w:r>
    </w:p>
    <w:p w14:paraId="6E07D551">
      <w:pPr>
        <w:pageBreakBefore w:val="0"/>
        <w:kinsoku/>
        <w:wordWrap/>
        <w:overflowPunct/>
        <w:topLinePunct w:val="0"/>
        <w:autoSpaceDE/>
        <w:autoSpaceDN/>
        <w:bidi w:val="0"/>
        <w:adjustRightInd/>
        <w:snapToGrid/>
        <w:spacing w:line="560" w:lineRule="atLeas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2、原因分析</w:t>
      </w:r>
      <w:r>
        <w:rPr>
          <w:rFonts w:hint="eastAsia" w:ascii="仿宋_GB2312" w:hAnsi="仿宋_GB2312" w:eastAsia="仿宋_GB2312" w:cs="仿宋_GB2312"/>
          <w:sz w:val="32"/>
          <w:szCs w:val="32"/>
          <w:lang w:eastAsia="zh-CN"/>
        </w:rPr>
        <w:t>：</w:t>
      </w:r>
    </w:p>
    <w:p w14:paraId="368753BE">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进一步建立健全制度，加强</w:t>
      </w:r>
      <w:r>
        <w:rPr>
          <w:rFonts w:hint="eastAsia" w:ascii="仿宋_GB2312" w:hAnsi="仿宋_GB2312" w:eastAsia="仿宋_GB2312" w:cs="仿宋_GB2312"/>
          <w:sz w:val="32"/>
          <w:szCs w:val="32"/>
          <w:lang w:val="en-US" w:eastAsia="zh-CN"/>
        </w:rPr>
        <w:t>塔城地区</w:t>
      </w:r>
      <w:r>
        <w:rPr>
          <w:rFonts w:hint="eastAsia" w:ascii="仿宋_GB2312" w:hAnsi="仿宋_GB2312" w:eastAsia="仿宋_GB2312" w:cs="仿宋_GB2312"/>
          <w:sz w:val="32"/>
          <w:szCs w:val="32"/>
        </w:rPr>
        <w:t>农村电影放映工作的组织实施领导，一是在充分发挥电影监控平台的同时，对有争议的放映场次加强下基层走访暗查。按时做好统计上报工作，形成常规化、制度化。二是会同财政部门加强专项资金的监管。</w:t>
      </w:r>
    </w:p>
    <w:p w14:paraId="50D54E51">
      <w:pPr>
        <w:pageBreakBefore w:val="0"/>
        <w:numPr>
          <w:ilvl w:val="0"/>
          <w:numId w:val="5"/>
        </w:numPr>
        <w:kinsoku/>
        <w:wordWrap/>
        <w:overflowPunct/>
        <w:topLinePunct w:val="0"/>
        <w:autoSpaceDE/>
        <w:autoSpaceDN/>
        <w:bidi w:val="0"/>
        <w:adjustRightInd/>
        <w:snapToGrid/>
        <w:spacing w:line="560" w:lineRule="atLeast"/>
        <w:ind w:firstLine="641"/>
        <w:textAlignment w:val="auto"/>
        <w:rPr>
          <w:rFonts w:ascii="黑体" w:hAnsi="黑体" w:eastAsia="黑体"/>
          <w:b/>
          <w:bCs/>
          <w:sz w:val="32"/>
          <w:szCs w:val="32"/>
        </w:rPr>
      </w:pPr>
      <w:r>
        <w:rPr>
          <w:rFonts w:hint="eastAsia" w:ascii="黑体" w:hAnsi="黑体" w:eastAsia="黑体"/>
          <w:b/>
          <w:bCs/>
          <w:sz w:val="32"/>
          <w:szCs w:val="32"/>
        </w:rPr>
        <w:t>有关建议</w:t>
      </w:r>
    </w:p>
    <w:p w14:paraId="4A8770EC">
      <w:pPr>
        <w:pageBreakBefore w:val="0"/>
        <w:numPr>
          <w:ilvl w:val="0"/>
          <w:numId w:val="6"/>
        </w:numPr>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14:paraId="5032FF79">
      <w:pPr>
        <w:pageBreakBefore w:val="0"/>
        <w:numPr>
          <w:ilvl w:val="0"/>
          <w:numId w:val="6"/>
        </w:numPr>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和项目实施单位严格实行“三专”管理，即设专户、建专帐、定专人。同时，资金拨付除坚持按项目计划、工程进度和质量分阶段验收拨款外，还坚持部门联审制，项目单位先做事、后报帐，从而确保专项资金专款专用，有效地防止了截留、挤占和挪用。</w:t>
      </w:r>
    </w:p>
    <w:p w14:paraId="43732F40">
      <w:pPr>
        <w:pageBreakBefore w:val="0"/>
        <w:numPr>
          <w:ilvl w:val="0"/>
          <w:numId w:val="5"/>
        </w:numPr>
        <w:kinsoku/>
        <w:wordWrap/>
        <w:overflowPunct/>
        <w:topLinePunct w:val="0"/>
        <w:autoSpaceDE/>
        <w:autoSpaceDN/>
        <w:bidi w:val="0"/>
        <w:adjustRightInd/>
        <w:snapToGrid/>
        <w:spacing w:line="560" w:lineRule="atLeast"/>
        <w:ind w:firstLine="641"/>
        <w:textAlignment w:val="auto"/>
        <w:rPr>
          <w:rFonts w:ascii="黑体" w:hAnsi="黑体" w:eastAsia="黑体"/>
          <w:b/>
          <w:bCs/>
          <w:sz w:val="32"/>
          <w:szCs w:val="32"/>
        </w:rPr>
      </w:pPr>
      <w:r>
        <w:rPr>
          <w:rFonts w:hint="eastAsia" w:ascii="黑体" w:hAnsi="黑体" w:eastAsia="黑体"/>
          <w:b/>
          <w:bCs/>
          <w:sz w:val="32"/>
          <w:szCs w:val="32"/>
        </w:rPr>
        <w:t>其他需要说</w:t>
      </w:r>
      <w:bookmarkStart w:id="1" w:name="page8"/>
      <w:bookmarkEnd w:id="1"/>
      <w:r>
        <w:rPr>
          <w:rFonts w:hint="eastAsia" w:ascii="黑体" w:hAnsi="黑体" w:eastAsia="黑体"/>
          <w:b/>
          <w:bCs/>
          <w:sz w:val="32"/>
          <w:szCs w:val="32"/>
        </w:rPr>
        <w:t>明的问题</w:t>
      </w:r>
    </w:p>
    <w:p w14:paraId="3ADA2EE2">
      <w:pPr>
        <w:pStyle w:val="2"/>
        <w:pageBreakBefore w:val="0"/>
        <w:kinsoku/>
        <w:wordWrap/>
        <w:overflowPunct/>
        <w:topLinePunct w:val="0"/>
        <w:autoSpaceDE/>
        <w:autoSpaceDN/>
        <w:bidi w:val="0"/>
        <w:adjustRightInd/>
        <w:snapToGrid/>
        <w:spacing w:before="0" w:after="0" w:line="560" w:lineRule="atLeast"/>
        <w:ind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无。</w:t>
      </w:r>
    </w:p>
    <w:p w14:paraId="435F8788">
      <w:pPr>
        <w:pageBreakBefore w:val="0"/>
        <w:kinsoku/>
        <w:wordWrap/>
        <w:overflowPunct/>
        <w:topLinePunct w:val="0"/>
        <w:autoSpaceDE/>
        <w:autoSpaceDN/>
        <w:bidi w:val="0"/>
        <w:adjustRightInd/>
        <w:snapToGrid/>
        <w:spacing w:line="560" w:lineRule="atLeast"/>
        <w:textAlignment w:val="auto"/>
        <w:rPr>
          <w:rFonts w:hint="eastAsia" w:ascii="黑体" w:hAnsi="黑体" w:eastAsia="黑体"/>
          <w:sz w:val="32"/>
          <w:szCs w:val="32"/>
        </w:rPr>
      </w:pPr>
    </w:p>
    <w:p w14:paraId="02D0C358">
      <w:pPr>
        <w:pStyle w:val="2"/>
        <w:pageBreakBefore w:val="0"/>
        <w:kinsoku/>
        <w:wordWrap/>
        <w:overflowPunct/>
        <w:topLinePunct w:val="0"/>
        <w:autoSpaceDE/>
        <w:autoSpaceDN/>
        <w:bidi w:val="0"/>
        <w:adjustRightInd/>
        <w:snapToGrid/>
        <w:spacing w:before="0" w:after="0" w:line="560" w:lineRule="atLeast"/>
        <w:jc w:val="both"/>
        <w:textAlignment w:val="auto"/>
        <w:rPr>
          <w:rFonts w:hint="eastAsia" w:ascii="黑体" w:hAnsi="黑体" w:eastAsia="黑体"/>
          <w:sz w:val="32"/>
          <w:szCs w:val="32"/>
        </w:rPr>
      </w:pPr>
    </w:p>
    <w:p w14:paraId="1CF246FC">
      <w:pPr>
        <w:pStyle w:val="2"/>
        <w:pageBreakBefore w:val="0"/>
        <w:kinsoku/>
        <w:wordWrap/>
        <w:overflowPunct/>
        <w:topLinePunct w:val="0"/>
        <w:autoSpaceDE/>
        <w:autoSpaceDN/>
        <w:bidi w:val="0"/>
        <w:adjustRightInd/>
        <w:snapToGrid/>
        <w:spacing w:before="0" w:after="0" w:line="560" w:lineRule="atLeast"/>
        <w:jc w:val="both"/>
        <w:textAlignment w:val="auto"/>
        <w:sectPr>
          <w:footerReference r:id="rId3" w:type="default"/>
          <w:pgSz w:w="11906" w:h="16838"/>
          <w:pgMar w:top="1440" w:right="1558"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16965782">
      <w:pPr>
        <w:spacing w:line="600" w:lineRule="exact"/>
        <w:rPr>
          <w:rFonts w:hint="eastAsia" w:ascii="仿宋_GB2312"/>
          <w:bCs/>
          <w:sz w:val="32"/>
          <w:szCs w:val="32"/>
          <w:lang w:val="en-US" w:eastAsia="zh-CN"/>
        </w:rPr>
      </w:pPr>
      <w:r>
        <w:rPr>
          <w:rFonts w:hint="eastAsia" w:ascii="仿宋_GB2312"/>
          <w:bCs/>
          <w:sz w:val="32"/>
          <w:szCs w:val="32"/>
          <w:lang w:val="en-US" w:eastAsia="zh-CN"/>
        </w:rPr>
        <w:t>附件1</w:t>
      </w:r>
    </w:p>
    <w:tbl>
      <w:tblPr>
        <w:tblStyle w:val="9"/>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7"/>
        <w:gridCol w:w="766"/>
        <w:gridCol w:w="873"/>
        <w:gridCol w:w="2351"/>
        <w:gridCol w:w="5187"/>
        <w:gridCol w:w="1303"/>
        <w:gridCol w:w="1366"/>
      </w:tblGrid>
      <w:tr w14:paraId="0EA5AD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30" w:type="pct"/>
            <w:shd w:val="clear" w:color="auto" w:fill="FFFFFF"/>
            <w:noWrap w:val="0"/>
            <w:vAlign w:val="center"/>
          </w:tcPr>
          <w:p w14:paraId="29B12DF9">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302" w:type="pct"/>
            <w:shd w:val="clear" w:color="auto" w:fill="FFFFFF"/>
            <w:noWrap w:val="0"/>
            <w:vAlign w:val="center"/>
          </w:tcPr>
          <w:p w14:paraId="736E1668">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344" w:type="pct"/>
            <w:shd w:val="clear" w:color="auto" w:fill="FFFFFF"/>
            <w:noWrap w:val="0"/>
            <w:vAlign w:val="center"/>
          </w:tcPr>
          <w:p w14:paraId="039826B4">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927" w:type="pct"/>
            <w:shd w:val="clear" w:color="auto" w:fill="FFFFFF"/>
            <w:noWrap w:val="0"/>
            <w:vAlign w:val="center"/>
          </w:tcPr>
          <w:p w14:paraId="774DC88D">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2045" w:type="pct"/>
            <w:shd w:val="clear" w:color="auto" w:fill="FFFFFF"/>
            <w:noWrap w:val="0"/>
            <w:vAlign w:val="center"/>
          </w:tcPr>
          <w:p w14:paraId="4F620975">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1300" w:type="dxa"/>
            <w:shd w:val="clear" w:color="auto" w:fill="FFFFFF"/>
            <w:noWrap w:val="0"/>
            <w:vAlign w:val="center"/>
          </w:tcPr>
          <w:p w14:paraId="059EC039">
            <w:pPr>
              <w:widowControl/>
              <w:spacing w:line="0" w:lineRule="atLeast"/>
              <w:jc w:val="center"/>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rPr>
              <w:t>权重</w:t>
            </w:r>
          </w:p>
        </w:tc>
        <w:tc>
          <w:tcPr>
            <w:tcW w:w="1363" w:type="dxa"/>
            <w:shd w:val="clear" w:color="auto" w:fill="FFFFFF"/>
            <w:noWrap w:val="0"/>
            <w:vAlign w:val="center"/>
          </w:tcPr>
          <w:p w14:paraId="25905514">
            <w:pPr>
              <w:widowControl/>
              <w:tabs>
                <w:tab w:val="left" w:pos="1333"/>
                <w:tab w:val="center" w:pos="3623"/>
              </w:tabs>
              <w:spacing w:line="0" w:lineRule="atLeast"/>
              <w:jc w:val="center"/>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rPr>
              <w:t>得分</w:t>
            </w:r>
          </w:p>
        </w:tc>
      </w:tr>
      <w:tr w14:paraId="693ECA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330" w:type="pct"/>
            <w:vMerge w:val="restart"/>
            <w:shd w:val="clear" w:color="auto" w:fill="FFFFFF"/>
            <w:noWrap w:val="0"/>
            <w:vAlign w:val="center"/>
          </w:tcPr>
          <w:p w14:paraId="4F21EF80">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决策　</w:t>
            </w:r>
          </w:p>
          <w:p w14:paraId="50DA1F5E">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p w14:paraId="6D74BF03">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302" w:type="pct"/>
            <w:vMerge w:val="restart"/>
            <w:shd w:val="clear" w:color="auto" w:fill="FFFFFF"/>
            <w:noWrap w:val="0"/>
            <w:vAlign w:val="center"/>
          </w:tcPr>
          <w:p w14:paraId="456BBF92">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项目立项　</w:t>
            </w:r>
          </w:p>
        </w:tc>
        <w:tc>
          <w:tcPr>
            <w:tcW w:w="344" w:type="pct"/>
            <w:shd w:val="clear" w:color="auto" w:fill="FFFFFF"/>
            <w:noWrap w:val="0"/>
            <w:vAlign w:val="center"/>
          </w:tcPr>
          <w:p w14:paraId="784F114C">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立项依据</w:t>
            </w:r>
          </w:p>
          <w:p w14:paraId="3A226005">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充分性</w:t>
            </w:r>
          </w:p>
        </w:tc>
        <w:tc>
          <w:tcPr>
            <w:tcW w:w="927" w:type="pct"/>
            <w:shd w:val="clear" w:color="auto" w:fill="FFFFFF"/>
            <w:noWrap w:val="0"/>
            <w:vAlign w:val="center"/>
          </w:tcPr>
          <w:p w14:paraId="4B1FB78B">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项目立项是否符合法律法规、相关政策、发展规划以及部门职责，用以反映和考核项目立项依据情况。</w:t>
            </w:r>
          </w:p>
        </w:tc>
        <w:tc>
          <w:tcPr>
            <w:tcW w:w="2045" w:type="pct"/>
            <w:shd w:val="clear" w:color="auto" w:fill="FFFFFF"/>
            <w:noWrap w:val="0"/>
            <w:vAlign w:val="center"/>
          </w:tcPr>
          <w:p w14:paraId="07E68CCC">
            <w:pPr>
              <w:keepNext w:val="0"/>
              <w:keepLines w:val="0"/>
              <w:pageBreakBefore w:val="0"/>
              <w:widowControl/>
              <w:kinsoku/>
              <w:wordWrap/>
              <w:overflowPunct/>
              <w:topLinePunct w:val="0"/>
              <w:autoSpaceDE/>
              <w:autoSpaceDN/>
              <w:bidi w:val="0"/>
              <w:adjustRightInd/>
              <w:snapToGrid/>
              <w:spacing w:line="560" w:lineRule="atLeast"/>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①项目立项是否符合国家法律法规、国民经济发展规划和相关政策；</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②项目立项是否符合行业发展规划和政策要求；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③项目立项是否与部门职责范围相符，属于部门履职所需；</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④项目是否属于公共财政支持范围，是否符合中央、地方事权支出责任划分原则；</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⑤项目是否与相关部门同类项目或部门内部相关项目重复。</w:t>
            </w:r>
          </w:p>
        </w:tc>
        <w:tc>
          <w:tcPr>
            <w:tcW w:w="1300" w:type="dxa"/>
            <w:shd w:val="clear" w:color="auto" w:fill="FFFFFF"/>
            <w:noWrap w:val="0"/>
            <w:vAlign w:val="center"/>
          </w:tcPr>
          <w:p w14:paraId="12BEB418">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0.5</w:t>
            </w:r>
          </w:p>
        </w:tc>
        <w:tc>
          <w:tcPr>
            <w:tcW w:w="1363" w:type="dxa"/>
            <w:shd w:val="clear" w:color="auto" w:fill="FFFFFF"/>
            <w:noWrap w:val="0"/>
            <w:vAlign w:val="center"/>
          </w:tcPr>
          <w:p w14:paraId="4C0EFB1D">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0.5</w:t>
            </w:r>
          </w:p>
        </w:tc>
      </w:tr>
      <w:tr w14:paraId="4E4D20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30" w:type="pct"/>
            <w:vMerge w:val="continue"/>
            <w:shd w:val="clear" w:color="auto" w:fill="FFFFFF"/>
            <w:noWrap w:val="0"/>
            <w:vAlign w:val="center"/>
          </w:tcPr>
          <w:p w14:paraId="4AD6B2F2">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p>
        </w:tc>
        <w:tc>
          <w:tcPr>
            <w:tcW w:w="302" w:type="pct"/>
            <w:vMerge w:val="continue"/>
            <w:shd w:val="clear" w:color="auto" w:fill="FFFFFF"/>
            <w:noWrap w:val="0"/>
            <w:vAlign w:val="center"/>
          </w:tcPr>
          <w:p w14:paraId="13277CF2">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p>
        </w:tc>
        <w:tc>
          <w:tcPr>
            <w:tcW w:w="344" w:type="pct"/>
            <w:shd w:val="clear" w:color="auto" w:fill="FFFFFF"/>
            <w:noWrap w:val="0"/>
            <w:vAlign w:val="center"/>
          </w:tcPr>
          <w:p w14:paraId="194EF141">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立项程序</w:t>
            </w:r>
          </w:p>
          <w:p w14:paraId="68E27BFF">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规范性</w:t>
            </w:r>
          </w:p>
        </w:tc>
        <w:tc>
          <w:tcPr>
            <w:tcW w:w="927" w:type="pct"/>
            <w:shd w:val="clear" w:color="auto" w:fill="FFFFFF"/>
            <w:noWrap w:val="0"/>
            <w:vAlign w:val="center"/>
          </w:tcPr>
          <w:p w14:paraId="51A4D44B">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项目申请、设立过程是否符合相关要求，用以反映和考核项目立项的规范情况。</w:t>
            </w:r>
          </w:p>
        </w:tc>
        <w:tc>
          <w:tcPr>
            <w:tcW w:w="2045" w:type="pct"/>
            <w:shd w:val="clear" w:color="auto" w:fill="FFFFFF"/>
            <w:noWrap w:val="0"/>
            <w:vAlign w:val="center"/>
          </w:tcPr>
          <w:p w14:paraId="29372DB5">
            <w:pPr>
              <w:keepNext w:val="0"/>
              <w:keepLines w:val="0"/>
              <w:pageBreakBefore w:val="0"/>
              <w:widowControl/>
              <w:kinsoku/>
              <w:wordWrap/>
              <w:overflowPunct/>
              <w:topLinePunct w:val="0"/>
              <w:autoSpaceDE/>
              <w:autoSpaceDN/>
              <w:bidi w:val="0"/>
              <w:adjustRightInd/>
              <w:snapToGrid/>
              <w:spacing w:line="560" w:lineRule="atLeast"/>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①项目是否按照规定的程序申请设立；</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②审批文件、材料是否符合相关要求；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③事前是否已经过必要的可行性研究、专家论证、风险评估、绩效评估、集体决策。</w:t>
            </w:r>
          </w:p>
        </w:tc>
        <w:tc>
          <w:tcPr>
            <w:tcW w:w="1300" w:type="dxa"/>
            <w:shd w:val="clear" w:color="auto" w:fill="FFFFFF"/>
            <w:noWrap w:val="0"/>
            <w:vAlign w:val="center"/>
          </w:tcPr>
          <w:p w14:paraId="4AC7231F">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0.5</w:t>
            </w:r>
          </w:p>
        </w:tc>
        <w:tc>
          <w:tcPr>
            <w:tcW w:w="1363" w:type="dxa"/>
            <w:shd w:val="clear" w:color="auto" w:fill="FFFFFF"/>
            <w:noWrap w:val="0"/>
            <w:vAlign w:val="center"/>
          </w:tcPr>
          <w:p w14:paraId="7C8DB650">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0.5</w:t>
            </w:r>
          </w:p>
        </w:tc>
      </w:tr>
      <w:tr w14:paraId="063F62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30" w:type="pct"/>
            <w:vMerge w:val="continue"/>
            <w:shd w:val="clear" w:color="auto" w:fill="FFFFFF"/>
            <w:noWrap w:val="0"/>
            <w:vAlign w:val="center"/>
          </w:tcPr>
          <w:p w14:paraId="346BD565">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p>
        </w:tc>
        <w:tc>
          <w:tcPr>
            <w:tcW w:w="302" w:type="pct"/>
            <w:shd w:val="clear" w:color="auto" w:fill="FFFFFF"/>
            <w:noWrap w:val="0"/>
            <w:vAlign w:val="center"/>
          </w:tcPr>
          <w:p w14:paraId="6796F6C0">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绩效目标　</w:t>
            </w:r>
          </w:p>
        </w:tc>
        <w:tc>
          <w:tcPr>
            <w:tcW w:w="344" w:type="pct"/>
            <w:shd w:val="clear" w:color="auto" w:fill="FFFFFF"/>
            <w:noWrap w:val="0"/>
            <w:vAlign w:val="center"/>
          </w:tcPr>
          <w:p w14:paraId="18253ADB">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p w14:paraId="7F68486D">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927" w:type="pct"/>
            <w:shd w:val="clear" w:color="000000" w:fill="FFFFFF"/>
            <w:noWrap w:val="0"/>
            <w:vAlign w:val="center"/>
          </w:tcPr>
          <w:p w14:paraId="2150EF28">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项目所设定的绩效目标是否依据充分，是否符合客观实际，用以反映和考核项目绩效目标与项目实施的相符情况。</w:t>
            </w:r>
          </w:p>
        </w:tc>
        <w:tc>
          <w:tcPr>
            <w:tcW w:w="2045" w:type="pct"/>
            <w:shd w:val="clear" w:color="000000" w:fill="FFFFFF"/>
            <w:noWrap w:val="0"/>
            <w:vAlign w:val="center"/>
          </w:tcPr>
          <w:p w14:paraId="50018D1E">
            <w:pPr>
              <w:keepNext w:val="0"/>
              <w:keepLines w:val="0"/>
              <w:pageBreakBefore w:val="0"/>
              <w:widowControl/>
              <w:kinsoku/>
              <w:wordWrap/>
              <w:overflowPunct/>
              <w:topLinePunct w:val="0"/>
              <w:autoSpaceDE/>
              <w:autoSpaceDN/>
              <w:bidi w:val="0"/>
              <w:adjustRightInd/>
              <w:snapToGrid/>
              <w:spacing w:line="560" w:lineRule="atLeas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（如未设定预算绩效目标，也可考核其他工作任务目标）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①项目是否有绩效目标；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②项目绩效目标与实际工作内容是否具有相关性；</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③项目预期产出效益和效果是否符合正常的业绩水平；</w:t>
            </w:r>
          </w:p>
          <w:p w14:paraId="548B5410">
            <w:pPr>
              <w:keepNext w:val="0"/>
              <w:keepLines w:val="0"/>
              <w:pageBreakBefore w:val="0"/>
              <w:widowControl/>
              <w:kinsoku/>
              <w:wordWrap/>
              <w:overflowPunct/>
              <w:topLinePunct w:val="0"/>
              <w:autoSpaceDE/>
              <w:autoSpaceDN/>
              <w:bidi w:val="0"/>
              <w:adjustRightInd/>
              <w:snapToGrid/>
              <w:spacing w:line="560" w:lineRule="atLeast"/>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④是否与预算确定的项目投资额或资金量相匹配。</w:t>
            </w:r>
          </w:p>
        </w:tc>
        <w:tc>
          <w:tcPr>
            <w:tcW w:w="1300" w:type="dxa"/>
            <w:shd w:val="clear" w:color="000000" w:fill="FFFFFF"/>
            <w:noWrap w:val="0"/>
            <w:vAlign w:val="center"/>
          </w:tcPr>
          <w:p w14:paraId="0E7C7B4E">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1</w:t>
            </w:r>
          </w:p>
        </w:tc>
        <w:tc>
          <w:tcPr>
            <w:tcW w:w="1363" w:type="dxa"/>
            <w:shd w:val="clear" w:color="000000" w:fill="FFFFFF"/>
            <w:noWrap w:val="0"/>
            <w:vAlign w:val="center"/>
          </w:tcPr>
          <w:p w14:paraId="0F6F49CD">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1</w:t>
            </w:r>
          </w:p>
        </w:tc>
      </w:tr>
      <w:tr w14:paraId="12C8EB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30" w:type="pct"/>
            <w:vMerge w:val="restart"/>
            <w:shd w:val="clear" w:color="auto" w:fill="FFFFFF"/>
            <w:noWrap w:val="0"/>
            <w:vAlign w:val="center"/>
          </w:tcPr>
          <w:p w14:paraId="1F36F72A">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决策　</w:t>
            </w:r>
          </w:p>
        </w:tc>
        <w:tc>
          <w:tcPr>
            <w:tcW w:w="302" w:type="pct"/>
            <w:shd w:val="clear" w:color="auto" w:fill="FFFFFF"/>
            <w:noWrap w:val="0"/>
            <w:vAlign w:val="center"/>
          </w:tcPr>
          <w:p w14:paraId="34852567">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tc>
        <w:tc>
          <w:tcPr>
            <w:tcW w:w="344" w:type="pct"/>
            <w:shd w:val="clear" w:color="auto" w:fill="FFFFFF"/>
            <w:noWrap w:val="0"/>
            <w:vAlign w:val="center"/>
          </w:tcPr>
          <w:p w14:paraId="128D4C43">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绩效指标</w:t>
            </w:r>
          </w:p>
          <w:p w14:paraId="286984EB">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明确性</w:t>
            </w:r>
          </w:p>
        </w:tc>
        <w:tc>
          <w:tcPr>
            <w:tcW w:w="927" w:type="pct"/>
            <w:shd w:val="clear" w:color="000000" w:fill="FFFFFF"/>
            <w:noWrap w:val="0"/>
            <w:vAlign w:val="center"/>
          </w:tcPr>
          <w:p w14:paraId="13DC1EBF">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依据绩效目标设定的绩效指标是否清晰、细化、可衡量等，用以反映和考核项目绩效目标的明细化情况。</w:t>
            </w:r>
          </w:p>
        </w:tc>
        <w:tc>
          <w:tcPr>
            <w:tcW w:w="2045" w:type="pct"/>
            <w:shd w:val="clear" w:color="000000" w:fill="FFFFFF"/>
            <w:noWrap w:val="0"/>
            <w:vAlign w:val="center"/>
          </w:tcPr>
          <w:p w14:paraId="0EF4403D">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①是否将项目绩效目标细化分解为具体的绩效指标；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②是否通过清晰、可衡量的指标值予以体现；</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③是否与项目目标任务数或计划数相对应。</w:t>
            </w:r>
            <w:r>
              <w:rPr>
                <w:rFonts w:hint="eastAsia" w:ascii="宋体" w:hAnsi="宋体" w:eastAsia="宋体" w:cs="宋体"/>
                <w:color w:val="000000"/>
                <w:kern w:val="0"/>
                <w:sz w:val="18"/>
                <w:szCs w:val="18"/>
              </w:rPr>
              <w:br w:type="textWrapping"/>
            </w:r>
          </w:p>
        </w:tc>
        <w:tc>
          <w:tcPr>
            <w:tcW w:w="1300" w:type="dxa"/>
            <w:shd w:val="clear" w:color="000000" w:fill="FFFFFF"/>
            <w:noWrap w:val="0"/>
            <w:vAlign w:val="center"/>
          </w:tcPr>
          <w:p w14:paraId="2C7F5FE5">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1</w:t>
            </w:r>
          </w:p>
        </w:tc>
        <w:tc>
          <w:tcPr>
            <w:tcW w:w="1363" w:type="dxa"/>
            <w:shd w:val="clear" w:color="000000" w:fill="FFFFFF"/>
            <w:noWrap w:val="0"/>
            <w:vAlign w:val="center"/>
          </w:tcPr>
          <w:p w14:paraId="1D61D3F3">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1</w:t>
            </w:r>
          </w:p>
        </w:tc>
      </w:tr>
      <w:tr w14:paraId="7700BA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30" w:type="pct"/>
            <w:vMerge w:val="continue"/>
            <w:shd w:val="clear" w:color="auto" w:fill="FFFFFF"/>
            <w:noWrap w:val="0"/>
            <w:vAlign w:val="center"/>
          </w:tcPr>
          <w:p w14:paraId="2E3F3C13">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p>
        </w:tc>
        <w:tc>
          <w:tcPr>
            <w:tcW w:w="302" w:type="pct"/>
            <w:vMerge w:val="restart"/>
            <w:shd w:val="clear" w:color="auto" w:fill="FFFFFF"/>
            <w:noWrap w:val="0"/>
            <w:vAlign w:val="center"/>
          </w:tcPr>
          <w:p w14:paraId="6A87E3BC">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资金投入</w:t>
            </w:r>
          </w:p>
          <w:p w14:paraId="66B4212E">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344" w:type="pct"/>
            <w:shd w:val="clear" w:color="auto" w:fill="FFFFFF"/>
            <w:noWrap w:val="0"/>
            <w:vAlign w:val="center"/>
          </w:tcPr>
          <w:p w14:paraId="5B702DC7">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预算编制</w:t>
            </w:r>
          </w:p>
          <w:p w14:paraId="323EB36B">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科学性</w:t>
            </w:r>
          </w:p>
        </w:tc>
        <w:tc>
          <w:tcPr>
            <w:tcW w:w="927" w:type="pct"/>
            <w:shd w:val="clear" w:color="auto" w:fill="FFFFFF"/>
            <w:noWrap w:val="0"/>
            <w:vAlign w:val="center"/>
          </w:tcPr>
          <w:p w14:paraId="674A1D17">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项目预算编制是否经过科学论证、有明确标准，资金额度与年度目标是否相适应，用以反映和考核项目预算编制的科学性、合理性情况。</w:t>
            </w:r>
          </w:p>
        </w:tc>
        <w:tc>
          <w:tcPr>
            <w:tcW w:w="2045" w:type="pct"/>
            <w:shd w:val="clear" w:color="auto" w:fill="FFFFFF"/>
            <w:noWrap w:val="0"/>
            <w:vAlign w:val="center"/>
          </w:tcPr>
          <w:p w14:paraId="36E34996">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①预算编制是否经过科学论证；</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②预算内容与项目内容是否匹配；</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③预算额度测算依据是否充分，是否按照标准编制；</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④预算确定的项目投资额或资金量是否与工作任务相匹配。</w:t>
            </w:r>
          </w:p>
        </w:tc>
        <w:tc>
          <w:tcPr>
            <w:tcW w:w="1300" w:type="dxa"/>
            <w:shd w:val="clear" w:color="auto" w:fill="FFFFFF"/>
            <w:noWrap w:val="0"/>
            <w:vAlign w:val="center"/>
          </w:tcPr>
          <w:p w14:paraId="00A36C47">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1</w:t>
            </w:r>
          </w:p>
        </w:tc>
        <w:tc>
          <w:tcPr>
            <w:tcW w:w="1363" w:type="dxa"/>
            <w:shd w:val="clear" w:color="auto" w:fill="FFFFFF"/>
            <w:noWrap w:val="0"/>
            <w:vAlign w:val="center"/>
          </w:tcPr>
          <w:p w14:paraId="73B1CB0E">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1</w:t>
            </w:r>
          </w:p>
        </w:tc>
      </w:tr>
      <w:tr w14:paraId="40E17A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30" w:type="pct"/>
            <w:vMerge w:val="continue"/>
            <w:shd w:val="clear" w:color="auto" w:fill="FFFFFF"/>
            <w:noWrap w:val="0"/>
            <w:vAlign w:val="center"/>
          </w:tcPr>
          <w:p w14:paraId="18B67CC6">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p>
        </w:tc>
        <w:tc>
          <w:tcPr>
            <w:tcW w:w="302" w:type="pct"/>
            <w:vMerge w:val="continue"/>
            <w:shd w:val="clear" w:color="auto" w:fill="FFFFFF"/>
            <w:noWrap w:val="0"/>
            <w:vAlign w:val="center"/>
          </w:tcPr>
          <w:p w14:paraId="06309947">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p>
        </w:tc>
        <w:tc>
          <w:tcPr>
            <w:tcW w:w="344" w:type="pct"/>
            <w:shd w:val="clear" w:color="auto" w:fill="FFFFFF"/>
            <w:noWrap w:val="0"/>
            <w:vAlign w:val="center"/>
          </w:tcPr>
          <w:p w14:paraId="0FC94F9C">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资金分配</w:t>
            </w:r>
          </w:p>
          <w:p w14:paraId="5F90E846">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927" w:type="pct"/>
            <w:shd w:val="clear" w:color="auto" w:fill="FFFFFF"/>
            <w:noWrap w:val="0"/>
            <w:vAlign w:val="center"/>
          </w:tcPr>
          <w:p w14:paraId="11536521">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项目预算资金分配是否有测算依据，与补助单位或地方实际是否相适应，用以反映和考核项目预算资金分配的科学性、合理性情况。</w:t>
            </w:r>
          </w:p>
        </w:tc>
        <w:tc>
          <w:tcPr>
            <w:tcW w:w="2045" w:type="pct"/>
            <w:shd w:val="clear" w:color="auto" w:fill="FFFFFF"/>
            <w:noWrap w:val="0"/>
            <w:vAlign w:val="center"/>
          </w:tcPr>
          <w:p w14:paraId="1F2007DF">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①预算资金分配依据是否充分；</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②资金分配额度是否合理，与项目单位或地方实际是否相适应。</w:t>
            </w:r>
          </w:p>
        </w:tc>
        <w:tc>
          <w:tcPr>
            <w:tcW w:w="1300" w:type="dxa"/>
            <w:shd w:val="clear" w:color="auto" w:fill="FFFFFF"/>
            <w:noWrap w:val="0"/>
            <w:vAlign w:val="center"/>
          </w:tcPr>
          <w:p w14:paraId="29E43401">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1</w:t>
            </w:r>
          </w:p>
        </w:tc>
        <w:tc>
          <w:tcPr>
            <w:tcW w:w="1363" w:type="dxa"/>
            <w:shd w:val="clear" w:color="auto" w:fill="FFFFFF"/>
            <w:noWrap w:val="0"/>
            <w:vAlign w:val="center"/>
          </w:tcPr>
          <w:p w14:paraId="5C9DFA4D">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1</w:t>
            </w:r>
          </w:p>
        </w:tc>
      </w:tr>
      <w:tr w14:paraId="61F594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30" w:type="pct"/>
            <w:vMerge w:val="restart"/>
            <w:shd w:val="clear" w:color="auto" w:fill="FFFFFF"/>
            <w:noWrap w:val="0"/>
            <w:vAlign w:val="center"/>
          </w:tcPr>
          <w:p w14:paraId="537A1AC8">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w:t>
            </w:r>
          </w:p>
        </w:tc>
        <w:tc>
          <w:tcPr>
            <w:tcW w:w="302" w:type="pct"/>
            <w:vMerge w:val="restart"/>
            <w:shd w:val="clear" w:color="auto" w:fill="FFFFFF"/>
            <w:noWrap w:val="0"/>
            <w:vAlign w:val="center"/>
          </w:tcPr>
          <w:p w14:paraId="1F76066F">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344" w:type="pct"/>
            <w:shd w:val="clear" w:color="auto" w:fill="FFFFFF"/>
            <w:noWrap w:val="0"/>
            <w:vAlign w:val="center"/>
          </w:tcPr>
          <w:p w14:paraId="29168706">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资金到位率</w:t>
            </w:r>
          </w:p>
        </w:tc>
        <w:tc>
          <w:tcPr>
            <w:tcW w:w="927" w:type="pct"/>
            <w:shd w:val="clear" w:color="000000" w:fill="FFFFFF"/>
            <w:noWrap w:val="0"/>
            <w:vAlign w:val="center"/>
          </w:tcPr>
          <w:p w14:paraId="69EE4C3D">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实际到位资金与预算资金的比率，用以反映和考核资金落实情况对项目实施的总体保障程度。</w:t>
            </w:r>
          </w:p>
        </w:tc>
        <w:tc>
          <w:tcPr>
            <w:tcW w:w="2045" w:type="pct"/>
            <w:shd w:val="clear" w:color="000000" w:fill="FFFFFF"/>
            <w:noWrap w:val="0"/>
            <w:vAlign w:val="center"/>
          </w:tcPr>
          <w:p w14:paraId="487D180B">
            <w:pPr>
              <w:keepNext w:val="0"/>
              <w:keepLines w:val="0"/>
              <w:pageBreakBefore w:val="0"/>
              <w:widowControl/>
              <w:kinsoku/>
              <w:wordWrap/>
              <w:overflowPunct/>
              <w:topLinePunct w:val="0"/>
              <w:autoSpaceDE/>
              <w:autoSpaceDN/>
              <w:bidi w:val="0"/>
              <w:adjustRightInd/>
              <w:snapToGrid/>
              <w:spacing w:line="560" w:lineRule="atLeas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资金到位率=（实际到位资金/预算资金）×100%。</w:t>
            </w:r>
          </w:p>
          <w:p w14:paraId="68A1C677">
            <w:pPr>
              <w:keepNext w:val="0"/>
              <w:keepLines w:val="0"/>
              <w:pageBreakBefore w:val="0"/>
              <w:widowControl/>
              <w:kinsoku/>
              <w:wordWrap/>
              <w:overflowPunct/>
              <w:topLinePunct w:val="0"/>
              <w:autoSpaceDE/>
              <w:autoSpaceDN/>
              <w:bidi w:val="0"/>
              <w:adjustRightInd/>
              <w:snapToGrid/>
              <w:spacing w:line="560" w:lineRule="atLeas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实际到位资金：一定时期（本年度或项目期）内落实到具体项目的资金。</w:t>
            </w:r>
          </w:p>
          <w:p w14:paraId="272C3464">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预算资金：一定时期（本年度或项目期）内预算安排到具体项目的资金。</w:t>
            </w:r>
          </w:p>
        </w:tc>
        <w:tc>
          <w:tcPr>
            <w:tcW w:w="1300" w:type="dxa"/>
            <w:shd w:val="clear" w:color="000000" w:fill="FFFFFF"/>
            <w:noWrap w:val="0"/>
            <w:vAlign w:val="center"/>
          </w:tcPr>
          <w:p w14:paraId="5CB6C9C3">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1</w:t>
            </w:r>
          </w:p>
        </w:tc>
        <w:tc>
          <w:tcPr>
            <w:tcW w:w="1363" w:type="dxa"/>
            <w:shd w:val="clear" w:color="000000" w:fill="FFFFFF"/>
            <w:noWrap w:val="0"/>
            <w:vAlign w:val="center"/>
          </w:tcPr>
          <w:p w14:paraId="37C1B155">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1</w:t>
            </w:r>
          </w:p>
        </w:tc>
      </w:tr>
      <w:tr w14:paraId="5D05E0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30" w:type="pct"/>
            <w:vMerge w:val="continue"/>
            <w:shd w:val="clear" w:color="auto" w:fill="FFFFFF"/>
            <w:noWrap w:val="0"/>
            <w:vAlign w:val="center"/>
          </w:tcPr>
          <w:p w14:paraId="3B199AA2">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18"/>
                <w:szCs w:val="18"/>
              </w:rPr>
            </w:pPr>
          </w:p>
        </w:tc>
        <w:tc>
          <w:tcPr>
            <w:tcW w:w="302" w:type="pct"/>
            <w:vMerge w:val="continue"/>
            <w:shd w:val="clear" w:color="auto" w:fill="FFFFFF"/>
            <w:noWrap w:val="0"/>
            <w:vAlign w:val="center"/>
          </w:tcPr>
          <w:p w14:paraId="2EE1D6E8">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18"/>
                <w:szCs w:val="18"/>
              </w:rPr>
            </w:pPr>
          </w:p>
        </w:tc>
        <w:tc>
          <w:tcPr>
            <w:tcW w:w="344" w:type="pct"/>
            <w:shd w:val="clear" w:color="auto" w:fill="FFFFFF"/>
            <w:noWrap w:val="0"/>
            <w:vAlign w:val="center"/>
          </w:tcPr>
          <w:p w14:paraId="0F21EA06">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927" w:type="pct"/>
            <w:shd w:val="clear" w:color="auto" w:fill="FFFFFF"/>
            <w:noWrap w:val="0"/>
            <w:vAlign w:val="center"/>
          </w:tcPr>
          <w:p w14:paraId="5D9A5C59">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项目预算资金是否按照计划执行，用以反映或考核项目预算执行情况。</w:t>
            </w:r>
          </w:p>
        </w:tc>
        <w:tc>
          <w:tcPr>
            <w:tcW w:w="2045" w:type="pct"/>
            <w:shd w:val="clear" w:color="auto" w:fill="FFFFFF"/>
            <w:noWrap w:val="0"/>
            <w:vAlign w:val="center"/>
          </w:tcPr>
          <w:p w14:paraId="711C7CDB">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预算执行率=（实际支出资金/实际到位资金）×100%。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实际支出资金：一定时期（本年度或项目期）内项目实际拨付的资金。</w:t>
            </w:r>
          </w:p>
        </w:tc>
        <w:tc>
          <w:tcPr>
            <w:tcW w:w="1300" w:type="dxa"/>
            <w:shd w:val="clear" w:color="auto" w:fill="FFFFFF"/>
            <w:noWrap w:val="0"/>
            <w:vAlign w:val="center"/>
          </w:tcPr>
          <w:p w14:paraId="79CCFACD">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1</w:t>
            </w:r>
          </w:p>
        </w:tc>
        <w:tc>
          <w:tcPr>
            <w:tcW w:w="1363" w:type="dxa"/>
            <w:shd w:val="clear" w:color="auto" w:fill="FFFFFF"/>
            <w:noWrap w:val="0"/>
            <w:vAlign w:val="center"/>
          </w:tcPr>
          <w:p w14:paraId="223A6316">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1</w:t>
            </w:r>
          </w:p>
        </w:tc>
      </w:tr>
      <w:tr w14:paraId="3D23CD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0" w:type="pct"/>
            <w:vMerge w:val="restart"/>
            <w:shd w:val="clear" w:color="auto" w:fill="FFFFFF"/>
            <w:noWrap w:val="0"/>
            <w:vAlign w:val="center"/>
          </w:tcPr>
          <w:p w14:paraId="54272374">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p w14:paraId="26F860B9">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过程　</w:t>
            </w:r>
          </w:p>
        </w:tc>
        <w:tc>
          <w:tcPr>
            <w:tcW w:w="302" w:type="pct"/>
            <w:shd w:val="clear" w:color="auto" w:fill="FFFFFF"/>
            <w:noWrap w:val="0"/>
            <w:vAlign w:val="center"/>
          </w:tcPr>
          <w:p w14:paraId="7051256E">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344" w:type="pct"/>
            <w:shd w:val="clear" w:color="auto" w:fill="FFFFFF"/>
            <w:noWrap w:val="0"/>
            <w:vAlign w:val="center"/>
          </w:tcPr>
          <w:p w14:paraId="60EB9CB9">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资金使用</w:t>
            </w:r>
          </w:p>
          <w:p w14:paraId="1B1DB4C0">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合规性</w:t>
            </w:r>
          </w:p>
        </w:tc>
        <w:tc>
          <w:tcPr>
            <w:tcW w:w="927" w:type="pct"/>
            <w:shd w:val="clear" w:color="000000" w:fill="FFFFFF"/>
            <w:noWrap w:val="0"/>
            <w:vAlign w:val="center"/>
          </w:tcPr>
          <w:p w14:paraId="11D1FF71">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项目资金使用是否符合相关的财务管理制度规定，用以反映和考核项目资金的规范运行情况。</w:t>
            </w:r>
          </w:p>
        </w:tc>
        <w:tc>
          <w:tcPr>
            <w:tcW w:w="2045" w:type="pct"/>
            <w:shd w:val="clear" w:color="000000" w:fill="FFFFFF"/>
            <w:noWrap w:val="0"/>
            <w:vAlign w:val="center"/>
          </w:tcPr>
          <w:p w14:paraId="35027AB8">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①是否符合国家财经法规和财务管理制度以及有关专项资金管理办法的规定；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②资金的拨付是否有完整的审批程序和手续；</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③是否符合项目预算批复或合同规定的用途；</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④是否存在截留、挤占、挪用、虚列支出等情况。</w:t>
            </w:r>
          </w:p>
        </w:tc>
        <w:tc>
          <w:tcPr>
            <w:tcW w:w="1300" w:type="dxa"/>
            <w:shd w:val="clear" w:color="000000" w:fill="FFFFFF"/>
            <w:noWrap w:val="0"/>
            <w:vAlign w:val="center"/>
          </w:tcPr>
          <w:p w14:paraId="74396DBC">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1</w:t>
            </w:r>
          </w:p>
        </w:tc>
        <w:tc>
          <w:tcPr>
            <w:tcW w:w="1363" w:type="dxa"/>
            <w:shd w:val="clear" w:color="000000" w:fill="FFFFFF"/>
            <w:noWrap w:val="0"/>
            <w:vAlign w:val="center"/>
          </w:tcPr>
          <w:p w14:paraId="232CF52D">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1</w:t>
            </w:r>
          </w:p>
        </w:tc>
      </w:tr>
      <w:tr w14:paraId="355577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30" w:type="pct"/>
            <w:vMerge w:val="continue"/>
            <w:shd w:val="clear" w:color="auto" w:fill="FFFFFF"/>
            <w:noWrap w:val="0"/>
            <w:vAlign w:val="center"/>
          </w:tcPr>
          <w:p w14:paraId="673E6A86">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p>
        </w:tc>
        <w:tc>
          <w:tcPr>
            <w:tcW w:w="302" w:type="pct"/>
            <w:vMerge w:val="restart"/>
            <w:shd w:val="clear" w:color="auto" w:fill="FFFFFF"/>
            <w:noWrap w:val="0"/>
            <w:vAlign w:val="center"/>
          </w:tcPr>
          <w:p w14:paraId="4E734A22">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组织实施</w:t>
            </w:r>
          </w:p>
          <w:p w14:paraId="42DA80AB">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344" w:type="pct"/>
            <w:shd w:val="clear" w:color="auto" w:fill="FFFFFF"/>
            <w:noWrap w:val="0"/>
            <w:vAlign w:val="center"/>
          </w:tcPr>
          <w:p w14:paraId="7E9052E0">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管理制度</w:t>
            </w:r>
          </w:p>
          <w:p w14:paraId="39302374">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健全性</w:t>
            </w:r>
          </w:p>
        </w:tc>
        <w:tc>
          <w:tcPr>
            <w:tcW w:w="927" w:type="pct"/>
            <w:shd w:val="clear" w:color="000000" w:fill="FFFFFF"/>
            <w:noWrap w:val="0"/>
            <w:vAlign w:val="center"/>
          </w:tcPr>
          <w:p w14:paraId="4E66342A">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项目实施单位的财务和业务管理制度是否健全，用以反映和考核财务和业务管理制度对项目顺利实施的保障情况。</w:t>
            </w:r>
          </w:p>
        </w:tc>
        <w:tc>
          <w:tcPr>
            <w:tcW w:w="2045" w:type="pct"/>
            <w:shd w:val="clear" w:color="000000" w:fill="FFFFFF"/>
            <w:noWrap w:val="0"/>
            <w:vAlign w:val="center"/>
          </w:tcPr>
          <w:p w14:paraId="367E0368">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①是否已制定或具有相应的财务和业务管理制度；</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②财务和业务管理制度是否合法、合规、完整。</w:t>
            </w:r>
          </w:p>
        </w:tc>
        <w:tc>
          <w:tcPr>
            <w:tcW w:w="1300" w:type="dxa"/>
            <w:shd w:val="clear" w:color="000000" w:fill="FFFFFF"/>
            <w:noWrap w:val="0"/>
            <w:vAlign w:val="center"/>
          </w:tcPr>
          <w:p w14:paraId="6F98E811">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1</w:t>
            </w:r>
          </w:p>
        </w:tc>
        <w:tc>
          <w:tcPr>
            <w:tcW w:w="1363" w:type="dxa"/>
            <w:shd w:val="clear" w:color="000000" w:fill="FFFFFF"/>
            <w:noWrap w:val="0"/>
            <w:vAlign w:val="center"/>
          </w:tcPr>
          <w:p w14:paraId="76CDF8E9">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1</w:t>
            </w:r>
          </w:p>
        </w:tc>
      </w:tr>
      <w:tr w14:paraId="1B50B4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30" w:type="pct"/>
            <w:vMerge w:val="continue"/>
            <w:shd w:val="clear" w:color="auto" w:fill="FFFFFF"/>
            <w:noWrap w:val="0"/>
            <w:vAlign w:val="center"/>
          </w:tcPr>
          <w:p w14:paraId="4765E6D9">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p>
        </w:tc>
        <w:tc>
          <w:tcPr>
            <w:tcW w:w="302" w:type="pct"/>
            <w:vMerge w:val="continue"/>
            <w:shd w:val="clear" w:color="auto" w:fill="FFFFFF"/>
            <w:noWrap w:val="0"/>
            <w:vAlign w:val="center"/>
          </w:tcPr>
          <w:p w14:paraId="5F218B06">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p>
        </w:tc>
        <w:tc>
          <w:tcPr>
            <w:tcW w:w="344" w:type="pct"/>
            <w:shd w:val="clear" w:color="auto" w:fill="FFFFFF"/>
            <w:noWrap w:val="0"/>
            <w:vAlign w:val="center"/>
          </w:tcPr>
          <w:p w14:paraId="57AF8454">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制度执行</w:t>
            </w:r>
          </w:p>
          <w:p w14:paraId="667E2A51">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有效性</w:t>
            </w:r>
          </w:p>
        </w:tc>
        <w:tc>
          <w:tcPr>
            <w:tcW w:w="927" w:type="pct"/>
            <w:shd w:val="clear" w:color="000000" w:fill="FFFFFF"/>
            <w:noWrap w:val="0"/>
            <w:vAlign w:val="center"/>
          </w:tcPr>
          <w:p w14:paraId="7E2ACF80">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项目实施是否符合相关管理规定，用以反映和考核相关管理制度的有效执行情况。</w:t>
            </w:r>
          </w:p>
        </w:tc>
        <w:tc>
          <w:tcPr>
            <w:tcW w:w="2045" w:type="pct"/>
            <w:shd w:val="clear" w:color="000000" w:fill="FFFFFF"/>
            <w:noWrap w:val="0"/>
            <w:vAlign w:val="center"/>
          </w:tcPr>
          <w:p w14:paraId="4DFCA497">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①是否遵守相关法律法规和相关管理规定；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②项目调整及支出调整手续是否完备；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③项目合同书、验收报告、技术鉴定等资料是否齐全并及时归档；</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④项目实施的人员条件、场地设备、信息支撑等是否落实到位。</w:t>
            </w:r>
          </w:p>
        </w:tc>
        <w:tc>
          <w:tcPr>
            <w:tcW w:w="1300" w:type="dxa"/>
            <w:shd w:val="clear" w:color="000000" w:fill="FFFFFF"/>
            <w:noWrap w:val="0"/>
            <w:vAlign w:val="center"/>
          </w:tcPr>
          <w:p w14:paraId="4AD50144">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1</w:t>
            </w:r>
          </w:p>
        </w:tc>
        <w:tc>
          <w:tcPr>
            <w:tcW w:w="1363" w:type="dxa"/>
            <w:shd w:val="clear" w:color="000000" w:fill="FFFFFF"/>
            <w:noWrap w:val="0"/>
            <w:vAlign w:val="center"/>
          </w:tcPr>
          <w:p w14:paraId="7F9EEE2D">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1</w:t>
            </w:r>
          </w:p>
        </w:tc>
      </w:tr>
      <w:tr w14:paraId="6D7CBB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30" w:type="pct"/>
            <w:shd w:val="clear" w:color="auto" w:fill="FFFFFF"/>
            <w:noWrap w:val="0"/>
            <w:vAlign w:val="center"/>
          </w:tcPr>
          <w:p w14:paraId="66F7AA4B">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302" w:type="pct"/>
            <w:shd w:val="clear" w:color="auto" w:fill="FFFFFF"/>
            <w:noWrap w:val="0"/>
            <w:vAlign w:val="center"/>
          </w:tcPr>
          <w:p w14:paraId="1FEEF920">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产出数量</w:t>
            </w:r>
          </w:p>
        </w:tc>
        <w:tc>
          <w:tcPr>
            <w:tcW w:w="344" w:type="pct"/>
            <w:shd w:val="clear" w:color="auto" w:fill="FFFFFF"/>
            <w:noWrap w:val="0"/>
            <w:vAlign w:val="center"/>
          </w:tcPr>
          <w:p w14:paraId="1A732308">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实际完成率</w:t>
            </w:r>
          </w:p>
        </w:tc>
        <w:tc>
          <w:tcPr>
            <w:tcW w:w="927" w:type="pct"/>
            <w:shd w:val="clear" w:color="000000" w:fill="FFFFFF"/>
            <w:noWrap w:val="0"/>
            <w:vAlign w:val="center"/>
          </w:tcPr>
          <w:p w14:paraId="61F032C8">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项目实施的实际产出数与计划产出数的比率，用以反映和考核项目产出数量目标的实现程度。</w:t>
            </w:r>
          </w:p>
        </w:tc>
        <w:tc>
          <w:tcPr>
            <w:tcW w:w="2045" w:type="pct"/>
            <w:shd w:val="clear" w:color="000000" w:fill="FFFFFF"/>
            <w:noWrap w:val="0"/>
            <w:vAlign w:val="center"/>
          </w:tcPr>
          <w:p w14:paraId="64F133E5">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实际完成率=（实际产出数/计划产出数）×100%。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实际产出数：一定时期（本年度或项目期）内项目实际产出的产品或提供的服务数量。</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计划产出数：项目绩效目标确定的在一定时期（本年度或项目期）内计划产出的产品或提供的服务数量。</w:t>
            </w:r>
          </w:p>
        </w:tc>
        <w:tc>
          <w:tcPr>
            <w:tcW w:w="1300" w:type="dxa"/>
            <w:shd w:val="clear" w:color="000000" w:fill="FFFFFF"/>
            <w:noWrap w:val="0"/>
            <w:vAlign w:val="center"/>
          </w:tcPr>
          <w:p w14:paraId="41141CE4">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24.99</w:t>
            </w:r>
          </w:p>
        </w:tc>
        <w:tc>
          <w:tcPr>
            <w:tcW w:w="1363" w:type="dxa"/>
            <w:shd w:val="clear" w:color="000000" w:fill="FFFFFF"/>
            <w:noWrap w:val="0"/>
            <w:vAlign w:val="center"/>
          </w:tcPr>
          <w:p w14:paraId="5AB0763D">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sz w:val="18"/>
                <w:szCs w:val="18"/>
                <w:lang w:val="en-US" w:eastAsia="zh-CN"/>
              </w:rPr>
            </w:pPr>
            <w:r>
              <w:rPr>
                <w:rFonts w:hint="eastAsia" w:ascii="宋体" w:hAnsi="宋体" w:cs="宋体"/>
                <w:color w:val="000000"/>
                <w:kern w:val="0"/>
                <w:sz w:val="18"/>
                <w:szCs w:val="18"/>
                <w:lang w:val="en-US" w:eastAsia="zh-CN"/>
              </w:rPr>
              <w:t>20.7</w:t>
            </w:r>
          </w:p>
        </w:tc>
      </w:tr>
      <w:tr w14:paraId="3AFE56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30" w:type="pct"/>
            <w:vMerge w:val="restart"/>
            <w:shd w:val="clear" w:color="auto" w:fill="FFFFFF"/>
            <w:noWrap w:val="0"/>
            <w:vAlign w:val="center"/>
          </w:tcPr>
          <w:p w14:paraId="4CF9C04A">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302" w:type="pct"/>
            <w:shd w:val="clear" w:color="auto" w:fill="FFFFFF"/>
            <w:noWrap w:val="0"/>
            <w:vAlign w:val="center"/>
          </w:tcPr>
          <w:p w14:paraId="2ACAB390">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产出质量</w:t>
            </w:r>
          </w:p>
        </w:tc>
        <w:tc>
          <w:tcPr>
            <w:tcW w:w="344" w:type="pct"/>
            <w:shd w:val="clear" w:color="auto" w:fill="FFFFFF"/>
            <w:noWrap w:val="0"/>
            <w:vAlign w:val="center"/>
          </w:tcPr>
          <w:p w14:paraId="00241B5D">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质量达标率</w:t>
            </w:r>
          </w:p>
        </w:tc>
        <w:tc>
          <w:tcPr>
            <w:tcW w:w="927" w:type="pct"/>
            <w:shd w:val="clear" w:color="000000" w:fill="FFFFFF"/>
            <w:noWrap w:val="0"/>
            <w:vAlign w:val="center"/>
          </w:tcPr>
          <w:p w14:paraId="1FDE21EC">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项目完成的质量达标产出数与实际产出数的比率，用以反映和考核项目产出质量目标的实现程度。</w:t>
            </w:r>
          </w:p>
        </w:tc>
        <w:tc>
          <w:tcPr>
            <w:tcW w:w="2045" w:type="pct"/>
            <w:shd w:val="clear" w:color="000000" w:fill="FFFFFF"/>
            <w:noWrap w:val="0"/>
            <w:vAlign w:val="center"/>
          </w:tcPr>
          <w:p w14:paraId="3BEE7A20">
            <w:pPr>
              <w:keepNext w:val="0"/>
              <w:keepLines w:val="0"/>
              <w:pageBreakBefore w:val="0"/>
              <w:widowControl/>
              <w:kinsoku/>
              <w:wordWrap/>
              <w:overflowPunct/>
              <w:topLinePunct w:val="0"/>
              <w:autoSpaceDE/>
              <w:autoSpaceDN/>
              <w:bidi w:val="0"/>
              <w:adjustRightInd/>
              <w:snapToGrid/>
              <w:spacing w:line="560" w:lineRule="atLeas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质量达标率=（质量达标产出数/实际产出数）×100%。</w:t>
            </w:r>
          </w:p>
          <w:p w14:paraId="1B4CE558">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noWrap w:val="0"/>
            <w:vAlign w:val="center"/>
          </w:tcPr>
          <w:p w14:paraId="5C7434D5">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8.33</w:t>
            </w:r>
          </w:p>
        </w:tc>
        <w:tc>
          <w:tcPr>
            <w:tcW w:w="1363" w:type="dxa"/>
            <w:shd w:val="clear" w:color="000000" w:fill="FFFFFF"/>
            <w:noWrap w:val="0"/>
            <w:vAlign w:val="center"/>
          </w:tcPr>
          <w:p w14:paraId="3773DF3A">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8.33</w:t>
            </w:r>
          </w:p>
        </w:tc>
      </w:tr>
      <w:tr w14:paraId="27F435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30" w:type="pct"/>
            <w:vMerge w:val="continue"/>
            <w:shd w:val="clear" w:color="auto" w:fill="FFFFFF"/>
            <w:noWrap w:val="0"/>
            <w:vAlign w:val="center"/>
          </w:tcPr>
          <w:p w14:paraId="5D65B639">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p>
        </w:tc>
        <w:tc>
          <w:tcPr>
            <w:tcW w:w="302" w:type="pct"/>
            <w:shd w:val="clear" w:color="auto" w:fill="FFFFFF"/>
            <w:noWrap w:val="0"/>
            <w:vAlign w:val="center"/>
          </w:tcPr>
          <w:p w14:paraId="35B951E9">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产出时效</w:t>
            </w:r>
          </w:p>
        </w:tc>
        <w:tc>
          <w:tcPr>
            <w:tcW w:w="344" w:type="pct"/>
            <w:shd w:val="clear" w:color="auto" w:fill="FFFFFF"/>
            <w:noWrap w:val="0"/>
            <w:vAlign w:val="center"/>
          </w:tcPr>
          <w:p w14:paraId="509EF7EF">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完成及时性</w:t>
            </w:r>
          </w:p>
        </w:tc>
        <w:tc>
          <w:tcPr>
            <w:tcW w:w="927" w:type="pct"/>
            <w:shd w:val="clear" w:color="000000" w:fill="FFFFFF"/>
            <w:noWrap w:val="0"/>
            <w:vAlign w:val="center"/>
          </w:tcPr>
          <w:p w14:paraId="68FD66A7">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项目实际完成时间与计划完成时间的比较，用以反映和考核项目产出时效目标的实现程度。</w:t>
            </w:r>
          </w:p>
        </w:tc>
        <w:tc>
          <w:tcPr>
            <w:tcW w:w="2045" w:type="pct"/>
            <w:shd w:val="clear" w:color="000000" w:fill="FFFFFF"/>
            <w:noWrap w:val="0"/>
            <w:vAlign w:val="center"/>
          </w:tcPr>
          <w:p w14:paraId="2399EF90">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实际完成时间：项目实施单位完成该项目实际所耗用的时间。</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计划完成时间：按照项目实施计划或相关规定完成该项目所需的时间。</w:t>
            </w:r>
          </w:p>
        </w:tc>
        <w:tc>
          <w:tcPr>
            <w:tcW w:w="1300" w:type="dxa"/>
            <w:shd w:val="clear" w:color="000000" w:fill="FFFFFF"/>
            <w:noWrap w:val="0"/>
            <w:vAlign w:val="center"/>
          </w:tcPr>
          <w:p w14:paraId="2E37CB93">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8.33</w:t>
            </w:r>
          </w:p>
        </w:tc>
        <w:tc>
          <w:tcPr>
            <w:tcW w:w="1363" w:type="dxa"/>
            <w:shd w:val="clear" w:color="000000" w:fill="FFFFFF"/>
            <w:noWrap w:val="0"/>
            <w:vAlign w:val="center"/>
          </w:tcPr>
          <w:p w14:paraId="23CF0719">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8.33</w:t>
            </w:r>
          </w:p>
        </w:tc>
      </w:tr>
      <w:tr w14:paraId="040F3A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0" w:type="pct"/>
            <w:vMerge w:val="continue"/>
            <w:shd w:val="clear" w:color="auto" w:fill="FFFFFF"/>
            <w:noWrap w:val="0"/>
            <w:vAlign w:val="center"/>
          </w:tcPr>
          <w:p w14:paraId="5CD89899">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p>
        </w:tc>
        <w:tc>
          <w:tcPr>
            <w:tcW w:w="302" w:type="pct"/>
            <w:shd w:val="clear" w:color="auto" w:fill="FFFFFF"/>
            <w:noWrap w:val="0"/>
            <w:vAlign w:val="center"/>
          </w:tcPr>
          <w:p w14:paraId="2BE09EC7">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产出成本</w:t>
            </w:r>
          </w:p>
        </w:tc>
        <w:tc>
          <w:tcPr>
            <w:tcW w:w="344" w:type="pct"/>
            <w:shd w:val="clear" w:color="auto" w:fill="FFFFFF"/>
            <w:noWrap w:val="0"/>
            <w:vAlign w:val="center"/>
          </w:tcPr>
          <w:p w14:paraId="53029FC7">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成本节约率</w:t>
            </w:r>
          </w:p>
        </w:tc>
        <w:tc>
          <w:tcPr>
            <w:tcW w:w="927" w:type="pct"/>
            <w:shd w:val="clear" w:color="000000" w:fill="FFFFFF"/>
            <w:noWrap w:val="0"/>
            <w:vAlign w:val="center"/>
          </w:tcPr>
          <w:p w14:paraId="4CAADF8C">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完成项目计划工作目标的实际节约成本与计划成本的比率，用以反映和考核项目的成本节约程度。</w:t>
            </w:r>
          </w:p>
        </w:tc>
        <w:tc>
          <w:tcPr>
            <w:tcW w:w="2045" w:type="pct"/>
            <w:shd w:val="clear" w:color="000000" w:fill="FFFFFF"/>
            <w:noWrap w:val="0"/>
            <w:vAlign w:val="center"/>
          </w:tcPr>
          <w:p w14:paraId="17D87ED1">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成本节约率=[（计划成本-实际成本）/计划成本]×100%。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实际成本：项目实施单位如期、保质、保量完成既定工作目标实际所耗费的支出。</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计划成本：项目实施单位为完成工作目标计划安排的支出，一般以项目预算为参考。</w:t>
            </w:r>
          </w:p>
        </w:tc>
        <w:tc>
          <w:tcPr>
            <w:tcW w:w="1300" w:type="dxa"/>
            <w:shd w:val="clear" w:color="000000" w:fill="FFFFFF"/>
            <w:noWrap w:val="0"/>
            <w:vAlign w:val="center"/>
          </w:tcPr>
          <w:p w14:paraId="2A6A1C49">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8.35</w:t>
            </w:r>
          </w:p>
        </w:tc>
        <w:tc>
          <w:tcPr>
            <w:tcW w:w="1363" w:type="dxa"/>
            <w:shd w:val="clear" w:color="000000" w:fill="FFFFFF"/>
            <w:noWrap w:val="0"/>
            <w:vAlign w:val="center"/>
          </w:tcPr>
          <w:p w14:paraId="224B74E0">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8.35</w:t>
            </w:r>
          </w:p>
        </w:tc>
      </w:tr>
      <w:tr w14:paraId="69772B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30" w:type="pct"/>
            <w:vMerge w:val="restart"/>
            <w:shd w:val="clear" w:color="auto" w:fill="FFFFFF"/>
            <w:noWrap w:val="0"/>
            <w:vAlign w:val="center"/>
          </w:tcPr>
          <w:p w14:paraId="240EBAA9">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效益　</w:t>
            </w:r>
          </w:p>
        </w:tc>
        <w:tc>
          <w:tcPr>
            <w:tcW w:w="302" w:type="pct"/>
            <w:vMerge w:val="restart"/>
            <w:shd w:val="clear" w:color="auto" w:fill="FFFFFF"/>
            <w:noWrap w:val="0"/>
            <w:vAlign w:val="center"/>
          </w:tcPr>
          <w:p w14:paraId="765373AC">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项目效益　</w:t>
            </w:r>
          </w:p>
        </w:tc>
        <w:tc>
          <w:tcPr>
            <w:tcW w:w="344" w:type="pct"/>
            <w:shd w:val="clear" w:color="auto" w:fill="FFFFFF"/>
            <w:noWrap w:val="0"/>
            <w:vAlign w:val="center"/>
          </w:tcPr>
          <w:p w14:paraId="2C48F175">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实施效益</w:t>
            </w:r>
          </w:p>
        </w:tc>
        <w:tc>
          <w:tcPr>
            <w:tcW w:w="927" w:type="pct"/>
            <w:shd w:val="clear" w:color="auto" w:fill="FFFFFF"/>
            <w:noWrap w:val="0"/>
            <w:vAlign w:val="center"/>
          </w:tcPr>
          <w:p w14:paraId="51F3FCF4">
            <w:pPr>
              <w:keepNext w:val="0"/>
              <w:keepLines w:val="0"/>
              <w:pageBreakBefore w:val="0"/>
              <w:widowControl/>
              <w:kinsoku/>
              <w:wordWrap/>
              <w:overflowPunct/>
              <w:topLinePunct w:val="0"/>
              <w:autoSpaceDE/>
              <w:autoSpaceDN/>
              <w:bidi w:val="0"/>
              <w:adjustRightInd/>
              <w:snapToGrid/>
              <w:spacing w:line="560" w:lineRule="atLeast"/>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项目实施所产生的效益。</w:t>
            </w:r>
          </w:p>
        </w:tc>
        <w:tc>
          <w:tcPr>
            <w:tcW w:w="2045" w:type="pct"/>
            <w:shd w:val="clear" w:color="auto" w:fill="FFFFFF"/>
            <w:noWrap w:val="0"/>
            <w:vAlign w:val="center"/>
          </w:tcPr>
          <w:p w14:paraId="451CB1B1">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项目实施所产生的社会效益、经济效益、生态效益、可持续影响等。可根据项目实际情况有选择地设置和细化。</w:t>
            </w:r>
          </w:p>
        </w:tc>
        <w:tc>
          <w:tcPr>
            <w:tcW w:w="1300" w:type="dxa"/>
            <w:shd w:val="clear" w:color="auto" w:fill="FFFFFF"/>
            <w:noWrap w:val="0"/>
            <w:vAlign w:val="center"/>
          </w:tcPr>
          <w:p w14:paraId="5DAA3A02">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30</w:t>
            </w:r>
          </w:p>
        </w:tc>
        <w:tc>
          <w:tcPr>
            <w:tcW w:w="1363" w:type="dxa"/>
            <w:shd w:val="clear" w:color="auto" w:fill="FFFFFF"/>
            <w:noWrap w:val="0"/>
            <w:vAlign w:val="center"/>
          </w:tcPr>
          <w:p w14:paraId="281CA677">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28</w:t>
            </w:r>
          </w:p>
        </w:tc>
      </w:tr>
      <w:tr w14:paraId="233380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30" w:type="pct"/>
            <w:vMerge w:val="continue"/>
            <w:shd w:val="clear" w:color="auto" w:fill="FFFFFF"/>
            <w:noWrap w:val="0"/>
            <w:vAlign w:val="center"/>
          </w:tcPr>
          <w:p w14:paraId="23AB0DA0">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p>
        </w:tc>
        <w:tc>
          <w:tcPr>
            <w:tcW w:w="302" w:type="pct"/>
            <w:vMerge w:val="continue"/>
            <w:shd w:val="clear" w:color="auto" w:fill="FFFFFF"/>
            <w:noWrap w:val="0"/>
            <w:vAlign w:val="center"/>
          </w:tcPr>
          <w:p w14:paraId="37A3D52B">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p>
        </w:tc>
        <w:tc>
          <w:tcPr>
            <w:tcW w:w="344" w:type="pct"/>
            <w:shd w:val="clear" w:color="auto" w:fill="FFFFFF"/>
            <w:noWrap w:val="0"/>
            <w:vAlign w:val="center"/>
          </w:tcPr>
          <w:p w14:paraId="596D9629">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满意度</w:t>
            </w:r>
          </w:p>
        </w:tc>
        <w:tc>
          <w:tcPr>
            <w:tcW w:w="927" w:type="pct"/>
            <w:shd w:val="clear" w:color="000000" w:fill="FFFFFF"/>
            <w:noWrap w:val="0"/>
            <w:vAlign w:val="center"/>
          </w:tcPr>
          <w:p w14:paraId="37EC1268">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社会公众或服务对象对项目实施效果的满意程度。</w:t>
            </w:r>
          </w:p>
        </w:tc>
        <w:tc>
          <w:tcPr>
            <w:tcW w:w="2045" w:type="pct"/>
            <w:shd w:val="clear" w:color="000000" w:fill="FFFFFF"/>
            <w:noWrap w:val="0"/>
            <w:vAlign w:val="center"/>
          </w:tcPr>
          <w:p w14:paraId="6B2501E9">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社会公众或服务对象是指因该项目实施而受到影响的部门（单位）、群体或个人。一般采取社会调查的方式。</w:t>
            </w:r>
          </w:p>
        </w:tc>
        <w:tc>
          <w:tcPr>
            <w:tcW w:w="1300" w:type="dxa"/>
            <w:shd w:val="clear" w:color="000000" w:fill="FFFFFF"/>
            <w:noWrap w:val="0"/>
            <w:vAlign w:val="center"/>
          </w:tcPr>
          <w:p w14:paraId="3859696C">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10</w:t>
            </w:r>
          </w:p>
        </w:tc>
        <w:tc>
          <w:tcPr>
            <w:tcW w:w="1363" w:type="dxa"/>
            <w:shd w:val="clear" w:color="000000" w:fill="FFFFFF"/>
            <w:noWrap w:val="0"/>
            <w:vAlign w:val="center"/>
          </w:tcPr>
          <w:p w14:paraId="309F9030">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9</w:t>
            </w:r>
          </w:p>
        </w:tc>
      </w:tr>
    </w:tbl>
    <w:p w14:paraId="71F149ED"/>
    <w:p w14:paraId="482E8A5A">
      <w:pPr>
        <w:pStyle w:val="3"/>
        <w:rPr>
          <w:rFonts w:hint="eastAsia"/>
        </w:rPr>
      </w:pPr>
    </w:p>
    <w:p w14:paraId="5F0B8C02">
      <w:pPr>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pPr>
    </w:p>
    <w:tbl>
      <w:tblPr>
        <w:tblStyle w:val="9"/>
        <w:tblW w:w="8989" w:type="dxa"/>
        <w:tblInd w:w="96" w:type="dxa"/>
        <w:shd w:val="clear" w:color="auto" w:fill="auto"/>
        <w:tblLayout w:type="fixed"/>
        <w:tblCellMar>
          <w:top w:w="0" w:type="dxa"/>
          <w:left w:w="108" w:type="dxa"/>
          <w:bottom w:w="0" w:type="dxa"/>
          <w:right w:w="108" w:type="dxa"/>
        </w:tblCellMar>
      </w:tblPr>
      <w:tblGrid>
        <w:gridCol w:w="566"/>
        <w:gridCol w:w="566"/>
        <w:gridCol w:w="565"/>
        <w:gridCol w:w="566"/>
        <w:gridCol w:w="566"/>
        <w:gridCol w:w="566"/>
        <w:gridCol w:w="1631"/>
        <w:gridCol w:w="1132"/>
        <w:gridCol w:w="566"/>
        <w:gridCol w:w="566"/>
        <w:gridCol w:w="1699"/>
      </w:tblGrid>
      <w:tr w14:paraId="29F3971F">
        <w:tblPrEx>
          <w:tblCellMar>
            <w:top w:w="0" w:type="dxa"/>
            <w:left w:w="108" w:type="dxa"/>
            <w:bottom w:w="0" w:type="dxa"/>
            <w:right w:w="108" w:type="dxa"/>
          </w:tblCellMar>
        </w:tblPrEx>
        <w:trPr>
          <w:trHeight w:val="409" w:hRule="atLeast"/>
        </w:trPr>
        <w:tc>
          <w:tcPr>
            <w:tcW w:w="8989" w:type="dxa"/>
            <w:gridSpan w:val="11"/>
            <w:tcBorders>
              <w:top w:val="nil"/>
              <w:left w:val="nil"/>
              <w:bottom w:val="nil"/>
              <w:right w:val="nil"/>
            </w:tcBorders>
            <w:shd w:val="clear" w:color="auto" w:fill="auto"/>
            <w:vAlign w:val="center"/>
          </w:tcPr>
          <w:p w14:paraId="3022EB0C">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i w:val="0"/>
                <w:color w:val="000000"/>
                <w:kern w:val="0"/>
                <w:sz w:val="44"/>
                <w:szCs w:val="44"/>
                <w:u w:val="none"/>
                <w:lang w:val="en-US" w:eastAsia="zh-CN" w:bidi="ar"/>
              </w:rPr>
              <w:t>项目支出绩效自评表</w:t>
            </w:r>
          </w:p>
        </w:tc>
      </w:tr>
      <w:tr w14:paraId="30D434C0">
        <w:tblPrEx>
          <w:tblCellMar>
            <w:top w:w="0" w:type="dxa"/>
            <w:left w:w="108" w:type="dxa"/>
            <w:bottom w:w="0" w:type="dxa"/>
            <w:right w:w="108" w:type="dxa"/>
          </w:tblCellMar>
        </w:tblPrEx>
        <w:trPr>
          <w:trHeight w:val="409" w:hRule="atLeast"/>
        </w:trPr>
        <w:tc>
          <w:tcPr>
            <w:tcW w:w="8989" w:type="dxa"/>
            <w:gridSpan w:val="11"/>
            <w:tcBorders>
              <w:top w:val="nil"/>
              <w:left w:val="nil"/>
              <w:bottom w:val="nil"/>
              <w:right w:val="nil"/>
            </w:tcBorders>
            <w:shd w:val="clear" w:color="auto" w:fill="auto"/>
            <w:vAlign w:val="center"/>
          </w:tcPr>
          <w:p w14:paraId="634C1BDF">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color w:val="000000"/>
                <w:kern w:val="0"/>
                <w:sz w:val="32"/>
                <w:szCs w:val="32"/>
                <w:u w:val="none"/>
                <w:lang w:val="en-US" w:eastAsia="zh-CN" w:bidi="ar"/>
              </w:rPr>
              <w:t>（   2020 年度）</w:t>
            </w:r>
          </w:p>
        </w:tc>
      </w:tr>
      <w:tr w14:paraId="70C22169">
        <w:tblPrEx>
          <w:shd w:val="clear" w:color="auto" w:fill="auto"/>
          <w:tblCellMar>
            <w:top w:w="0" w:type="dxa"/>
            <w:left w:w="108" w:type="dxa"/>
            <w:bottom w:w="0" w:type="dxa"/>
            <w:right w:w="108" w:type="dxa"/>
          </w:tblCellMar>
        </w:tblPrEx>
        <w:trPr>
          <w:trHeight w:val="270" w:hRule="atLeast"/>
        </w:trPr>
        <w:tc>
          <w:tcPr>
            <w:tcW w:w="8989" w:type="dxa"/>
            <w:gridSpan w:val="11"/>
            <w:tcBorders>
              <w:top w:val="nil"/>
              <w:left w:val="nil"/>
              <w:bottom w:val="nil"/>
              <w:right w:val="nil"/>
            </w:tcBorders>
            <w:shd w:val="clear" w:color="auto" w:fill="auto"/>
            <w:vAlign w:val="center"/>
          </w:tcPr>
          <w:p w14:paraId="721D7E8D">
            <w:pPr>
              <w:jc w:val="center"/>
              <w:rPr>
                <w:rFonts w:hint="eastAsia" w:ascii="宋体" w:hAnsi="宋体" w:eastAsia="宋体" w:cs="宋体"/>
                <w:i w:val="0"/>
                <w:iCs w:val="0"/>
                <w:color w:val="000000"/>
                <w:sz w:val="22"/>
                <w:szCs w:val="22"/>
                <w:u w:val="none"/>
              </w:rPr>
            </w:pPr>
          </w:p>
        </w:tc>
      </w:tr>
      <w:tr w14:paraId="759A15C8">
        <w:tblPrEx>
          <w:tblCellMar>
            <w:top w:w="0" w:type="dxa"/>
            <w:left w:w="108" w:type="dxa"/>
            <w:bottom w:w="0" w:type="dxa"/>
            <w:right w:w="108" w:type="dxa"/>
          </w:tblCellMar>
        </w:tblPrEx>
        <w:trPr>
          <w:trHeight w:val="270" w:hRule="atLeast"/>
        </w:trPr>
        <w:tc>
          <w:tcPr>
            <w:tcW w:w="11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5E2B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785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4D0CEA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电影公司运行经费</w:t>
            </w:r>
          </w:p>
        </w:tc>
      </w:tr>
      <w:tr w14:paraId="6A01088C">
        <w:tblPrEx>
          <w:tblCellMar>
            <w:top w:w="0" w:type="dxa"/>
            <w:left w:w="108" w:type="dxa"/>
            <w:bottom w:w="0" w:type="dxa"/>
            <w:right w:w="108" w:type="dxa"/>
          </w:tblCellMar>
        </w:tblPrEx>
        <w:trPr>
          <w:trHeight w:val="270" w:hRule="atLeast"/>
        </w:trPr>
        <w:tc>
          <w:tcPr>
            <w:tcW w:w="1132"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14:paraId="42F2A0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38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71A4670">
            <w:pPr>
              <w:jc w:val="center"/>
              <w:rPr>
                <w:rFonts w:hint="eastAsia" w:ascii="宋体" w:hAnsi="宋体" w:eastAsia="宋体" w:cs="宋体"/>
                <w:i w:val="0"/>
                <w:iCs w:val="0"/>
                <w:color w:val="000000"/>
                <w:sz w:val="18"/>
                <w:szCs w:val="18"/>
                <w:u w:val="none"/>
              </w:rPr>
            </w:pP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35322">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实施单位</w:t>
            </w:r>
          </w:p>
        </w:tc>
        <w:tc>
          <w:tcPr>
            <w:tcW w:w="2831" w:type="dxa"/>
            <w:gridSpan w:val="3"/>
            <w:tcBorders>
              <w:top w:val="single" w:color="000000" w:sz="4" w:space="0"/>
              <w:left w:val="single" w:color="000000" w:sz="4" w:space="0"/>
              <w:bottom w:val="nil"/>
              <w:right w:val="single" w:color="000000" w:sz="4" w:space="0"/>
            </w:tcBorders>
            <w:shd w:val="clear" w:color="auto" w:fill="auto"/>
            <w:vAlign w:val="center"/>
          </w:tcPr>
          <w:p w14:paraId="3E6566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中国共产党塔城地区委员会宣传部</w:t>
            </w:r>
          </w:p>
        </w:tc>
      </w:tr>
      <w:tr w14:paraId="5787C8CE">
        <w:tblPrEx>
          <w:tblCellMar>
            <w:top w:w="0" w:type="dxa"/>
            <w:left w:w="108" w:type="dxa"/>
            <w:bottom w:w="0" w:type="dxa"/>
            <w:right w:w="108" w:type="dxa"/>
          </w:tblCellMar>
        </w:tblPrEx>
        <w:trPr>
          <w:trHeight w:val="430" w:hRule="atLeast"/>
        </w:trPr>
        <w:tc>
          <w:tcPr>
            <w:tcW w:w="11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6174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1697" w:type="dxa"/>
            <w:gridSpan w:val="3"/>
            <w:tcBorders>
              <w:top w:val="nil"/>
              <w:left w:val="single" w:color="auto" w:sz="4" w:space="0"/>
              <w:bottom w:val="nil"/>
              <w:right w:val="nil"/>
            </w:tcBorders>
            <w:shd w:val="clear" w:color="auto" w:fill="auto"/>
            <w:noWrap/>
            <w:vAlign w:val="bottom"/>
          </w:tcPr>
          <w:p w14:paraId="7A045CF5">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eastAsia" w:ascii="宋体" w:hAnsi="宋体" w:eastAsia="宋体" w:cs="宋体"/>
                <w:i w:val="0"/>
                <w:color w:val="000000"/>
                <w:kern w:val="0"/>
                <w:sz w:val="18"/>
                <w:szCs w:val="18"/>
                <w:u w:val="none"/>
                <w:lang w:val="en-US" w:eastAsia="zh-CN" w:bidi="ar"/>
              </w:rPr>
              <w:t>年初预算数</w:t>
            </w:r>
          </w:p>
        </w:tc>
        <w:tc>
          <w:tcPr>
            <w:tcW w:w="2197" w:type="dxa"/>
            <w:gridSpan w:val="2"/>
            <w:tcBorders>
              <w:top w:val="single" w:color="000000" w:sz="4" w:space="0"/>
              <w:left w:val="single" w:color="000000" w:sz="4" w:space="0"/>
              <w:bottom w:val="single" w:color="000000" w:sz="4" w:space="0"/>
              <w:right w:val="nil"/>
            </w:tcBorders>
            <w:shd w:val="clear" w:color="auto" w:fill="auto"/>
            <w:vAlign w:val="center"/>
          </w:tcPr>
          <w:p w14:paraId="03746E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226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DF8D6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15A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r>
      <w:tr w14:paraId="03B81284">
        <w:tblPrEx>
          <w:shd w:val="clear" w:color="auto" w:fill="auto"/>
          <w:tblCellMar>
            <w:top w:w="0" w:type="dxa"/>
            <w:left w:w="108" w:type="dxa"/>
            <w:bottom w:w="0" w:type="dxa"/>
            <w:right w:w="108" w:type="dxa"/>
          </w:tblCellMar>
        </w:tblPrEx>
        <w:trPr>
          <w:trHeight w:val="392" w:hRule="atLeast"/>
        </w:trPr>
        <w:tc>
          <w:tcPr>
            <w:tcW w:w="11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9AAC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1131"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0E7784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620CC">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77.07</w:t>
            </w:r>
          </w:p>
        </w:tc>
        <w:tc>
          <w:tcPr>
            <w:tcW w:w="2197" w:type="dxa"/>
            <w:gridSpan w:val="2"/>
            <w:tcBorders>
              <w:top w:val="single" w:color="000000" w:sz="4" w:space="0"/>
              <w:left w:val="single" w:color="000000" w:sz="4" w:space="0"/>
              <w:bottom w:val="single" w:color="000000" w:sz="4" w:space="0"/>
              <w:right w:val="nil"/>
            </w:tcBorders>
            <w:shd w:val="clear" w:color="auto" w:fill="auto"/>
            <w:vAlign w:val="center"/>
          </w:tcPr>
          <w:p w14:paraId="5F9C81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77.07</w:t>
            </w:r>
          </w:p>
        </w:tc>
        <w:tc>
          <w:tcPr>
            <w:tcW w:w="226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EF67D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67.98</w:t>
            </w: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8EF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88.20%</w:t>
            </w:r>
          </w:p>
        </w:tc>
      </w:tr>
      <w:tr w14:paraId="7D2618A1">
        <w:tblPrEx>
          <w:tblCellMar>
            <w:top w:w="0" w:type="dxa"/>
            <w:left w:w="108" w:type="dxa"/>
            <w:bottom w:w="0" w:type="dxa"/>
            <w:right w:w="108" w:type="dxa"/>
          </w:tblCellMar>
        </w:tblPrEx>
        <w:trPr>
          <w:trHeight w:val="392" w:hRule="atLeast"/>
        </w:trPr>
        <w:tc>
          <w:tcPr>
            <w:tcW w:w="11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9008CD">
            <w:pPr>
              <w:jc w:val="center"/>
              <w:rPr>
                <w:rFonts w:hint="eastAsia" w:ascii="宋体" w:hAnsi="宋体" w:eastAsia="宋体" w:cs="宋体"/>
                <w:i w:val="0"/>
                <w:iCs w:val="0"/>
                <w:color w:val="000000"/>
                <w:sz w:val="22"/>
                <w:szCs w:val="22"/>
                <w:u w:val="none"/>
              </w:rPr>
            </w:pPr>
          </w:p>
        </w:tc>
        <w:tc>
          <w:tcPr>
            <w:tcW w:w="1131"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45A259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8D693">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77.07</w:t>
            </w:r>
          </w:p>
        </w:tc>
        <w:tc>
          <w:tcPr>
            <w:tcW w:w="2197" w:type="dxa"/>
            <w:gridSpan w:val="2"/>
            <w:tcBorders>
              <w:top w:val="single" w:color="000000" w:sz="4" w:space="0"/>
              <w:left w:val="single" w:color="000000" w:sz="4" w:space="0"/>
              <w:bottom w:val="single" w:color="000000" w:sz="4" w:space="0"/>
              <w:right w:val="nil"/>
            </w:tcBorders>
            <w:shd w:val="clear" w:color="auto" w:fill="auto"/>
            <w:vAlign w:val="center"/>
          </w:tcPr>
          <w:p w14:paraId="37CA4D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77.07</w:t>
            </w:r>
          </w:p>
        </w:tc>
        <w:tc>
          <w:tcPr>
            <w:tcW w:w="226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4DCCB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67.98</w:t>
            </w: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B50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09FDCC50">
        <w:tblPrEx>
          <w:tblCellMar>
            <w:top w:w="0" w:type="dxa"/>
            <w:left w:w="108" w:type="dxa"/>
            <w:bottom w:w="0" w:type="dxa"/>
            <w:right w:w="108" w:type="dxa"/>
          </w:tblCellMar>
        </w:tblPrEx>
        <w:trPr>
          <w:trHeight w:val="433" w:hRule="atLeast"/>
        </w:trPr>
        <w:tc>
          <w:tcPr>
            <w:tcW w:w="11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072B07">
            <w:pPr>
              <w:jc w:val="center"/>
              <w:rPr>
                <w:rFonts w:hint="eastAsia" w:ascii="宋体" w:hAnsi="宋体" w:eastAsia="宋体" w:cs="宋体"/>
                <w:i w:val="0"/>
                <w:iCs w:val="0"/>
                <w:color w:val="000000"/>
                <w:sz w:val="22"/>
                <w:szCs w:val="22"/>
                <w:u w:val="none"/>
              </w:rPr>
            </w:pPr>
          </w:p>
        </w:tc>
        <w:tc>
          <w:tcPr>
            <w:tcW w:w="1131"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1C4D95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DA3A7">
            <w:pPr>
              <w:jc w:val="center"/>
            </w:pPr>
          </w:p>
        </w:tc>
        <w:tc>
          <w:tcPr>
            <w:tcW w:w="2197" w:type="dxa"/>
            <w:gridSpan w:val="2"/>
            <w:tcBorders>
              <w:top w:val="single" w:color="000000" w:sz="4" w:space="0"/>
              <w:left w:val="single" w:color="000000" w:sz="4" w:space="0"/>
              <w:bottom w:val="single" w:color="000000" w:sz="4" w:space="0"/>
              <w:right w:val="nil"/>
            </w:tcBorders>
            <w:shd w:val="clear" w:color="auto" w:fill="auto"/>
            <w:vAlign w:val="center"/>
          </w:tcPr>
          <w:p w14:paraId="1EF2075E">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color w:val="000000"/>
                <w:kern w:val="0"/>
                <w:sz w:val="18"/>
                <w:szCs w:val="18"/>
                <w:u w:val="none"/>
                <w:lang w:val="en-US" w:eastAsia="zh-CN" w:bidi="ar"/>
              </w:rPr>
              <w:t>0</w:t>
            </w:r>
          </w:p>
        </w:tc>
        <w:tc>
          <w:tcPr>
            <w:tcW w:w="226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0DBB8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98D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7CA92ABC">
        <w:tblPrEx>
          <w:tblCellMar>
            <w:top w:w="0" w:type="dxa"/>
            <w:left w:w="108" w:type="dxa"/>
            <w:bottom w:w="0" w:type="dxa"/>
            <w:right w:w="108" w:type="dxa"/>
          </w:tblCellMar>
        </w:tblPrEx>
        <w:trPr>
          <w:trHeight w:val="270" w:hRule="atLeast"/>
        </w:trPr>
        <w:tc>
          <w:tcPr>
            <w:tcW w:w="11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1F1DE3">
            <w:pPr>
              <w:jc w:val="center"/>
              <w:rPr>
                <w:rFonts w:hint="eastAsia" w:ascii="宋体" w:hAnsi="宋体" w:eastAsia="宋体" w:cs="宋体"/>
                <w:i w:val="0"/>
                <w:iCs w:val="0"/>
                <w:color w:val="000000"/>
                <w:sz w:val="22"/>
                <w:szCs w:val="22"/>
                <w:u w:val="none"/>
              </w:rPr>
            </w:pPr>
          </w:p>
        </w:tc>
        <w:tc>
          <w:tcPr>
            <w:tcW w:w="1131"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5F466F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E6780">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w:t>
            </w:r>
          </w:p>
        </w:tc>
        <w:tc>
          <w:tcPr>
            <w:tcW w:w="2197" w:type="dxa"/>
            <w:gridSpan w:val="2"/>
            <w:tcBorders>
              <w:top w:val="single" w:color="000000" w:sz="4" w:space="0"/>
              <w:left w:val="single" w:color="000000" w:sz="4" w:space="0"/>
              <w:bottom w:val="single" w:color="000000" w:sz="4" w:space="0"/>
              <w:right w:val="nil"/>
            </w:tcBorders>
            <w:shd w:val="clear" w:color="auto" w:fill="auto"/>
            <w:vAlign w:val="center"/>
          </w:tcPr>
          <w:p w14:paraId="2474CA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226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915EA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FB3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00745550">
        <w:tblPrEx>
          <w:shd w:val="clear" w:color="auto" w:fill="auto"/>
        </w:tblPrEx>
        <w:trPr>
          <w:trHeight w:val="433" w:hRule="atLeast"/>
        </w:trPr>
        <w:tc>
          <w:tcPr>
            <w:tcW w:w="566" w:type="dxa"/>
            <w:vMerge w:val="restart"/>
            <w:tcBorders>
              <w:top w:val="single" w:color="000000" w:sz="4" w:space="0"/>
              <w:left w:val="single" w:color="000000" w:sz="4" w:space="0"/>
              <w:bottom w:val="single" w:color="auto" w:sz="4" w:space="0"/>
              <w:right w:val="single" w:color="000000" w:sz="4" w:space="0"/>
            </w:tcBorders>
            <w:shd w:val="clear" w:color="auto" w:fill="auto"/>
            <w:vAlign w:val="center"/>
          </w:tcPr>
          <w:p w14:paraId="05A842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4460" w:type="dxa"/>
            <w:gridSpan w:val="6"/>
            <w:tcBorders>
              <w:top w:val="single" w:color="000000" w:sz="4" w:space="0"/>
              <w:left w:val="single" w:color="000000" w:sz="4" w:space="0"/>
              <w:bottom w:val="single" w:color="auto" w:sz="4" w:space="0"/>
              <w:right w:val="single" w:color="000000" w:sz="4" w:space="0"/>
            </w:tcBorders>
            <w:shd w:val="clear" w:color="auto" w:fill="auto"/>
            <w:vAlign w:val="center"/>
          </w:tcPr>
          <w:p w14:paraId="1257C8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3963" w:type="dxa"/>
            <w:gridSpan w:val="4"/>
            <w:tcBorders>
              <w:top w:val="single" w:color="000000" w:sz="4" w:space="0"/>
              <w:left w:val="single" w:color="000000" w:sz="4" w:space="0"/>
              <w:bottom w:val="single" w:color="auto" w:sz="4" w:space="0"/>
              <w:right w:val="single" w:color="000000" w:sz="4" w:space="0"/>
            </w:tcBorders>
            <w:shd w:val="clear" w:color="auto" w:fill="auto"/>
            <w:vAlign w:val="center"/>
          </w:tcPr>
          <w:p w14:paraId="325FD4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14:paraId="7023C478">
        <w:tblPrEx>
          <w:tblCellMar>
            <w:top w:w="0" w:type="dxa"/>
            <w:left w:w="108" w:type="dxa"/>
            <w:bottom w:w="0" w:type="dxa"/>
            <w:right w:w="108" w:type="dxa"/>
          </w:tblCellMar>
        </w:tblPrEx>
        <w:trPr>
          <w:trHeight w:val="1054" w:hRule="atLeast"/>
        </w:trPr>
        <w:tc>
          <w:tcPr>
            <w:tcW w:w="566" w:type="dxa"/>
            <w:vMerge w:val="continue"/>
            <w:tcBorders>
              <w:top w:val="single" w:color="000000" w:sz="4" w:space="0"/>
              <w:left w:val="single" w:color="000000" w:sz="4" w:space="0"/>
              <w:bottom w:val="nil"/>
              <w:right w:val="single" w:color="000000" w:sz="4" w:space="0"/>
            </w:tcBorders>
            <w:shd w:val="clear" w:color="auto" w:fill="auto"/>
            <w:vAlign w:val="center"/>
          </w:tcPr>
          <w:p w14:paraId="25A68DEE">
            <w:pPr>
              <w:jc w:val="center"/>
              <w:rPr>
                <w:rFonts w:hint="eastAsia" w:ascii="宋体" w:hAnsi="宋体" w:eastAsia="宋体" w:cs="宋体"/>
                <w:i w:val="0"/>
                <w:iCs w:val="0"/>
                <w:color w:val="000000"/>
                <w:sz w:val="18"/>
                <w:szCs w:val="18"/>
                <w:u w:val="none"/>
              </w:rPr>
            </w:pPr>
          </w:p>
        </w:tc>
        <w:tc>
          <w:tcPr>
            <w:tcW w:w="4460" w:type="dxa"/>
            <w:gridSpan w:val="6"/>
            <w:tcBorders>
              <w:top w:val="single" w:color="000000" w:sz="4" w:space="0"/>
              <w:left w:val="single" w:color="000000" w:sz="4" w:space="0"/>
              <w:bottom w:val="nil"/>
              <w:right w:val="single" w:color="000000" w:sz="4" w:space="0"/>
            </w:tcBorders>
            <w:shd w:val="clear" w:color="auto" w:fill="auto"/>
            <w:vAlign w:val="center"/>
          </w:tcPr>
          <w:p w14:paraId="59B7A8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强化农村电影放映工作在文化思想阵地的宣传引导作用，严格督导落实农村电影“一村一月一场”的放映目标，以放映促群众思想进步，将农村电影放映作为一项政治任务、重于泰山的政治责任，把农村公益电影放映工作深入持久地开展下去，圆满地完成上级下达的农村公益放映目标任务。</w:t>
            </w:r>
          </w:p>
        </w:tc>
        <w:tc>
          <w:tcPr>
            <w:tcW w:w="3963" w:type="dxa"/>
            <w:gridSpan w:val="4"/>
            <w:tcBorders>
              <w:top w:val="single" w:color="000000" w:sz="4" w:space="0"/>
              <w:left w:val="single" w:color="000000" w:sz="4" w:space="0"/>
              <w:bottom w:val="nil"/>
              <w:right w:val="single" w:color="000000" w:sz="4" w:space="0"/>
            </w:tcBorders>
            <w:shd w:val="clear" w:color="auto" w:fill="auto"/>
            <w:vAlign w:val="center"/>
          </w:tcPr>
          <w:p w14:paraId="475629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强化农村电影放映工作在文化思想阵地的宣传引导作用，严格督导落实农村电影“一村一月一场”的放映目标，以放映促群众思想进步，将农村电影放映作为一项政治任务、重于泰山的政治责任，把农村公益电影放映工作深入持久地开展下去，圆满地完成上级下达的农村公益放映目标任务。</w:t>
            </w:r>
          </w:p>
        </w:tc>
      </w:tr>
      <w:tr w14:paraId="5D764737">
        <w:tblPrEx>
          <w:shd w:val="clear" w:color="auto" w:fill="auto"/>
          <w:tblCellMar>
            <w:top w:w="0" w:type="dxa"/>
            <w:left w:w="108" w:type="dxa"/>
            <w:bottom w:w="0" w:type="dxa"/>
            <w:right w:w="108" w:type="dxa"/>
          </w:tblCellMar>
        </w:tblPrEx>
        <w:trPr>
          <w:trHeight w:val="412" w:hRule="atLeast"/>
        </w:trPr>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B1870">
            <w:pPr>
              <w:jc w:val="center"/>
              <w:rPr>
                <w:rFonts w:hint="eastAsia" w:ascii="宋体" w:hAnsi="宋体" w:eastAsia="宋体" w:cs="宋体"/>
                <w:i w:val="0"/>
                <w:iCs w:val="0"/>
                <w:color w:val="000000"/>
                <w:sz w:val="18"/>
                <w:szCs w:val="18"/>
                <w:u w:val="none"/>
              </w:rPr>
            </w:pP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538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F01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D3A0C49">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三级指标</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5F3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AE07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22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AA9E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14:paraId="2FF7E49A">
        <w:tblPrEx>
          <w:shd w:val="clear" w:color="auto" w:fill="auto"/>
        </w:tblPrEx>
        <w:trPr>
          <w:trHeight w:val="270" w:hRule="atLeast"/>
        </w:trPr>
        <w:tc>
          <w:tcPr>
            <w:tcW w:w="566" w:type="dxa"/>
            <w:vMerge w:val="restart"/>
            <w:tcBorders>
              <w:top w:val="single" w:color="000000" w:sz="4" w:space="0"/>
              <w:left w:val="single" w:color="000000" w:sz="4" w:space="0"/>
              <w:bottom w:val="single" w:color="000000" w:sz="4" w:space="0"/>
              <w:right w:val="single" w:color="auto" w:sz="4" w:space="0"/>
            </w:tcBorders>
            <w:shd w:val="clear" w:color="auto" w:fill="auto"/>
            <w:vAlign w:val="center"/>
          </w:tcPr>
          <w:p w14:paraId="60B3E4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566"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14:paraId="3B12FF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5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6AA2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DB04BFD">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全年公益数字电影放映场次</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912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≥9360次</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5C49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6550场</w:t>
            </w:r>
          </w:p>
        </w:tc>
        <w:tc>
          <w:tcPr>
            <w:tcW w:w="22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80F2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疫情影响，压缩放映场次</w:t>
            </w:r>
          </w:p>
        </w:tc>
      </w:tr>
      <w:tr w14:paraId="68EFD64D">
        <w:tblPrEx>
          <w:tblCellMar>
            <w:top w:w="0" w:type="dxa"/>
            <w:left w:w="108" w:type="dxa"/>
            <w:bottom w:w="0" w:type="dxa"/>
            <w:right w:w="108" w:type="dxa"/>
          </w:tblCellMar>
        </w:tblPrEx>
        <w:trPr>
          <w:trHeight w:val="506" w:hRule="atLeast"/>
        </w:trPr>
        <w:tc>
          <w:tcPr>
            <w:tcW w:w="566"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75042C4D">
            <w:pPr>
              <w:jc w:val="center"/>
              <w:rPr>
                <w:rFonts w:hint="eastAsia" w:ascii="宋体" w:hAnsi="宋体" w:eastAsia="宋体" w:cs="宋体"/>
                <w:i w:val="0"/>
                <w:iCs w:val="0"/>
                <w:color w:val="000000"/>
                <w:sz w:val="18"/>
                <w:szCs w:val="18"/>
                <w:u w:val="none"/>
              </w:rPr>
            </w:pPr>
          </w:p>
        </w:tc>
        <w:tc>
          <w:tcPr>
            <w:tcW w:w="56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2B926D7B">
            <w:pPr>
              <w:jc w:val="center"/>
              <w:rPr>
                <w:rFonts w:hint="eastAsia" w:ascii="宋体" w:hAnsi="宋体" w:eastAsia="宋体" w:cs="宋体"/>
                <w:i w:val="0"/>
                <w:iCs w:val="0"/>
                <w:color w:val="000000"/>
                <w:sz w:val="18"/>
                <w:szCs w:val="18"/>
                <w:u w:val="none"/>
              </w:rPr>
            </w:pPr>
          </w:p>
        </w:tc>
        <w:tc>
          <w:tcPr>
            <w:tcW w:w="5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BE44A0">
            <w:pPr>
              <w:jc w:val="center"/>
              <w:rPr>
                <w:rFonts w:hint="eastAsia" w:ascii="宋体" w:hAnsi="宋体" w:eastAsia="宋体" w:cs="宋体"/>
                <w:i w:val="0"/>
                <w:iCs w:val="0"/>
                <w:color w:val="000000"/>
                <w:sz w:val="18"/>
                <w:szCs w:val="18"/>
                <w:u w:val="none"/>
              </w:rPr>
            </w:pPr>
          </w:p>
        </w:tc>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7E75545">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举办放映员培训人数</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4BA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≥40人</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276F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40人</w:t>
            </w:r>
          </w:p>
        </w:tc>
        <w:tc>
          <w:tcPr>
            <w:tcW w:w="22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BD433F">
            <w:pPr>
              <w:jc w:val="center"/>
              <w:rPr>
                <w:rFonts w:hint="eastAsia" w:ascii="宋体" w:hAnsi="宋体" w:eastAsia="宋体" w:cs="宋体"/>
                <w:i w:val="0"/>
                <w:iCs w:val="0"/>
                <w:color w:val="000000"/>
                <w:sz w:val="18"/>
                <w:szCs w:val="18"/>
                <w:u w:val="none"/>
              </w:rPr>
            </w:pPr>
          </w:p>
        </w:tc>
      </w:tr>
      <w:tr w14:paraId="2CC90811">
        <w:tblPrEx>
          <w:shd w:val="clear" w:color="auto" w:fill="auto"/>
          <w:tblCellMar>
            <w:top w:w="0" w:type="dxa"/>
            <w:left w:w="108" w:type="dxa"/>
            <w:bottom w:w="0" w:type="dxa"/>
            <w:right w:w="108" w:type="dxa"/>
          </w:tblCellMar>
        </w:tblPrEx>
        <w:trPr>
          <w:trHeight w:val="318" w:hRule="atLeast"/>
        </w:trPr>
        <w:tc>
          <w:tcPr>
            <w:tcW w:w="566"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58794483">
            <w:pPr>
              <w:jc w:val="center"/>
              <w:rPr>
                <w:rFonts w:hint="eastAsia" w:ascii="宋体" w:hAnsi="宋体" w:eastAsia="宋体" w:cs="宋体"/>
                <w:i w:val="0"/>
                <w:iCs w:val="0"/>
                <w:color w:val="000000"/>
                <w:sz w:val="18"/>
                <w:szCs w:val="18"/>
                <w:u w:val="none"/>
              </w:rPr>
            </w:pPr>
          </w:p>
        </w:tc>
        <w:tc>
          <w:tcPr>
            <w:tcW w:w="56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49C2CF58">
            <w:pPr>
              <w:jc w:val="center"/>
              <w:rPr>
                <w:rFonts w:hint="eastAsia" w:ascii="宋体" w:hAnsi="宋体" w:eastAsia="宋体" w:cs="宋体"/>
                <w:i w:val="0"/>
                <w:iCs w:val="0"/>
                <w:color w:val="000000"/>
                <w:sz w:val="18"/>
                <w:szCs w:val="18"/>
                <w:u w:val="none"/>
              </w:rPr>
            </w:pPr>
          </w:p>
        </w:tc>
        <w:tc>
          <w:tcPr>
            <w:tcW w:w="5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E5315C">
            <w:pPr>
              <w:jc w:val="center"/>
              <w:rPr>
                <w:rFonts w:hint="eastAsia" w:ascii="宋体" w:hAnsi="宋体" w:eastAsia="宋体" w:cs="宋体"/>
                <w:i w:val="0"/>
                <w:iCs w:val="0"/>
                <w:color w:val="000000"/>
                <w:sz w:val="18"/>
                <w:szCs w:val="18"/>
                <w:u w:val="none"/>
              </w:rPr>
            </w:pPr>
          </w:p>
        </w:tc>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E85A28D">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观看电影放映人数</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F52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≥60万人</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E7B8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50万人</w:t>
            </w:r>
          </w:p>
        </w:tc>
        <w:tc>
          <w:tcPr>
            <w:tcW w:w="22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C742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疫情影响，压缩放映场次</w:t>
            </w:r>
          </w:p>
        </w:tc>
      </w:tr>
      <w:tr w14:paraId="5DF93757">
        <w:tblPrEx>
          <w:shd w:val="clear" w:color="auto" w:fill="auto"/>
          <w:tblCellMar>
            <w:top w:w="0" w:type="dxa"/>
            <w:left w:w="108" w:type="dxa"/>
            <w:bottom w:w="0" w:type="dxa"/>
            <w:right w:w="108" w:type="dxa"/>
          </w:tblCellMar>
        </w:tblPrEx>
        <w:trPr>
          <w:trHeight w:val="90" w:hRule="atLeast"/>
        </w:trPr>
        <w:tc>
          <w:tcPr>
            <w:tcW w:w="566"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35C4AB42">
            <w:pPr>
              <w:jc w:val="center"/>
              <w:rPr>
                <w:rFonts w:hint="eastAsia" w:ascii="宋体" w:hAnsi="宋体" w:eastAsia="宋体" w:cs="宋体"/>
                <w:i w:val="0"/>
                <w:iCs w:val="0"/>
                <w:color w:val="000000"/>
                <w:sz w:val="18"/>
                <w:szCs w:val="18"/>
                <w:u w:val="none"/>
              </w:rPr>
            </w:pPr>
          </w:p>
        </w:tc>
        <w:tc>
          <w:tcPr>
            <w:tcW w:w="56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0DC1E255">
            <w:pPr>
              <w:jc w:val="center"/>
              <w:rPr>
                <w:rFonts w:hint="eastAsia" w:ascii="宋体" w:hAnsi="宋体" w:eastAsia="宋体" w:cs="宋体"/>
                <w:i w:val="0"/>
                <w:iCs w:val="0"/>
                <w:color w:val="000000"/>
                <w:sz w:val="18"/>
                <w:szCs w:val="18"/>
                <w:u w:val="none"/>
              </w:rPr>
            </w:pP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271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DFEE319">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科教片比例</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354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DB80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22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D059D1">
            <w:pPr>
              <w:jc w:val="center"/>
              <w:rPr>
                <w:rFonts w:hint="eastAsia" w:ascii="宋体" w:hAnsi="宋体" w:eastAsia="宋体" w:cs="宋体"/>
                <w:i w:val="0"/>
                <w:iCs w:val="0"/>
                <w:color w:val="000000"/>
                <w:sz w:val="18"/>
                <w:szCs w:val="18"/>
                <w:u w:val="none"/>
              </w:rPr>
            </w:pPr>
          </w:p>
        </w:tc>
      </w:tr>
      <w:tr w14:paraId="244A0700">
        <w:tblPrEx>
          <w:shd w:val="clear" w:color="auto" w:fill="auto"/>
          <w:tblCellMar>
            <w:top w:w="0" w:type="dxa"/>
            <w:left w:w="108" w:type="dxa"/>
            <w:bottom w:w="0" w:type="dxa"/>
            <w:right w:w="108" w:type="dxa"/>
          </w:tblCellMar>
        </w:tblPrEx>
        <w:trPr>
          <w:trHeight w:val="494" w:hRule="atLeast"/>
        </w:trPr>
        <w:tc>
          <w:tcPr>
            <w:tcW w:w="566"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059A8978">
            <w:pPr>
              <w:jc w:val="center"/>
              <w:rPr>
                <w:rFonts w:hint="eastAsia" w:ascii="宋体" w:hAnsi="宋体" w:eastAsia="宋体" w:cs="宋体"/>
                <w:i w:val="0"/>
                <w:iCs w:val="0"/>
                <w:color w:val="000000"/>
                <w:sz w:val="18"/>
                <w:szCs w:val="18"/>
                <w:u w:val="none"/>
              </w:rPr>
            </w:pPr>
          </w:p>
        </w:tc>
        <w:tc>
          <w:tcPr>
            <w:tcW w:w="566" w:type="dxa"/>
            <w:vMerge w:val="continue"/>
            <w:tcBorders>
              <w:top w:val="single" w:color="000000" w:sz="4" w:space="0"/>
              <w:left w:val="single" w:color="auto" w:sz="4" w:space="0"/>
              <w:bottom w:val="single" w:color="auto" w:sz="4" w:space="0"/>
              <w:right w:val="single" w:color="000000" w:sz="4" w:space="0"/>
            </w:tcBorders>
            <w:shd w:val="clear" w:color="auto" w:fill="auto"/>
            <w:vAlign w:val="center"/>
          </w:tcPr>
          <w:p w14:paraId="48BD10A4">
            <w:pPr>
              <w:jc w:val="center"/>
              <w:rPr>
                <w:rFonts w:hint="eastAsia" w:ascii="宋体" w:hAnsi="宋体" w:eastAsia="宋体" w:cs="宋体"/>
                <w:i w:val="0"/>
                <w:iCs w:val="0"/>
                <w:color w:val="000000"/>
                <w:sz w:val="18"/>
                <w:szCs w:val="18"/>
                <w:u w:val="none"/>
              </w:rPr>
            </w:pPr>
          </w:p>
        </w:tc>
        <w:tc>
          <w:tcPr>
            <w:tcW w:w="565" w:type="dxa"/>
            <w:tcBorders>
              <w:top w:val="single" w:color="000000" w:sz="4" w:space="0"/>
              <w:left w:val="single" w:color="000000" w:sz="4" w:space="0"/>
              <w:bottom w:val="single" w:color="auto" w:sz="4" w:space="0"/>
              <w:right w:val="single" w:color="000000" w:sz="4" w:space="0"/>
            </w:tcBorders>
            <w:shd w:val="clear" w:color="auto" w:fill="auto"/>
            <w:vAlign w:val="center"/>
          </w:tcPr>
          <w:p w14:paraId="624182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1698" w:type="dxa"/>
            <w:gridSpan w:val="3"/>
            <w:tcBorders>
              <w:top w:val="single" w:color="000000" w:sz="4" w:space="0"/>
              <w:left w:val="single" w:color="000000" w:sz="4" w:space="0"/>
              <w:bottom w:val="single" w:color="auto" w:sz="4" w:space="0"/>
              <w:right w:val="single" w:color="000000" w:sz="4" w:space="0"/>
            </w:tcBorders>
            <w:shd w:val="clear" w:color="auto" w:fill="auto"/>
            <w:vAlign w:val="center"/>
          </w:tcPr>
          <w:p w14:paraId="3DCD51A6">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项目完成时限</w:t>
            </w:r>
          </w:p>
        </w:tc>
        <w:tc>
          <w:tcPr>
            <w:tcW w:w="1631" w:type="dxa"/>
            <w:tcBorders>
              <w:top w:val="single" w:color="000000" w:sz="4" w:space="0"/>
              <w:left w:val="single" w:color="000000" w:sz="4" w:space="0"/>
              <w:bottom w:val="single" w:color="auto" w:sz="4" w:space="0"/>
              <w:right w:val="single" w:color="000000" w:sz="4" w:space="0"/>
            </w:tcBorders>
            <w:shd w:val="clear" w:color="auto" w:fill="auto"/>
            <w:vAlign w:val="center"/>
          </w:tcPr>
          <w:p w14:paraId="0D4727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2020年12月</w:t>
            </w:r>
          </w:p>
        </w:tc>
        <w:tc>
          <w:tcPr>
            <w:tcW w:w="1698"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14:paraId="4675D3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2020年12月</w:t>
            </w:r>
          </w:p>
        </w:tc>
        <w:tc>
          <w:tcPr>
            <w:tcW w:w="2265"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14:paraId="64629080">
            <w:pPr>
              <w:jc w:val="center"/>
              <w:rPr>
                <w:rFonts w:hint="eastAsia" w:ascii="宋体" w:hAnsi="宋体" w:eastAsia="宋体" w:cs="宋体"/>
                <w:i w:val="0"/>
                <w:iCs w:val="0"/>
                <w:color w:val="000000"/>
                <w:sz w:val="18"/>
                <w:szCs w:val="18"/>
                <w:u w:val="none"/>
              </w:rPr>
            </w:pPr>
          </w:p>
        </w:tc>
      </w:tr>
      <w:tr w14:paraId="563A8EF9">
        <w:tblPrEx>
          <w:tblCellMar>
            <w:top w:w="0" w:type="dxa"/>
            <w:left w:w="108" w:type="dxa"/>
            <w:bottom w:w="0" w:type="dxa"/>
            <w:right w:w="108" w:type="dxa"/>
          </w:tblCellMar>
        </w:tblPrEx>
        <w:trPr>
          <w:trHeight w:val="560" w:hRule="atLeast"/>
        </w:trPr>
        <w:tc>
          <w:tcPr>
            <w:tcW w:w="566"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3D325AB5">
            <w:pPr>
              <w:jc w:val="center"/>
              <w:rPr>
                <w:rFonts w:hint="eastAsia" w:ascii="宋体" w:hAnsi="宋体" w:eastAsia="宋体" w:cs="宋体"/>
                <w:i w:val="0"/>
                <w:iCs w:val="0"/>
                <w:color w:val="000000"/>
                <w:sz w:val="18"/>
                <w:szCs w:val="18"/>
                <w:u w:val="none"/>
              </w:rPr>
            </w:pPr>
          </w:p>
        </w:tc>
        <w:tc>
          <w:tcPr>
            <w:tcW w:w="56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F13BAD7">
            <w:pPr>
              <w:jc w:val="center"/>
              <w:rPr>
                <w:rFonts w:hint="eastAsia" w:ascii="宋体" w:hAnsi="宋体" w:eastAsia="宋体" w:cs="宋体"/>
                <w:i w:val="0"/>
                <w:iCs w:val="0"/>
                <w:color w:val="000000"/>
                <w:sz w:val="18"/>
                <w:szCs w:val="18"/>
                <w:u w:val="none"/>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center"/>
          </w:tcPr>
          <w:p w14:paraId="1A8556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169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CA94074">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放映费用</w:t>
            </w:r>
          </w:p>
        </w:tc>
        <w:tc>
          <w:tcPr>
            <w:tcW w:w="1631" w:type="dxa"/>
            <w:tcBorders>
              <w:top w:val="single" w:color="auto" w:sz="4" w:space="0"/>
              <w:left w:val="single" w:color="auto" w:sz="4" w:space="0"/>
              <w:bottom w:val="single" w:color="auto" w:sz="4" w:space="0"/>
              <w:right w:val="single" w:color="auto" w:sz="4" w:space="0"/>
            </w:tcBorders>
            <w:shd w:val="clear" w:color="auto" w:fill="auto"/>
            <w:vAlign w:val="center"/>
          </w:tcPr>
          <w:p w14:paraId="7041AD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≤21万元</w:t>
            </w:r>
          </w:p>
        </w:tc>
        <w:tc>
          <w:tcPr>
            <w:tcW w:w="169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3D32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18万</w:t>
            </w:r>
          </w:p>
        </w:tc>
        <w:tc>
          <w:tcPr>
            <w:tcW w:w="22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EEB4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疫情影响，压缩放映场次</w:t>
            </w:r>
          </w:p>
        </w:tc>
      </w:tr>
      <w:tr w14:paraId="295C2606">
        <w:tblPrEx>
          <w:shd w:val="clear" w:color="auto" w:fill="auto"/>
          <w:tblCellMar>
            <w:top w:w="0" w:type="dxa"/>
            <w:left w:w="108" w:type="dxa"/>
            <w:bottom w:w="0" w:type="dxa"/>
            <w:right w:w="108" w:type="dxa"/>
          </w:tblCellMar>
        </w:tblPrEx>
        <w:trPr>
          <w:trHeight w:val="592" w:hRule="atLeast"/>
        </w:trPr>
        <w:tc>
          <w:tcPr>
            <w:tcW w:w="566"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0874A6CD">
            <w:pPr>
              <w:jc w:val="center"/>
              <w:rPr>
                <w:rFonts w:hint="eastAsia" w:ascii="宋体" w:hAnsi="宋体" w:eastAsia="宋体" w:cs="宋体"/>
                <w:i w:val="0"/>
                <w:iCs w:val="0"/>
                <w:color w:val="000000"/>
                <w:sz w:val="18"/>
                <w:szCs w:val="18"/>
                <w:u w:val="none"/>
              </w:rPr>
            </w:pPr>
          </w:p>
        </w:tc>
        <w:tc>
          <w:tcPr>
            <w:tcW w:w="5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85070D">
            <w:pPr>
              <w:jc w:val="center"/>
              <w:rPr>
                <w:rFonts w:hint="eastAsia" w:ascii="宋体" w:hAnsi="宋体" w:eastAsia="宋体" w:cs="宋体"/>
                <w:i w:val="0"/>
                <w:iCs w:val="0"/>
                <w:color w:val="000000"/>
                <w:sz w:val="18"/>
                <w:szCs w:val="18"/>
                <w:u w:val="none"/>
              </w:rPr>
            </w:pPr>
          </w:p>
        </w:tc>
        <w:tc>
          <w:tcPr>
            <w:tcW w:w="5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D032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169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93E775D">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丰富农牧民生活</w:t>
            </w:r>
          </w:p>
        </w:tc>
        <w:tc>
          <w:tcPr>
            <w:tcW w:w="1631" w:type="dxa"/>
            <w:tcBorders>
              <w:top w:val="single" w:color="auto" w:sz="4" w:space="0"/>
              <w:left w:val="single" w:color="auto" w:sz="4" w:space="0"/>
              <w:bottom w:val="single" w:color="auto" w:sz="4" w:space="0"/>
              <w:right w:val="single" w:color="auto" w:sz="4" w:space="0"/>
            </w:tcBorders>
            <w:shd w:val="clear" w:color="auto" w:fill="auto"/>
            <w:vAlign w:val="center"/>
          </w:tcPr>
          <w:p w14:paraId="15F449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69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C1C7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22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ABB0A8">
            <w:pPr>
              <w:jc w:val="center"/>
              <w:rPr>
                <w:rFonts w:hint="eastAsia" w:ascii="宋体" w:hAnsi="宋体" w:eastAsia="宋体" w:cs="宋体"/>
                <w:i w:val="0"/>
                <w:iCs w:val="0"/>
                <w:color w:val="000000"/>
                <w:sz w:val="18"/>
                <w:szCs w:val="18"/>
                <w:u w:val="none"/>
              </w:rPr>
            </w:pPr>
          </w:p>
        </w:tc>
      </w:tr>
      <w:tr w14:paraId="1AF4BA7C">
        <w:tblPrEx>
          <w:tblCellMar>
            <w:top w:w="0" w:type="dxa"/>
            <w:left w:w="108" w:type="dxa"/>
            <w:bottom w:w="0" w:type="dxa"/>
            <w:right w:w="108" w:type="dxa"/>
          </w:tblCellMar>
        </w:tblPrEx>
        <w:trPr>
          <w:trHeight w:val="324" w:hRule="atLeast"/>
        </w:trPr>
        <w:tc>
          <w:tcPr>
            <w:tcW w:w="566"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575885AC">
            <w:pPr>
              <w:jc w:val="center"/>
              <w:rPr>
                <w:rFonts w:hint="eastAsia" w:ascii="宋体" w:hAnsi="宋体" w:eastAsia="宋体" w:cs="宋体"/>
                <w:i w:val="0"/>
                <w:iCs w:val="0"/>
                <w:color w:val="000000"/>
                <w:sz w:val="18"/>
                <w:szCs w:val="18"/>
                <w:u w:val="none"/>
              </w:rPr>
            </w:pPr>
          </w:p>
        </w:tc>
        <w:tc>
          <w:tcPr>
            <w:tcW w:w="56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F960CF8">
            <w:pPr>
              <w:jc w:val="center"/>
              <w:rPr>
                <w:rFonts w:hint="eastAsia" w:ascii="宋体" w:hAnsi="宋体" w:eastAsia="宋体" w:cs="宋体"/>
                <w:i w:val="0"/>
                <w:iCs w:val="0"/>
                <w:color w:val="000000"/>
                <w:sz w:val="18"/>
                <w:szCs w:val="18"/>
                <w:u w:val="none"/>
              </w:rPr>
            </w:pPr>
          </w:p>
        </w:tc>
        <w:tc>
          <w:tcPr>
            <w:tcW w:w="56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75517ED">
            <w:pPr>
              <w:jc w:val="center"/>
              <w:rPr>
                <w:rFonts w:hint="eastAsia" w:ascii="宋体" w:hAnsi="宋体" w:eastAsia="宋体" w:cs="宋体"/>
                <w:i w:val="0"/>
                <w:iCs w:val="0"/>
                <w:color w:val="000000"/>
                <w:kern w:val="2"/>
                <w:sz w:val="18"/>
                <w:szCs w:val="18"/>
                <w:u w:val="none"/>
                <w:lang w:val="en-US" w:eastAsia="zh-CN" w:bidi="ar-SA"/>
              </w:rPr>
            </w:pPr>
          </w:p>
        </w:tc>
        <w:tc>
          <w:tcPr>
            <w:tcW w:w="169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B0A0959">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提升农牧民科学文化素质</w:t>
            </w:r>
          </w:p>
        </w:tc>
        <w:tc>
          <w:tcPr>
            <w:tcW w:w="1631" w:type="dxa"/>
            <w:tcBorders>
              <w:top w:val="single" w:color="auto" w:sz="4" w:space="0"/>
              <w:left w:val="single" w:color="auto" w:sz="4" w:space="0"/>
              <w:bottom w:val="single" w:color="auto" w:sz="4" w:space="0"/>
              <w:right w:val="single" w:color="auto" w:sz="4" w:space="0"/>
            </w:tcBorders>
            <w:shd w:val="clear" w:color="auto" w:fill="auto"/>
            <w:vAlign w:val="center"/>
          </w:tcPr>
          <w:p w14:paraId="5EBBCFBD">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≥90%</w:t>
            </w:r>
          </w:p>
        </w:tc>
        <w:tc>
          <w:tcPr>
            <w:tcW w:w="169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DE5A54">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90%</w:t>
            </w:r>
          </w:p>
        </w:tc>
        <w:tc>
          <w:tcPr>
            <w:tcW w:w="22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C9219B">
            <w:pPr>
              <w:jc w:val="center"/>
              <w:rPr>
                <w:rFonts w:hint="eastAsia" w:ascii="宋体" w:hAnsi="宋体" w:eastAsia="宋体" w:cs="宋体"/>
                <w:i w:val="0"/>
                <w:iCs w:val="0"/>
                <w:color w:val="000000"/>
                <w:kern w:val="2"/>
                <w:sz w:val="18"/>
                <w:szCs w:val="18"/>
                <w:u w:val="none"/>
                <w:lang w:val="en-US" w:eastAsia="zh-CN" w:bidi="ar-SA"/>
              </w:rPr>
            </w:pPr>
          </w:p>
        </w:tc>
      </w:tr>
      <w:tr w14:paraId="6DC84418">
        <w:tblPrEx>
          <w:shd w:val="clear" w:color="auto" w:fill="auto"/>
          <w:tblCellMar>
            <w:top w:w="0" w:type="dxa"/>
            <w:left w:w="108" w:type="dxa"/>
            <w:bottom w:w="0" w:type="dxa"/>
            <w:right w:w="108" w:type="dxa"/>
          </w:tblCellMar>
        </w:tblPrEx>
        <w:trPr>
          <w:trHeight w:val="331" w:hRule="atLeast"/>
        </w:trPr>
        <w:tc>
          <w:tcPr>
            <w:tcW w:w="566"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1F7EA290">
            <w:pPr>
              <w:jc w:val="center"/>
              <w:rPr>
                <w:rFonts w:hint="eastAsia" w:ascii="宋体" w:hAnsi="宋体" w:eastAsia="宋体" w:cs="宋体"/>
                <w:i w:val="0"/>
                <w:iCs w:val="0"/>
                <w:color w:val="000000"/>
                <w:sz w:val="18"/>
                <w:szCs w:val="18"/>
                <w:u w:val="none"/>
              </w:rPr>
            </w:pPr>
          </w:p>
        </w:tc>
        <w:tc>
          <w:tcPr>
            <w:tcW w:w="566" w:type="dxa"/>
            <w:tcBorders>
              <w:top w:val="single" w:color="auto" w:sz="4" w:space="0"/>
              <w:left w:val="single" w:color="auto" w:sz="4" w:space="0"/>
              <w:bottom w:val="single" w:color="auto" w:sz="4" w:space="0"/>
              <w:right w:val="single" w:color="auto" w:sz="4" w:space="0"/>
            </w:tcBorders>
            <w:shd w:val="clear" w:color="auto" w:fill="auto"/>
            <w:vAlign w:val="center"/>
          </w:tcPr>
          <w:p w14:paraId="71061F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565" w:type="dxa"/>
            <w:tcBorders>
              <w:top w:val="single" w:color="auto" w:sz="4" w:space="0"/>
              <w:left w:val="single" w:color="auto" w:sz="4" w:space="0"/>
              <w:bottom w:val="single" w:color="auto" w:sz="4" w:space="0"/>
              <w:right w:val="single" w:color="auto" w:sz="4" w:space="0"/>
            </w:tcBorders>
            <w:shd w:val="clear" w:color="auto" w:fill="auto"/>
            <w:vAlign w:val="center"/>
          </w:tcPr>
          <w:p w14:paraId="46389D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169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FC68C8E">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农牧民对电影放映活动满意度</w:t>
            </w:r>
          </w:p>
        </w:tc>
        <w:tc>
          <w:tcPr>
            <w:tcW w:w="1631" w:type="dxa"/>
            <w:tcBorders>
              <w:top w:val="single" w:color="auto" w:sz="4" w:space="0"/>
              <w:left w:val="single" w:color="auto" w:sz="4" w:space="0"/>
              <w:bottom w:val="single" w:color="auto" w:sz="4" w:space="0"/>
              <w:right w:val="single" w:color="auto" w:sz="4" w:space="0"/>
            </w:tcBorders>
            <w:shd w:val="clear" w:color="auto" w:fill="auto"/>
            <w:vAlign w:val="center"/>
          </w:tcPr>
          <w:p w14:paraId="005814D2">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≥90%</w:t>
            </w:r>
          </w:p>
        </w:tc>
        <w:tc>
          <w:tcPr>
            <w:tcW w:w="169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D8C583">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90%</w:t>
            </w:r>
          </w:p>
        </w:tc>
        <w:tc>
          <w:tcPr>
            <w:tcW w:w="22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6CBFC0">
            <w:pPr>
              <w:jc w:val="center"/>
              <w:rPr>
                <w:rFonts w:hint="eastAsia" w:ascii="宋体" w:hAnsi="宋体" w:eastAsia="宋体" w:cs="宋体"/>
                <w:i w:val="0"/>
                <w:iCs w:val="0"/>
                <w:color w:val="000000"/>
                <w:kern w:val="2"/>
                <w:sz w:val="18"/>
                <w:szCs w:val="18"/>
                <w:u w:val="none"/>
                <w:lang w:val="en-US" w:eastAsia="zh-CN" w:bidi="ar-SA"/>
              </w:rPr>
            </w:pPr>
          </w:p>
        </w:tc>
      </w:tr>
    </w:tbl>
    <w:p w14:paraId="7D621469">
      <w:pPr>
        <w:pStyle w:val="2"/>
        <w:jc w:val="left"/>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B7846648-DA88-45B8-861F-47EA7E1E2981}"/>
  </w:font>
  <w:font w:name="黑体">
    <w:panose1 w:val="02010609060101010101"/>
    <w:charset w:val="86"/>
    <w:family w:val="auto"/>
    <w:pitch w:val="default"/>
    <w:sig w:usb0="800002BF" w:usb1="38CF7CFA" w:usb2="00000016" w:usb3="00000000" w:csb0="00040001" w:csb1="00000000"/>
    <w:embedRegular r:id="rId2" w:fontKey="{5BBB74A8-41F6-4045-B69C-4E67B167012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embedRegular r:id="rId3" w:fontKey="{41144CD0-52AF-4A3E-80AD-CE91BEEEE58C}"/>
  </w:font>
  <w:font w:name="仿宋">
    <w:panose1 w:val="02010609060101010101"/>
    <w:charset w:val="86"/>
    <w:family w:val="auto"/>
    <w:pitch w:val="default"/>
    <w:sig w:usb0="800002BF" w:usb1="38CF7CFA" w:usb2="00000016" w:usb3="00000000" w:csb0="00040001" w:csb1="00000000"/>
    <w:embedRegular r:id="rId4" w:fontKey="{1F06CCA0-3289-422A-9226-4E13393A410C}"/>
  </w:font>
  <w:font w:name="方正小标宋简体">
    <w:panose1 w:val="02000000000000000000"/>
    <w:charset w:val="86"/>
    <w:family w:val="auto"/>
    <w:pitch w:val="default"/>
    <w:sig w:usb0="00000001" w:usb1="08000000" w:usb2="00000000" w:usb3="00000000" w:csb0="00040000" w:csb1="00000000"/>
    <w:embedRegular r:id="rId5" w:fontKey="{7D552116-3BF5-4E9C-A408-3525D258F991}"/>
  </w:font>
  <w:font w:name="华文中宋">
    <w:panose1 w:val="02010600040101010101"/>
    <w:charset w:val="86"/>
    <w:family w:val="auto"/>
    <w:pitch w:val="default"/>
    <w:sig w:usb0="00000287" w:usb1="080F0000" w:usb2="00000000" w:usb3="00000000" w:csb0="0004009F" w:csb1="DFD70000"/>
    <w:embedRegular r:id="rId6" w:fontKey="{3687924E-EA70-437F-9574-284646D3AB8B}"/>
  </w:font>
  <w:font w:name="楷体_GB2312">
    <w:altName w:val="楷体"/>
    <w:panose1 w:val="00000000000000000000"/>
    <w:charset w:val="86"/>
    <w:family w:val="auto"/>
    <w:pitch w:val="default"/>
    <w:sig w:usb0="00000000" w:usb1="00000000" w:usb2="00000000" w:usb3="00000000" w:csb0="00040000" w:csb1="00000000"/>
    <w:embedRegular r:id="rId7" w:fontKey="{C0B655D7-9EE4-4E55-985D-BC39013C5434}"/>
  </w:font>
  <w:font w:name="楷体">
    <w:panose1 w:val="02010609060101010101"/>
    <w:charset w:val="86"/>
    <w:family w:val="auto"/>
    <w:pitch w:val="default"/>
    <w:sig w:usb0="800002BF" w:usb1="38CF7CFA" w:usb2="00000016" w:usb3="00000000" w:csb0="00040001" w:csb1="00000000"/>
    <w:embedRegular r:id="rId8" w:fontKey="{2B2DE879-9AB2-44E9-84EE-76D30102EC7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5BB57E7">
        <w:pPr>
          <w:pStyle w:val="5"/>
          <w:jc w:val="center"/>
        </w:pPr>
        <w:r>
          <w:fldChar w:fldCharType="begin"/>
        </w:r>
        <w:r>
          <w:instrText xml:space="preserve">PAGE   \* MERGEFORMAT</w:instrText>
        </w:r>
        <w:r>
          <w:fldChar w:fldCharType="separate"/>
        </w:r>
        <w:r>
          <w:rPr>
            <w:lang w:val="zh-CN"/>
          </w:rPr>
          <w:t>2</w:t>
        </w:r>
        <w:r>
          <w:fldChar w:fldCharType="end"/>
        </w:r>
      </w:p>
    </w:sdtContent>
  </w:sdt>
  <w:p w14:paraId="403707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0463591"/>
    <w:multiLevelType w:val="singleLevel"/>
    <w:tmpl w:val="D0463591"/>
    <w:lvl w:ilvl="0" w:tentative="0">
      <w:start w:val="2"/>
      <w:numFmt w:val="chineseCounting"/>
      <w:suff w:val="nothing"/>
      <w:lvlText w:val="（%1）"/>
      <w:lvlJc w:val="left"/>
      <w:rPr>
        <w:rFonts w:hint="eastAsia"/>
      </w:rPr>
    </w:lvl>
  </w:abstractNum>
  <w:abstractNum w:abstractNumId="2">
    <w:nsid w:val="FF4BB6DE"/>
    <w:multiLevelType w:val="singleLevel"/>
    <w:tmpl w:val="FF4BB6DE"/>
    <w:lvl w:ilvl="0" w:tentative="0">
      <w:start w:val="1"/>
      <w:numFmt w:val="decimal"/>
      <w:suff w:val="nothing"/>
      <w:lvlText w:val="%1、"/>
      <w:lvlJc w:val="left"/>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3730CCE4"/>
    <w:multiLevelType w:val="singleLevel"/>
    <w:tmpl w:val="3730CCE4"/>
    <w:lvl w:ilvl="0" w:tentative="0">
      <w:start w:val="2"/>
      <w:numFmt w:val="decimal"/>
      <w:suff w:val="nothing"/>
      <w:lvlText w:val="（%1）"/>
      <w:lvlJc w:val="left"/>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4"/>
  </w:num>
  <w:num w:numId="2">
    <w:abstractNumId w:val="1"/>
  </w:num>
  <w:num w:numId="3">
    <w:abstractNumId w:val="5"/>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0572C1"/>
    <w:rsid w:val="013E6095"/>
    <w:rsid w:val="05F55E1A"/>
    <w:rsid w:val="069762C5"/>
    <w:rsid w:val="08E07405"/>
    <w:rsid w:val="0FD77D59"/>
    <w:rsid w:val="123B2F5E"/>
    <w:rsid w:val="1B2B789A"/>
    <w:rsid w:val="1BC56695"/>
    <w:rsid w:val="1E351548"/>
    <w:rsid w:val="21234C27"/>
    <w:rsid w:val="2B14203C"/>
    <w:rsid w:val="2F6F1531"/>
    <w:rsid w:val="32C8379D"/>
    <w:rsid w:val="332D131B"/>
    <w:rsid w:val="33826448"/>
    <w:rsid w:val="3F810D23"/>
    <w:rsid w:val="4E9C3D6B"/>
    <w:rsid w:val="52744404"/>
    <w:rsid w:val="5962083C"/>
    <w:rsid w:val="5B0F1A7F"/>
    <w:rsid w:val="5E107C8C"/>
    <w:rsid w:val="5EAD0E7A"/>
    <w:rsid w:val="5F230664"/>
    <w:rsid w:val="60210F88"/>
    <w:rsid w:val="60EF002D"/>
    <w:rsid w:val="628F42B6"/>
    <w:rsid w:val="65604BD6"/>
    <w:rsid w:val="66367C3F"/>
    <w:rsid w:val="663A37E2"/>
    <w:rsid w:val="6FD95F45"/>
    <w:rsid w:val="7051527F"/>
    <w:rsid w:val="70E51A49"/>
    <w:rsid w:val="730572C1"/>
    <w:rsid w:val="74BD09F8"/>
    <w:rsid w:val="774C7A42"/>
    <w:rsid w:val="7A9D5749"/>
    <w:rsid w:val="7EAB2E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Body Text"/>
    <w:basedOn w:val="1"/>
    <w:qFormat/>
    <w:uiPriority w:val="0"/>
    <w:pPr>
      <w:spacing w:after="120"/>
    </w:pPr>
  </w:style>
  <w:style w:type="paragraph" w:styleId="5">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6">
    <w:name w:val="footnote text"/>
    <w:basedOn w:val="1"/>
    <w:qFormat/>
    <w:uiPriority w:val="0"/>
    <w:pPr>
      <w:snapToGrid w:val="0"/>
      <w:jc w:val="left"/>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Body Text First Indent"/>
    <w:basedOn w:val="4"/>
    <w:qFormat/>
    <w:uiPriority w:val="0"/>
    <w:pPr>
      <w:spacing w:after="0"/>
      <w:ind w:firstLine="200" w:firstLineChars="200"/>
    </w:pPr>
  </w:style>
  <w:style w:type="character" w:styleId="11">
    <w:name w:val="Strong"/>
    <w:basedOn w:val="10"/>
    <w:qFormat/>
    <w:uiPriority w:val="0"/>
    <w:rPr>
      <w:b/>
      <w:bCs/>
    </w:rPr>
  </w:style>
  <w:style w:type="character" w:customStyle="1" w:styleId="12">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5716</Words>
  <Characters>5979</Characters>
  <Lines>0</Lines>
  <Paragraphs>0</Paragraphs>
  <TotalTime>9</TotalTime>
  <ScaleCrop>false</ScaleCrop>
  <LinksUpToDate>false</LinksUpToDate>
  <CharactersWithSpaces>6006</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2021-03-30T09:30:00Z</dcterms:created>
  <dc:creator>Administrator</dc:creator>
  <cp:lastModifiedBy>周而</cp:lastModifiedBy>
  <dcterms:modified xsi:type="dcterms:W3CDTF">2025-09-02T11:14:48Z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KSOSaveFontToCloudKey">
    <vt:lpwstr>0_btnclosed</vt:lpwstr>
  </property>
  <property fmtid="{D5CDD505-2E9C-101B-9397-08002B2CF9AE}" pid="4" name="ICV">
    <vt:lpwstr>736C169C4BC44BB88121951EF994AB9A</vt:lpwstr>
  </property>
  <property fmtid="{D5CDD505-2E9C-101B-9397-08002B2CF9AE}" pid="5" name="KSOTemplateDocerSaveRecord">
    <vt:lpwstr>eyJoZGlkIjoiN2VjMGM4YTNmZTY1NDFjMWFjNmVmZmU0NDA2ZTk0ZmMiLCJ1c2VySWQiOiI4NjI1NDMxNDkifQ==</vt:lpwstr>
  </property>
</Properties>
</file>