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78DFB9">
      <w:pPr>
        <w:spacing w:line="540" w:lineRule="exact"/>
        <w:jc w:val="center"/>
        <w:rPr>
          <w:rFonts w:ascii="华文中宋" w:hAnsi="华文中宋" w:eastAsia="华文中宋" w:cs="宋体"/>
          <w:b/>
          <w:kern w:val="0"/>
          <w:sz w:val="52"/>
          <w:szCs w:val="52"/>
        </w:rPr>
      </w:pPr>
    </w:p>
    <w:p w14:paraId="3E8A4E10">
      <w:pPr>
        <w:spacing w:line="540" w:lineRule="exact"/>
        <w:jc w:val="center"/>
        <w:rPr>
          <w:rFonts w:ascii="华文中宋" w:hAnsi="华文中宋" w:eastAsia="华文中宋" w:cs="宋体"/>
          <w:b/>
          <w:kern w:val="0"/>
          <w:sz w:val="52"/>
          <w:szCs w:val="52"/>
        </w:rPr>
      </w:pPr>
    </w:p>
    <w:p w14:paraId="0F648443">
      <w:pPr>
        <w:spacing w:line="540" w:lineRule="exact"/>
        <w:jc w:val="center"/>
        <w:rPr>
          <w:rFonts w:ascii="华文中宋" w:hAnsi="华文中宋" w:eastAsia="华文中宋" w:cs="宋体"/>
          <w:b/>
          <w:kern w:val="0"/>
          <w:sz w:val="52"/>
          <w:szCs w:val="52"/>
        </w:rPr>
      </w:pPr>
    </w:p>
    <w:p w14:paraId="023236C4">
      <w:pPr>
        <w:spacing w:line="540" w:lineRule="exact"/>
        <w:jc w:val="center"/>
        <w:rPr>
          <w:rFonts w:ascii="华文中宋" w:hAnsi="华文中宋" w:eastAsia="华文中宋" w:cs="宋体"/>
          <w:b/>
          <w:kern w:val="0"/>
          <w:sz w:val="52"/>
          <w:szCs w:val="52"/>
        </w:rPr>
      </w:pPr>
    </w:p>
    <w:p w14:paraId="584E086F">
      <w:pPr>
        <w:spacing w:line="540" w:lineRule="exact"/>
        <w:jc w:val="center"/>
        <w:rPr>
          <w:rFonts w:ascii="华文中宋" w:hAnsi="华文中宋" w:eastAsia="华文中宋" w:cs="宋体"/>
          <w:b/>
          <w:kern w:val="0"/>
          <w:sz w:val="52"/>
          <w:szCs w:val="52"/>
        </w:rPr>
      </w:pPr>
    </w:p>
    <w:p w14:paraId="11E0C91F">
      <w:pPr>
        <w:spacing w:line="540" w:lineRule="exact"/>
        <w:jc w:val="center"/>
        <w:rPr>
          <w:rFonts w:ascii="华文中宋" w:hAnsi="华文中宋" w:eastAsia="华文中宋" w:cs="宋体"/>
          <w:b/>
          <w:kern w:val="0"/>
          <w:sz w:val="52"/>
          <w:szCs w:val="52"/>
        </w:rPr>
      </w:pPr>
    </w:p>
    <w:p w14:paraId="2C0DA4CA">
      <w:pPr>
        <w:contextualSpacing/>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地委办公室综合事务资金项目支出绩效评价报告</w:t>
      </w:r>
    </w:p>
    <w:p w14:paraId="1F572258">
      <w:pPr>
        <w:spacing w:line="540" w:lineRule="exact"/>
        <w:jc w:val="center"/>
        <w:rPr>
          <w:rFonts w:ascii="华文中宋" w:hAnsi="华文中宋" w:eastAsia="华文中宋" w:cs="宋体"/>
          <w:b/>
          <w:kern w:val="0"/>
          <w:sz w:val="52"/>
          <w:szCs w:val="52"/>
        </w:rPr>
      </w:pPr>
    </w:p>
    <w:p w14:paraId="6DE030F4">
      <w:pPr>
        <w:spacing w:line="540" w:lineRule="exact"/>
        <w:jc w:val="center"/>
        <w:rPr>
          <w:rFonts w:hAnsi="宋体" w:eastAsia="仿宋_GB2312" w:cs="宋体"/>
          <w:kern w:val="0"/>
          <w:sz w:val="36"/>
          <w:szCs w:val="36"/>
        </w:rPr>
      </w:pPr>
      <w:r>
        <w:rPr>
          <w:rFonts w:hint="eastAsia" w:ascii="仿宋_GB2312" w:hAnsi="仿宋_GB2312" w:eastAsia="仿宋_GB2312" w:cs="仿宋_GB2312"/>
          <w:kern w:val="0"/>
          <w:sz w:val="36"/>
          <w:szCs w:val="36"/>
        </w:rPr>
        <w:t>（ 2020年度）</w:t>
      </w:r>
    </w:p>
    <w:p w14:paraId="5024E206">
      <w:pPr>
        <w:spacing w:line="540" w:lineRule="exact"/>
        <w:jc w:val="center"/>
        <w:rPr>
          <w:rFonts w:hAnsi="宋体" w:eastAsia="仿宋_GB2312" w:cs="宋体"/>
          <w:kern w:val="0"/>
          <w:sz w:val="30"/>
          <w:szCs w:val="30"/>
        </w:rPr>
      </w:pPr>
    </w:p>
    <w:p w14:paraId="568ADE3D">
      <w:pPr>
        <w:spacing w:line="540" w:lineRule="exact"/>
        <w:jc w:val="center"/>
        <w:rPr>
          <w:rFonts w:hAnsi="宋体" w:eastAsia="仿宋_GB2312" w:cs="宋体"/>
          <w:kern w:val="0"/>
          <w:sz w:val="30"/>
          <w:szCs w:val="30"/>
        </w:rPr>
      </w:pPr>
    </w:p>
    <w:p w14:paraId="33C67ED6">
      <w:pPr>
        <w:spacing w:line="540" w:lineRule="exact"/>
        <w:jc w:val="center"/>
        <w:rPr>
          <w:rFonts w:hAnsi="宋体" w:eastAsia="仿宋_GB2312" w:cs="宋体"/>
          <w:kern w:val="0"/>
          <w:sz w:val="30"/>
          <w:szCs w:val="30"/>
        </w:rPr>
      </w:pPr>
    </w:p>
    <w:p w14:paraId="42487B2A">
      <w:pPr>
        <w:spacing w:line="540" w:lineRule="exact"/>
        <w:jc w:val="center"/>
        <w:rPr>
          <w:rFonts w:hAnsi="宋体" w:eastAsia="仿宋_GB2312" w:cs="宋体"/>
          <w:kern w:val="0"/>
          <w:sz w:val="30"/>
          <w:szCs w:val="30"/>
        </w:rPr>
      </w:pPr>
    </w:p>
    <w:p w14:paraId="332AE21F">
      <w:pPr>
        <w:spacing w:line="540" w:lineRule="exact"/>
        <w:rPr>
          <w:rFonts w:hAnsi="宋体" w:eastAsia="仿宋_GB2312" w:cs="宋体"/>
          <w:kern w:val="0"/>
          <w:sz w:val="30"/>
          <w:szCs w:val="30"/>
        </w:rPr>
      </w:pPr>
    </w:p>
    <w:p w14:paraId="56C911C3">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项目名称：地委办公室综合事务经费项目</w:t>
      </w:r>
    </w:p>
    <w:p w14:paraId="1B1F6D9F">
      <w:pPr>
        <w:spacing w:line="700" w:lineRule="exact"/>
        <w:ind w:left="718" w:leftChars="342" w:firstLine="0" w:firstLineChars="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实施单位（公章）：中国共产党塔城地区委员会办公室</w:t>
      </w:r>
    </w:p>
    <w:p w14:paraId="49442901">
      <w:pPr>
        <w:spacing w:line="700" w:lineRule="exact"/>
        <w:ind w:left="718" w:leftChars="342" w:firstLine="0" w:firstLineChars="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主管部门（公章）：中国共产党塔城地区委员会办公室</w:t>
      </w:r>
    </w:p>
    <w:p w14:paraId="3F841075">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项目负责人（签章）：王新立</w:t>
      </w:r>
    </w:p>
    <w:p w14:paraId="2B7B06F1">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填报时间：2021年04月01日</w:t>
      </w:r>
    </w:p>
    <w:p w14:paraId="207697C7">
      <w:pPr>
        <w:spacing w:line="540" w:lineRule="exact"/>
        <w:jc w:val="center"/>
        <w:rPr>
          <w:rFonts w:hAnsi="宋体" w:eastAsia="仿宋_GB2312" w:cs="宋体"/>
          <w:kern w:val="0"/>
          <w:sz w:val="30"/>
          <w:szCs w:val="30"/>
        </w:rPr>
      </w:pPr>
    </w:p>
    <w:p w14:paraId="53BFE4A9">
      <w:pPr>
        <w:pStyle w:val="2"/>
        <w:jc w:val="both"/>
      </w:pPr>
    </w:p>
    <w:p w14:paraId="510A3876">
      <w:pPr>
        <w:spacing w:line="600" w:lineRule="exact"/>
        <w:rPr>
          <w:rFonts w:ascii="黑体" w:hAnsi="黑体" w:eastAsia="黑体" w:cs="黑体"/>
          <w:bCs/>
          <w:sz w:val="32"/>
          <w:szCs w:val="32"/>
        </w:rPr>
      </w:pPr>
      <w:r>
        <w:rPr>
          <w:rFonts w:hint="eastAsia" w:ascii="黑体" w:hAnsi="黑体" w:eastAsia="黑体" w:cs="黑体"/>
          <w:bCs/>
          <w:sz w:val="32"/>
          <w:szCs w:val="32"/>
        </w:rPr>
        <w:t>一、基本情况</w:t>
      </w:r>
    </w:p>
    <w:p w14:paraId="6CA464F6">
      <w:pPr>
        <w:spacing w:line="60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14:paraId="63491D1C">
      <w:pPr>
        <w:spacing w:line="600" w:lineRule="exact"/>
        <w:ind w:firstLine="641"/>
        <w:rPr>
          <w:rFonts w:ascii="仿宋_GB2312" w:hAnsi="仿宋_GB2312" w:eastAsia="仿宋_GB2312" w:cs="仿宋_GB2312"/>
          <w:sz w:val="32"/>
          <w:szCs w:val="32"/>
        </w:rPr>
      </w:pPr>
      <w:r>
        <w:rPr>
          <w:rFonts w:hint="eastAsia" w:ascii="仿宋_GB2312" w:hAnsi="仿宋_GB2312" w:eastAsia="仿宋_GB2312" w:cs="仿宋_GB2312"/>
          <w:b/>
          <w:bCs/>
          <w:sz w:val="32"/>
          <w:szCs w:val="32"/>
        </w:rPr>
        <w:t>1、项目背景</w:t>
      </w:r>
    </w:p>
    <w:p w14:paraId="2B669416">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（1）项目实施的政策背景</w:t>
      </w:r>
    </w:p>
    <w:p w14:paraId="2943446A">
      <w:pPr>
        <w:pStyle w:val="50"/>
        <w:ind w:firstLine="640"/>
        <w:rPr>
          <w:rFonts w:ascii="仿宋_GB2312" w:hAnsi="Calibri"/>
          <w:kern w:val="2"/>
          <w:sz w:val="32"/>
          <w:szCs w:val="32"/>
        </w:rPr>
      </w:pPr>
      <w:r>
        <w:rPr>
          <w:rFonts w:hint="eastAsia" w:ascii="仿宋_GB2312" w:hAnsi="Calibri"/>
          <w:kern w:val="2"/>
          <w:sz w:val="32"/>
          <w:szCs w:val="32"/>
        </w:rPr>
        <w:t>为了进一步保障地委办公、公务车辆等正常运行，临时工工资按时发放，保障地委厅级领导适时到县（市）督导调研，推进工作，提质增效，为办公室提供经费补充，特申请此项目。</w:t>
      </w:r>
    </w:p>
    <w:p w14:paraId="3DA5F241">
      <w:pPr>
        <w:pStyle w:val="2"/>
        <w:numPr>
          <w:ilvl w:val="0"/>
          <w:numId w:val="1"/>
        </w:numPr>
        <w:ind w:firstLine="640" w:firstLineChars="200"/>
        <w:jc w:val="both"/>
        <w:rPr>
          <w:rFonts w:ascii="仿宋_GB2312" w:hAnsi="仿宋_GB2312" w:eastAsia="仿宋_GB2312" w:cs="仿宋_GB2312"/>
          <w:b w:val="0"/>
          <w:bCs w:val="0"/>
          <w:kern w:val="0"/>
        </w:rPr>
      </w:pPr>
      <w:r>
        <w:rPr>
          <w:rFonts w:hint="eastAsia" w:ascii="仿宋_GB2312" w:hAnsi="仿宋_GB2312" w:eastAsia="仿宋_GB2312" w:cs="仿宋_GB2312"/>
          <w:b w:val="0"/>
          <w:bCs w:val="0"/>
          <w:kern w:val="0"/>
        </w:rPr>
        <w:t>项目实施的历史概况</w:t>
      </w:r>
    </w:p>
    <w:p w14:paraId="23AE32B2">
      <w:pPr>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2020年是全面建成小康社会和“十三五”规划收官之年，地委按照中央经济工作会议“实现全面建成小康社会和</w:t>
      </w:r>
      <w:r>
        <w:rPr>
          <w:rFonts w:hint="eastAsia" w:ascii="仿宋_GB2312" w:hAnsi="仿宋_GB2312" w:eastAsia="仿宋_GB2312" w:cs="仿宋_GB2312"/>
          <w:sz w:val="32"/>
          <w:szCs w:val="32"/>
          <w:lang w:eastAsia="zh-CN"/>
        </w:rPr>
        <w:t>“十三五”规划</w:t>
      </w:r>
      <w:r>
        <w:rPr>
          <w:rFonts w:hint="eastAsia" w:ascii="仿宋_GB2312" w:hAnsi="仿宋_GB2312" w:eastAsia="仿宋_GB2312" w:cs="仿宋_GB2312"/>
          <w:sz w:val="32"/>
          <w:szCs w:val="32"/>
        </w:rPr>
        <w:t>目标任务是全党工作的重中之重”，按照自治区党委经济工作会议要求“各级党委和政府要坚决贯彻党中央重大决策部署，正确处理稳定和发展的关系，拿出切实有力措施推动地区稳定发展，地区民生及党建各项事业取得一定成效。2020年为了确保正常工作的正常运行，本着增收节支的原则，合理安排经费支出，使各项业务经费得到了保障，各项事业得到了发展，为塔城地区经济发展做出了一份贡献。</w:t>
      </w:r>
    </w:p>
    <w:p w14:paraId="36208FC5">
      <w:pPr>
        <w:numPr>
          <w:ilvl w:val="0"/>
          <w:numId w:val="2"/>
        </w:numPr>
        <w:spacing w:line="600" w:lineRule="exac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项目主要内容及实施情况</w:t>
      </w:r>
    </w:p>
    <w:p w14:paraId="51C9B057">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项目主要内容：</w:t>
      </w:r>
      <w:r>
        <w:rPr>
          <w:rFonts w:hint="eastAsia" w:hAnsi="宋体" w:eastAsia="仿宋_GB2312" w:cs="宋体"/>
          <w:kern w:val="0"/>
          <w:sz w:val="32"/>
          <w:szCs w:val="32"/>
        </w:rPr>
        <w:t>地委办公室综合事务经费项目</w:t>
      </w:r>
      <w:r>
        <w:rPr>
          <w:rFonts w:hint="eastAsia" w:ascii="仿宋_GB2312" w:hAnsi="仿宋_GB2312" w:eastAsia="仿宋_GB2312" w:cs="仿宋_GB2312"/>
          <w:sz w:val="32"/>
          <w:szCs w:val="32"/>
        </w:rPr>
        <w:t>计划完成55次调研、保障15辆公务用车的正常运转、保障100人的正常用餐、保障8名临时工工资按时发放、调研指导县（市）覆盖率达到100%、保障车辆覆盖率达到100%、2020年12月底前完成各项工作计划、成本总额控制在232万元以内，使党办业务保障能力有所提升，干部职工满意率达到95%以上。</w:t>
      </w:r>
    </w:p>
    <w:p w14:paraId="53D8BF91">
      <w:pPr>
        <w:ind w:firstLine="640" w:firstLineChars="200"/>
      </w:pPr>
      <w:r>
        <w:rPr>
          <w:rFonts w:hint="eastAsia" w:ascii="仿宋_GB2312" w:hAnsi="仿宋_GB2312" w:eastAsia="仿宋_GB2312" w:cs="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16C8E0A8">
      <w:pPr>
        <w:spacing w:line="540" w:lineRule="exact"/>
        <w:ind w:firstLine="579" w:firstLineChars="181"/>
        <w:rPr>
          <w:rFonts w:ascii="仿宋_GB2312" w:hAnsi="仿宋_GB2312" w:eastAsia="仿宋_GB2312" w:cs="仿宋_GB2312"/>
          <w:sz w:val="32"/>
          <w:szCs w:val="32"/>
        </w:rPr>
      </w:pPr>
      <w:r>
        <w:rPr>
          <w:rFonts w:hint="eastAsia" w:ascii="仿宋_GB2312" w:hAnsi="仿宋_GB2312" w:eastAsia="仿宋_GB2312" w:cs="仿宋_GB2312"/>
          <w:sz w:val="32"/>
          <w:szCs w:val="32"/>
        </w:rPr>
        <w:t>本项目总投资231.996万元，其中：财政本级资金231.996万元。项目实际支出215.41万元，支出率为92.85%。</w:t>
      </w:r>
    </w:p>
    <w:p w14:paraId="365B315A">
      <w:pPr>
        <w:spacing w:line="600" w:lineRule="exac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14:paraId="730973A4">
      <w:pPr>
        <w:spacing w:line="600" w:lineRule="exact"/>
        <w:ind w:firstLine="641"/>
        <w:rPr>
          <w:rFonts w:ascii="仿宋_GB2312" w:hAnsi="仿宋_GB2312" w:eastAsia="仿宋_GB2312" w:cs="仿宋_GB2312"/>
          <w:b/>
          <w:bCs/>
          <w:sz w:val="20"/>
          <w:szCs w:val="20"/>
        </w:rPr>
      </w:pPr>
      <w:r>
        <w:rPr>
          <w:rFonts w:hint="eastAsia" w:ascii="仿宋_GB2312" w:hAnsi="仿宋_GB2312" w:eastAsia="仿宋_GB2312" w:cs="仿宋_GB2312"/>
          <w:b/>
          <w:bCs/>
          <w:sz w:val="32"/>
          <w:szCs w:val="32"/>
        </w:rPr>
        <w:t>（1）资金安排</w:t>
      </w:r>
    </w:p>
    <w:p w14:paraId="27218BBE">
      <w:pPr>
        <w:spacing w:line="540" w:lineRule="exact"/>
        <w:ind w:firstLine="579" w:firstLineChars="181"/>
        <w:rPr>
          <w:rFonts w:ascii="仿宋_GB2312" w:hAnsi="仿宋_GB2312" w:eastAsia="仿宋_GB2312" w:cs="仿宋_GB2312"/>
          <w:sz w:val="32"/>
          <w:szCs w:val="32"/>
        </w:rPr>
      </w:pPr>
      <w:r>
        <w:rPr>
          <w:rFonts w:hint="eastAsia" w:ascii="仿宋_GB2312" w:hAnsi="仿宋_GB2312" w:eastAsia="仿宋_GB2312" w:cs="仿宋_GB2312"/>
          <w:sz w:val="32"/>
          <w:szCs w:val="32"/>
        </w:rPr>
        <w:t>项目总投资231.996万元，按照项目资金管理办法及单位财务制度等相关规定，资金支出符合专项资金费用范围，做到了专款专用。在项目资金拨付和使用过程中，为确保项目资金的安全性，提高项目资金使用效率，严格遵循项目资金的拨付程序，认真审核项目实施各阶段的相关材料和手续，根据项目实施进展情况拨付资金。</w:t>
      </w:r>
    </w:p>
    <w:p w14:paraId="542AD5EF">
      <w:pPr>
        <w:spacing w:line="600" w:lineRule="exac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（2）预算资金来源及使用情况</w:t>
      </w:r>
      <w:bookmarkStart w:id="0" w:name="page10"/>
      <w:bookmarkEnd w:id="0"/>
    </w:p>
    <w:p w14:paraId="75F903D7">
      <w:pPr>
        <w:pStyle w:val="2"/>
        <w:ind w:firstLine="640" w:firstLineChars="200"/>
        <w:jc w:val="both"/>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项目预算资金来源于文件批复的资金，项目资金到位231.996万元，用于支付项目实施进程中的各项费用。</w:t>
      </w:r>
    </w:p>
    <w:p w14:paraId="0DCD4F05">
      <w:pPr>
        <w:spacing w:line="60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14:paraId="3CEA67EC">
      <w:pPr>
        <w:spacing w:line="60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1、总体目标：进一步保障地委办公、公务车辆等正常运行，临时工工资按时发放，保障地委厅级领导适时到县（市）督导调研，推进工作，提质增效。</w:t>
      </w:r>
    </w:p>
    <w:p w14:paraId="4A673AB1">
      <w:pPr>
        <w:spacing w:line="60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2、阶段性目标</w:t>
      </w:r>
    </w:p>
    <w:p w14:paraId="6588F159">
      <w:pPr>
        <w:spacing w:line="60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（1）前期准备：根据年初项目预算，通过初步规划项目建设内容，经项目负责人审核通过后，有序开展后续工程。</w:t>
      </w:r>
    </w:p>
    <w:p w14:paraId="56D2728B">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（2）组织实施：资金一到位，立即根据项目要求实施项目。项目责任人按照项目要求逐一进行项目部署安排，提高项目质量及效率性。</w:t>
      </w:r>
    </w:p>
    <w:p w14:paraId="349CBEDE">
      <w:pPr>
        <w:spacing w:line="600" w:lineRule="exact"/>
        <w:ind w:firstLine="641"/>
        <w:rPr>
          <w:rFonts w:ascii="黑体" w:hAnsi="黑体" w:eastAsia="黑体"/>
          <w:sz w:val="32"/>
          <w:szCs w:val="32"/>
        </w:rPr>
      </w:pPr>
      <w:r>
        <w:rPr>
          <w:rFonts w:hint="eastAsia" w:ascii="黑体" w:hAnsi="黑体" w:eastAsia="黑体"/>
          <w:sz w:val="32"/>
          <w:szCs w:val="32"/>
        </w:rPr>
        <w:t>二、绩效评价工作开展情况</w:t>
      </w:r>
    </w:p>
    <w:p w14:paraId="50279744">
      <w:pPr>
        <w:spacing w:line="60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14:paraId="2EFD44E7">
      <w:pPr>
        <w:pStyle w:val="2"/>
        <w:widowControl w:val="0"/>
        <w:spacing w:line="600" w:lineRule="exac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14:paraId="6A8D66E4">
      <w:pPr>
        <w:spacing w:line="60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54550832">
      <w:pPr>
        <w:numPr>
          <w:ilvl w:val="0"/>
          <w:numId w:val="3"/>
        </w:numPr>
        <w:spacing w:line="60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14:paraId="5F4B3B0C">
      <w:pPr>
        <w:spacing w:line="600" w:lineRule="exact"/>
        <w:ind w:left="641"/>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14:paraId="4510C4A9">
      <w:pPr>
        <w:spacing w:line="60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14:paraId="396347EC">
      <w:pPr>
        <w:pStyle w:val="2"/>
        <w:widowControl w:val="0"/>
        <w:spacing w:line="600" w:lineRule="exact"/>
        <w:ind w:left="641"/>
        <w:jc w:val="both"/>
        <w:outlineLvl w:val="9"/>
        <w:rPr>
          <w:rFonts w:ascii="仿宋_GB2312" w:hAnsi="仿宋_GB2312" w:eastAsia="仿宋_GB2312" w:cs="仿宋_GB2312"/>
          <w:b/>
          <w:bCs/>
        </w:rPr>
      </w:pPr>
      <w:r>
        <w:rPr>
          <w:rFonts w:hint="eastAsia" w:ascii="仿宋_GB2312" w:hAnsi="仿宋_GB2312" w:eastAsia="仿宋_GB2312" w:cs="仿宋_GB2312"/>
          <w:b/>
          <w:bCs/>
        </w:rPr>
        <w:t>2、绩效评价的对象</w:t>
      </w:r>
    </w:p>
    <w:p w14:paraId="51F0E13B">
      <w:pPr>
        <w:spacing w:line="560" w:lineRule="exact"/>
        <w:ind w:left="641"/>
      </w:pPr>
      <w:r>
        <w:rPr>
          <w:rFonts w:hint="eastAsia" w:ascii="仿宋_GB2312" w:hAnsi="仿宋_GB2312" w:eastAsia="仿宋_GB2312" w:cs="仿宋_GB2312"/>
          <w:sz w:val="32"/>
          <w:szCs w:val="32"/>
        </w:rPr>
        <w:t>评价对象为</w:t>
      </w:r>
      <w:r>
        <w:rPr>
          <w:rFonts w:hint="eastAsia" w:hAnsi="宋体" w:eastAsia="仿宋_GB2312" w:cs="宋体"/>
          <w:kern w:val="0"/>
          <w:sz w:val="32"/>
          <w:szCs w:val="32"/>
        </w:rPr>
        <w:t>地委办公室综合事务经费项目</w:t>
      </w:r>
      <w:r>
        <w:rPr>
          <w:rFonts w:hint="eastAsia" w:ascii="仿宋_GB2312" w:hAnsi="仿宋" w:eastAsia="仿宋_GB2312" w:cs="宋体"/>
          <w:sz w:val="32"/>
          <w:szCs w:val="32"/>
        </w:rPr>
        <w:t>，评价核心为专项资金的支出完成情况和效果。</w:t>
      </w:r>
    </w:p>
    <w:p w14:paraId="0BD69CC9">
      <w:pPr>
        <w:pStyle w:val="2"/>
        <w:widowControl w:val="0"/>
        <w:spacing w:line="560" w:lineRule="exac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3、绩效评价的范围</w:t>
      </w:r>
    </w:p>
    <w:p w14:paraId="684117A6">
      <w:pPr>
        <w:spacing w:line="560" w:lineRule="exact"/>
        <w:ind w:firstLine="640" w:firstLineChars="200"/>
        <w:rPr>
          <w:rFonts w:ascii="仿宋_GB2312" w:hAnsi="仿宋" w:eastAsia="仿宋_GB2312" w:cs="宋体"/>
          <w:sz w:val="32"/>
          <w:szCs w:val="32"/>
        </w:rPr>
      </w:pPr>
      <w:r>
        <w:rPr>
          <w:rFonts w:hint="eastAsia" w:ascii="仿宋_GB2312" w:hAnsi="仿宋_GB2312" w:eastAsia="仿宋_GB2312" w:cs="仿宋_GB2312"/>
          <w:sz w:val="32"/>
          <w:szCs w:val="32"/>
        </w:rPr>
        <w:t>本次评价从项目决策、过程（包括项目资金、项目实施）、产出、效益四个方面进行评价。</w:t>
      </w:r>
    </w:p>
    <w:p w14:paraId="51266BBE">
      <w:pPr>
        <w:spacing w:line="600" w:lineRule="exact"/>
        <w:ind w:firstLine="641"/>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14:paraId="191B397E">
      <w:pPr>
        <w:pStyle w:val="2"/>
        <w:widowControl w:val="0"/>
        <w:spacing w:line="560" w:lineRule="exac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1、绩效评价原则</w:t>
      </w:r>
    </w:p>
    <w:p w14:paraId="12567467">
      <w:pPr>
        <w:spacing w:line="560" w:lineRule="exact"/>
        <w:ind w:firstLine="641"/>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14:paraId="4B574D65">
      <w:pPr>
        <w:pStyle w:val="2"/>
        <w:spacing w:line="56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14:paraId="19597BE2">
      <w:pPr>
        <w:pStyle w:val="2"/>
        <w:spacing w:line="56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14:paraId="33F00851">
      <w:pPr>
        <w:pStyle w:val="2"/>
        <w:spacing w:line="56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14:paraId="15D7D43B">
      <w:pPr>
        <w:pStyle w:val="2"/>
        <w:spacing w:line="56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14:paraId="3DAAACCC">
      <w:pPr>
        <w:pStyle w:val="2"/>
        <w:widowControl w:val="0"/>
        <w:spacing w:line="560" w:lineRule="exac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2、评价指标体系</w:t>
      </w:r>
    </w:p>
    <w:p w14:paraId="4E18E96D">
      <w:pPr>
        <w:spacing w:line="600" w:lineRule="exact"/>
        <w:ind w:firstLine="641"/>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5616E4D5">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5C407B63">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5C23C914">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5EA649D4">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确定各个指标相对于项目总体绩效的权重分值。在绩效评价指标体系中，项目决策权重为5分，项目过程权重值占5分，项目产出权重值占50分，项目效益权重占40分。</w:t>
      </w:r>
    </w:p>
    <w:p w14:paraId="65724A26">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3174A0F0">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54A9BCBB">
      <w:pPr>
        <w:pStyle w:val="2"/>
        <w:spacing w:line="600" w:lineRule="exact"/>
        <w:ind w:firstLine="708" w:firstLineChars="200"/>
        <w:jc w:val="both"/>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55FE7026">
      <w:pPr>
        <w:pStyle w:val="2"/>
        <w:spacing w:line="600" w:lineRule="exact"/>
        <w:ind w:firstLine="708" w:firstLineChars="200"/>
        <w:jc w:val="both"/>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rPr>
        <w:t>具体评价指标体系详情见附件1</w:t>
      </w:r>
    </w:p>
    <w:p w14:paraId="2924BD26">
      <w:pPr>
        <w:pStyle w:val="2"/>
        <w:widowControl w:val="0"/>
        <w:spacing w:line="600" w:lineRule="exac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3、绩效评价方法</w:t>
      </w:r>
    </w:p>
    <w:p w14:paraId="1834BA69">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68945D63">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14:paraId="6FFA4C4C">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14:paraId="798204B1">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14:paraId="21C33451">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14:paraId="45809BBE">
      <w:pPr>
        <w:pStyle w:val="2"/>
        <w:widowControl w:val="0"/>
        <w:spacing w:line="600" w:lineRule="exact"/>
        <w:ind w:left="641"/>
        <w:jc w:val="both"/>
        <w:outlineLvl w:val="9"/>
        <w:rPr>
          <w:rFonts w:ascii="仿宋_GB2312" w:hAnsi="仿宋_GB2312" w:eastAsia="仿宋_GB2312" w:cs="仿宋_GB2312"/>
          <w:b/>
          <w:bCs/>
          <w:color w:val="000000"/>
          <w:spacing w:val="17"/>
          <w:kern w:val="2"/>
        </w:rPr>
      </w:pPr>
      <w:r>
        <w:rPr>
          <w:rFonts w:hint="eastAsia" w:ascii="仿宋_GB2312" w:hAnsi="仿宋_GB2312" w:eastAsia="仿宋_GB2312" w:cs="仿宋_GB2312"/>
          <w:b/>
          <w:bCs/>
          <w:color w:val="000000"/>
          <w:spacing w:val="17"/>
          <w:kern w:val="2"/>
        </w:rPr>
        <w:t>4、评价标准</w:t>
      </w:r>
    </w:p>
    <w:p w14:paraId="2074FAAE">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绩效评价标准通常包括计划标准、行业标准、历史标准等，用于对绩效指标完成情况进行比较。本次评价主要采用了计划标准和行业标准。</w:t>
      </w:r>
    </w:p>
    <w:p w14:paraId="24E8A973">
      <w:pPr>
        <w:pStyle w:val="2"/>
        <w:numPr>
          <w:ilvl w:val="0"/>
          <w:numId w:val="4"/>
        </w:numPr>
        <w:jc w:val="both"/>
        <w:rPr>
          <w:rFonts w:ascii="仿宋_GB2312" w:hAnsi="仿宋_GB2312" w:eastAsia="仿宋_GB2312" w:cs="仿宋_GB2312"/>
          <w:color w:val="000000"/>
          <w:spacing w:val="17"/>
        </w:rPr>
      </w:pPr>
      <w:r>
        <w:rPr>
          <w:rFonts w:hint="eastAsia" w:ascii="仿宋_GB2312" w:hAnsi="仿宋_GB2312" w:eastAsia="仿宋_GB2312" w:cs="仿宋_GB2312"/>
          <w:color w:val="000000"/>
          <w:spacing w:val="17"/>
        </w:rPr>
        <w:t>绩效评价工作过程</w:t>
      </w:r>
    </w:p>
    <w:p w14:paraId="340F6723">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前期准备。首先成立评价工作组，开展前期调研；其次明确项目绩效目标，设计绩效评价指标体系并确定绩效评价方法。</w:t>
      </w:r>
    </w:p>
    <w:p w14:paraId="38375CEC">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组织实施。具体包括项目概况、评价思路、方法手段、组织实施、进度安排等。收集项目立项依据、相关会议纪要、财政资金分配方案、支付管理情况等相关评价资料并进行梳理。</w:t>
      </w:r>
    </w:p>
    <w:p w14:paraId="588A52FD">
      <w:pPr>
        <w:spacing w:line="600" w:lineRule="exact"/>
        <w:ind w:firstLine="641"/>
      </w:pPr>
      <w:r>
        <w:rPr>
          <w:rFonts w:hint="eastAsia" w:ascii="仿宋_GB2312" w:hAnsi="仿宋_GB2312" w:eastAsia="仿宋_GB2312" w:cs="仿宋_GB2312"/>
          <w:color w:val="000000"/>
          <w:spacing w:val="17"/>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56E3848C"/>
    <w:p w14:paraId="37528773">
      <w:pPr>
        <w:numPr>
          <w:ilvl w:val="0"/>
          <w:numId w:val="5"/>
        </w:numPr>
        <w:spacing w:line="600" w:lineRule="exact"/>
        <w:ind w:firstLine="641"/>
        <w:rPr>
          <w:rFonts w:ascii="黑体" w:hAnsi="黑体" w:eastAsia="黑体" w:cs="黑体"/>
          <w:sz w:val="32"/>
          <w:szCs w:val="32"/>
        </w:rPr>
      </w:pPr>
      <w:r>
        <w:rPr>
          <w:rFonts w:hint="eastAsia" w:ascii="黑体" w:hAnsi="黑体" w:eastAsia="黑体" w:cs="黑体"/>
          <w:sz w:val="32"/>
          <w:szCs w:val="32"/>
        </w:rPr>
        <w:t>综合评价情况及评价结论（附相关评分表）</w:t>
      </w:r>
    </w:p>
    <w:p w14:paraId="6BC9B45F">
      <w:pPr>
        <w:pStyle w:val="2"/>
        <w:widowControl w:val="0"/>
        <w:spacing w:line="600" w:lineRule="exact"/>
        <w:ind w:firstLine="641"/>
        <w:jc w:val="both"/>
        <w:outlineLvl w:val="9"/>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对地委办公室综合事务经费项目进行客观评价，最终评分结果：总得分为98.75分，属于“优”。其中，项目决策类指标权重为5分，得分为 5分，得分率为 100%</w:t>
      </w:r>
      <w:r>
        <w:rPr>
          <w:rFonts w:hint="eastAsia" w:ascii="仿宋_GB2312" w:hAnsi="仿宋_GB2312" w:eastAsia="仿宋_GB2312" w:cs="仿宋_GB2312"/>
          <w:b w:val="0"/>
          <w:bCs w:val="0"/>
          <w:spacing w:val="17"/>
          <w:kern w:val="2"/>
        </w:rPr>
        <w:t>。项目过程类指标权重为5分，得分为4.92 分，得分率为 98.4%。项目产出类指标权重为50分，得分为49.0分，得分率为 98%。</w:t>
      </w:r>
      <w:r>
        <w:rPr>
          <w:rFonts w:hint="eastAsia" w:ascii="仿宋_GB2312" w:hAnsi="仿宋_GB2312" w:eastAsia="仿宋_GB2312" w:cs="仿宋_GB2312"/>
          <w:b w:val="0"/>
          <w:bCs w:val="0"/>
          <w:color w:val="000000"/>
          <w:spacing w:val="17"/>
          <w:kern w:val="2"/>
        </w:rPr>
        <w:t>项目效益类指标权重为40分，得分为40分，得分率为 100%。</w:t>
      </w:r>
    </w:p>
    <w:p w14:paraId="7479D455">
      <w:pPr>
        <w:pStyle w:val="2"/>
        <w:rPr>
          <w:rFonts w:ascii="仿宋_GB2312" w:hAnsi="仿宋_GB2312" w:eastAsia="仿宋_GB2312" w:cs="仿宋_GB2312"/>
          <w:sz w:val="30"/>
          <w:szCs w:val="30"/>
        </w:rPr>
      </w:pPr>
      <w:r>
        <w:rPr>
          <w:rFonts w:hint="eastAsia" w:ascii="仿宋_GB2312" w:hAnsi="仿宋_GB2312" w:eastAsia="仿宋_GB2312" w:cs="仿宋_GB2312"/>
          <w:sz w:val="30"/>
          <w:szCs w:val="30"/>
        </w:rPr>
        <w:t>表1综合评分表</w:t>
      </w:r>
    </w:p>
    <w:p w14:paraId="13239AE9"/>
    <w:p w14:paraId="5157ABB5"/>
    <w:tbl>
      <w:tblPr>
        <w:tblStyle w:val="18"/>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14:paraId="3A913B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14:paraId="20DF28FB">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14:paraId="68411A62">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14:paraId="51A5908B">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14:paraId="4439DB31">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14:paraId="71A9FC71">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14:paraId="56516B02">
            <w:pPr>
              <w:widowControl/>
              <w:tabs>
                <w:tab w:val="left" w:pos="1333"/>
                <w:tab w:val="center" w:pos="3623"/>
              </w:tabs>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14:paraId="14D4954E">
            <w:pPr>
              <w:widowControl/>
              <w:tabs>
                <w:tab w:val="left" w:pos="1333"/>
                <w:tab w:val="center" w:pos="3623"/>
              </w:tabs>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14:paraId="29A78175">
            <w:pPr>
              <w:widowControl/>
              <w:tabs>
                <w:tab w:val="left" w:pos="1333"/>
                <w:tab w:val="center" w:pos="3623"/>
              </w:tabs>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14:paraId="19BB247A">
            <w:pPr>
              <w:widowControl/>
              <w:tabs>
                <w:tab w:val="left" w:pos="1333"/>
                <w:tab w:val="center" w:pos="3623"/>
              </w:tabs>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14:paraId="43BCA1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4DF35EA5">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w:t>
            </w:r>
          </w:p>
          <w:p w14:paraId="1D08C959">
            <w:pPr>
              <w:widowControl/>
              <w:spacing w:line="0" w:lineRule="atLeast"/>
              <w:jc w:val="center"/>
              <w:rPr>
                <w:rFonts w:ascii="宋体" w:hAnsi="宋体" w:cs="宋体"/>
                <w:color w:val="000000"/>
                <w:kern w:val="0"/>
                <w:sz w:val="22"/>
                <w:szCs w:val="22"/>
              </w:rPr>
            </w:pPr>
          </w:p>
          <w:p w14:paraId="1BD30E69">
            <w:pPr>
              <w:spacing w:line="0" w:lineRule="atLeast"/>
              <w:jc w:val="center"/>
              <w:rPr>
                <w:rFonts w:ascii="宋体" w:hAnsi="宋体" w:cs="宋体"/>
                <w:color w:val="000000"/>
                <w:kern w:val="0"/>
                <w:sz w:val="22"/>
                <w:szCs w:val="22"/>
              </w:rPr>
            </w:pPr>
          </w:p>
          <w:p w14:paraId="19821667">
            <w:pPr>
              <w:widowControl/>
              <w:spacing w:line="0" w:lineRule="atLeast"/>
              <w:jc w:val="center"/>
              <w:rPr>
                <w:rFonts w:ascii="宋体" w:hAnsi="宋体" w:cs="宋体"/>
                <w:color w:val="000000"/>
                <w:kern w:val="0"/>
                <w:sz w:val="22"/>
                <w:szCs w:val="22"/>
              </w:rPr>
            </w:pPr>
          </w:p>
        </w:tc>
        <w:tc>
          <w:tcPr>
            <w:tcW w:w="990" w:type="dxa"/>
            <w:vMerge w:val="restart"/>
            <w:shd w:val="clear" w:color="auto" w:fill="FFFFFF"/>
            <w:vAlign w:val="center"/>
          </w:tcPr>
          <w:p w14:paraId="52586163">
            <w:pPr>
              <w:widowControl/>
              <w:spacing w:line="0" w:lineRule="atLeast"/>
              <w:jc w:val="center"/>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14:paraId="23DC7994">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项目立项</w:t>
            </w:r>
          </w:p>
        </w:tc>
        <w:tc>
          <w:tcPr>
            <w:tcW w:w="1707" w:type="dxa"/>
            <w:shd w:val="clear" w:color="auto" w:fill="FFFFFF"/>
            <w:vAlign w:val="center"/>
          </w:tcPr>
          <w:p w14:paraId="12845638">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立项依据</w:t>
            </w:r>
          </w:p>
          <w:p w14:paraId="31685B02">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727" w:type="dxa"/>
            <w:shd w:val="clear" w:color="auto" w:fill="FFFFFF"/>
            <w:vAlign w:val="center"/>
          </w:tcPr>
          <w:p w14:paraId="2E1EB02E">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14:paraId="377F8931">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924" w:type="dxa"/>
            <w:shd w:val="clear" w:color="auto" w:fill="FFFFFF"/>
            <w:vAlign w:val="center"/>
          </w:tcPr>
          <w:p w14:paraId="6D668C1C">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215" w:type="dxa"/>
            <w:shd w:val="clear" w:color="auto" w:fill="FFFFFF"/>
            <w:vAlign w:val="center"/>
          </w:tcPr>
          <w:p w14:paraId="4E5D29D0">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auto" w:fill="FFFFFF"/>
            <w:vAlign w:val="center"/>
          </w:tcPr>
          <w:p w14:paraId="4656B662">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r>
      <w:tr w14:paraId="26A193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2604488">
            <w:pPr>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14:paraId="4E1404CF">
            <w:pPr>
              <w:widowControl/>
              <w:spacing w:line="0" w:lineRule="atLeast"/>
              <w:jc w:val="center"/>
              <w:rPr>
                <w:rFonts w:ascii="宋体" w:hAnsi="宋体" w:cs="宋体"/>
                <w:color w:val="000000"/>
                <w:kern w:val="0"/>
                <w:sz w:val="22"/>
                <w:szCs w:val="22"/>
              </w:rPr>
            </w:pPr>
          </w:p>
        </w:tc>
        <w:tc>
          <w:tcPr>
            <w:tcW w:w="1283" w:type="dxa"/>
            <w:vMerge w:val="continue"/>
            <w:shd w:val="clear" w:color="auto" w:fill="FFFFFF"/>
            <w:vAlign w:val="center"/>
          </w:tcPr>
          <w:p w14:paraId="23F129F9">
            <w:pPr>
              <w:widowControl/>
              <w:spacing w:line="0" w:lineRule="atLeast"/>
              <w:jc w:val="center"/>
              <w:rPr>
                <w:rFonts w:ascii="宋体" w:hAnsi="宋体" w:cs="宋体"/>
                <w:color w:val="000000"/>
                <w:kern w:val="0"/>
                <w:sz w:val="22"/>
                <w:szCs w:val="22"/>
              </w:rPr>
            </w:pPr>
          </w:p>
        </w:tc>
        <w:tc>
          <w:tcPr>
            <w:tcW w:w="1707" w:type="dxa"/>
            <w:shd w:val="clear" w:color="auto" w:fill="FFFFFF"/>
            <w:vAlign w:val="center"/>
          </w:tcPr>
          <w:p w14:paraId="253612C7">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立项程序</w:t>
            </w:r>
          </w:p>
          <w:p w14:paraId="7B8D8C33">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727" w:type="dxa"/>
            <w:shd w:val="clear" w:color="auto" w:fill="FFFFFF"/>
            <w:vAlign w:val="center"/>
          </w:tcPr>
          <w:p w14:paraId="6F9A28DB">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14:paraId="20A547F1">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924" w:type="dxa"/>
            <w:shd w:val="clear" w:color="auto" w:fill="FFFFFF"/>
            <w:vAlign w:val="center"/>
          </w:tcPr>
          <w:p w14:paraId="6292B342">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215" w:type="dxa"/>
            <w:shd w:val="clear" w:color="auto" w:fill="FFFFFF"/>
            <w:vAlign w:val="center"/>
          </w:tcPr>
          <w:p w14:paraId="0D00E8BF">
            <w:pPr>
              <w:jc w:val="center"/>
            </w:pPr>
            <w:r>
              <w:rPr>
                <w:rFonts w:hint="eastAsia" w:ascii="宋体" w:hAnsi="宋体" w:cs="宋体"/>
                <w:color w:val="000000"/>
                <w:kern w:val="0"/>
                <w:sz w:val="22"/>
                <w:szCs w:val="22"/>
              </w:rPr>
              <w:t>100%</w:t>
            </w:r>
          </w:p>
        </w:tc>
        <w:tc>
          <w:tcPr>
            <w:tcW w:w="960" w:type="dxa"/>
            <w:shd w:val="clear" w:color="auto" w:fill="FFFFFF"/>
            <w:vAlign w:val="center"/>
          </w:tcPr>
          <w:p w14:paraId="0B555DCB">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r>
      <w:tr w14:paraId="5BE058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25D5E17">
            <w:pPr>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14:paraId="44164444">
            <w:pPr>
              <w:widowControl/>
              <w:spacing w:line="0" w:lineRule="atLeast"/>
              <w:jc w:val="center"/>
              <w:rPr>
                <w:rFonts w:ascii="宋体" w:hAnsi="宋体" w:cs="宋体"/>
                <w:color w:val="000000"/>
                <w:kern w:val="0"/>
                <w:sz w:val="22"/>
                <w:szCs w:val="22"/>
              </w:rPr>
            </w:pPr>
          </w:p>
        </w:tc>
        <w:tc>
          <w:tcPr>
            <w:tcW w:w="1283" w:type="dxa"/>
            <w:vMerge w:val="restart"/>
            <w:shd w:val="clear" w:color="auto" w:fill="FFFFFF"/>
            <w:vAlign w:val="center"/>
          </w:tcPr>
          <w:p w14:paraId="6FFAE874">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tc>
        <w:tc>
          <w:tcPr>
            <w:tcW w:w="1707" w:type="dxa"/>
            <w:shd w:val="clear" w:color="auto" w:fill="FFFFFF"/>
            <w:vAlign w:val="center"/>
          </w:tcPr>
          <w:p w14:paraId="169A84C8">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p w14:paraId="2CFC940F">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000000" w:fill="FFFFFF"/>
            <w:vAlign w:val="center"/>
          </w:tcPr>
          <w:p w14:paraId="1DB24ABC">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14:paraId="56E1E6D7">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14:paraId="099B145F">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14:paraId="4013254F">
            <w:pPr>
              <w:jc w:val="center"/>
            </w:pPr>
            <w:r>
              <w:rPr>
                <w:rFonts w:hint="eastAsia" w:ascii="宋体" w:hAnsi="宋体" w:cs="宋体"/>
                <w:color w:val="000000"/>
                <w:kern w:val="0"/>
                <w:sz w:val="22"/>
                <w:szCs w:val="22"/>
              </w:rPr>
              <w:t>100%</w:t>
            </w:r>
          </w:p>
        </w:tc>
        <w:tc>
          <w:tcPr>
            <w:tcW w:w="960" w:type="dxa"/>
            <w:shd w:val="clear" w:color="000000" w:fill="FFFFFF"/>
            <w:vAlign w:val="center"/>
          </w:tcPr>
          <w:p w14:paraId="72AB4A88">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14:paraId="03E8C7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DE4318B">
            <w:pPr>
              <w:widowControl/>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14:paraId="0A7D4B35">
            <w:pPr>
              <w:widowControl/>
              <w:spacing w:line="0" w:lineRule="atLeast"/>
              <w:jc w:val="center"/>
              <w:rPr>
                <w:rFonts w:ascii="宋体" w:hAnsi="宋体" w:cs="宋体"/>
                <w:color w:val="000000"/>
                <w:kern w:val="0"/>
                <w:sz w:val="22"/>
                <w:szCs w:val="22"/>
              </w:rPr>
            </w:pPr>
          </w:p>
        </w:tc>
        <w:tc>
          <w:tcPr>
            <w:tcW w:w="1283" w:type="dxa"/>
            <w:vMerge w:val="continue"/>
            <w:shd w:val="clear" w:color="auto" w:fill="FFFFFF"/>
            <w:vAlign w:val="center"/>
          </w:tcPr>
          <w:p w14:paraId="65B84C54">
            <w:pPr>
              <w:widowControl/>
              <w:spacing w:line="0" w:lineRule="atLeast"/>
              <w:jc w:val="center"/>
              <w:rPr>
                <w:rFonts w:ascii="宋体" w:hAnsi="宋体" w:cs="宋体"/>
                <w:color w:val="000000"/>
                <w:kern w:val="0"/>
                <w:sz w:val="22"/>
                <w:szCs w:val="22"/>
              </w:rPr>
            </w:pPr>
          </w:p>
        </w:tc>
        <w:tc>
          <w:tcPr>
            <w:tcW w:w="1707" w:type="dxa"/>
            <w:shd w:val="clear" w:color="auto" w:fill="FFFFFF"/>
            <w:vAlign w:val="center"/>
          </w:tcPr>
          <w:p w14:paraId="03C6A27F">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绩效指标</w:t>
            </w:r>
          </w:p>
          <w:p w14:paraId="4DF6E77A">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727" w:type="dxa"/>
            <w:shd w:val="clear" w:color="000000" w:fill="FFFFFF"/>
            <w:vAlign w:val="center"/>
          </w:tcPr>
          <w:p w14:paraId="72C0BF1C">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14:paraId="7DA708D4">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14:paraId="14F80B22">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14:paraId="27F6CEE8">
            <w:pPr>
              <w:jc w:val="center"/>
            </w:pPr>
            <w:r>
              <w:rPr>
                <w:rFonts w:hint="eastAsia" w:ascii="宋体" w:hAnsi="宋体" w:cs="宋体"/>
                <w:color w:val="000000"/>
                <w:kern w:val="0"/>
                <w:sz w:val="22"/>
                <w:szCs w:val="22"/>
              </w:rPr>
              <w:t>100%</w:t>
            </w:r>
          </w:p>
        </w:tc>
        <w:tc>
          <w:tcPr>
            <w:tcW w:w="960" w:type="dxa"/>
            <w:shd w:val="clear" w:color="000000" w:fill="FFFFFF"/>
            <w:vAlign w:val="center"/>
          </w:tcPr>
          <w:p w14:paraId="7C2570DE">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14:paraId="284F46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090F90F2">
            <w:pPr>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14:paraId="211B35D3">
            <w:pPr>
              <w:spacing w:line="0" w:lineRule="atLeast"/>
              <w:jc w:val="center"/>
              <w:rPr>
                <w:rFonts w:ascii="宋体" w:hAnsi="宋体" w:cs="宋体"/>
                <w:color w:val="000000"/>
                <w:kern w:val="0"/>
                <w:sz w:val="22"/>
                <w:szCs w:val="22"/>
              </w:rPr>
            </w:pPr>
          </w:p>
        </w:tc>
        <w:tc>
          <w:tcPr>
            <w:tcW w:w="1283" w:type="dxa"/>
            <w:vMerge w:val="restart"/>
            <w:shd w:val="clear" w:color="auto" w:fill="FFFFFF"/>
            <w:vAlign w:val="center"/>
          </w:tcPr>
          <w:p w14:paraId="71A6BB7B">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资金投入</w:t>
            </w:r>
          </w:p>
        </w:tc>
        <w:tc>
          <w:tcPr>
            <w:tcW w:w="1707" w:type="dxa"/>
            <w:shd w:val="clear" w:color="auto" w:fill="FFFFFF"/>
            <w:vAlign w:val="center"/>
          </w:tcPr>
          <w:p w14:paraId="6B487828">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预算编制</w:t>
            </w:r>
          </w:p>
          <w:p w14:paraId="6A2A86D7">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727" w:type="dxa"/>
            <w:shd w:val="clear" w:color="auto" w:fill="FFFFFF"/>
            <w:vAlign w:val="center"/>
          </w:tcPr>
          <w:p w14:paraId="5564C81B">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14:paraId="7A46BCFE">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auto" w:fill="FFFFFF"/>
            <w:vAlign w:val="center"/>
          </w:tcPr>
          <w:p w14:paraId="3966AFAD">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auto" w:fill="FFFFFF"/>
            <w:vAlign w:val="center"/>
          </w:tcPr>
          <w:p w14:paraId="0EB1EB9F">
            <w:pPr>
              <w:jc w:val="center"/>
            </w:pPr>
            <w:r>
              <w:rPr>
                <w:rFonts w:hint="eastAsia" w:ascii="宋体" w:hAnsi="宋体" w:cs="宋体"/>
                <w:color w:val="000000"/>
                <w:kern w:val="0"/>
                <w:sz w:val="22"/>
                <w:szCs w:val="22"/>
              </w:rPr>
              <w:t>100%</w:t>
            </w:r>
          </w:p>
        </w:tc>
        <w:tc>
          <w:tcPr>
            <w:tcW w:w="960" w:type="dxa"/>
            <w:shd w:val="clear" w:color="auto" w:fill="FFFFFF"/>
            <w:vAlign w:val="center"/>
          </w:tcPr>
          <w:p w14:paraId="5575C2C0">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14:paraId="781742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3B35E484">
            <w:pPr>
              <w:widowControl/>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14:paraId="457D0E21">
            <w:pPr>
              <w:widowControl/>
              <w:spacing w:line="0" w:lineRule="atLeast"/>
              <w:jc w:val="center"/>
              <w:rPr>
                <w:rFonts w:ascii="宋体" w:hAnsi="宋体" w:cs="宋体"/>
                <w:color w:val="000000"/>
                <w:kern w:val="0"/>
                <w:sz w:val="22"/>
                <w:szCs w:val="22"/>
              </w:rPr>
            </w:pPr>
          </w:p>
        </w:tc>
        <w:tc>
          <w:tcPr>
            <w:tcW w:w="1283" w:type="dxa"/>
            <w:vMerge w:val="continue"/>
            <w:shd w:val="clear" w:color="auto" w:fill="FFFFFF"/>
            <w:vAlign w:val="center"/>
          </w:tcPr>
          <w:p w14:paraId="4BF155D0">
            <w:pPr>
              <w:widowControl/>
              <w:spacing w:line="0" w:lineRule="atLeast"/>
              <w:jc w:val="center"/>
              <w:rPr>
                <w:rFonts w:ascii="宋体" w:hAnsi="宋体" w:cs="宋体"/>
                <w:color w:val="000000"/>
                <w:kern w:val="0"/>
                <w:sz w:val="22"/>
                <w:szCs w:val="22"/>
              </w:rPr>
            </w:pPr>
          </w:p>
        </w:tc>
        <w:tc>
          <w:tcPr>
            <w:tcW w:w="1707" w:type="dxa"/>
            <w:shd w:val="clear" w:color="auto" w:fill="FFFFFF"/>
            <w:vAlign w:val="center"/>
          </w:tcPr>
          <w:p w14:paraId="64F5BF80">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资金分配</w:t>
            </w:r>
          </w:p>
          <w:p w14:paraId="750BA8A5">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auto" w:fill="FFFFFF"/>
            <w:vAlign w:val="center"/>
          </w:tcPr>
          <w:p w14:paraId="7A479E8D">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14:paraId="0EA969A2">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auto" w:fill="FFFFFF"/>
            <w:vAlign w:val="center"/>
          </w:tcPr>
          <w:p w14:paraId="76571A60">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auto" w:fill="FFFFFF"/>
            <w:vAlign w:val="center"/>
          </w:tcPr>
          <w:p w14:paraId="7702E7B6">
            <w:pPr>
              <w:jc w:val="center"/>
            </w:pPr>
            <w:r>
              <w:rPr>
                <w:rFonts w:hint="eastAsia" w:ascii="宋体" w:hAnsi="宋体" w:cs="宋体"/>
                <w:color w:val="000000"/>
                <w:kern w:val="0"/>
                <w:sz w:val="22"/>
                <w:szCs w:val="22"/>
              </w:rPr>
              <w:t>100%</w:t>
            </w:r>
          </w:p>
        </w:tc>
        <w:tc>
          <w:tcPr>
            <w:tcW w:w="960" w:type="dxa"/>
            <w:shd w:val="clear" w:color="auto" w:fill="FFFFFF"/>
            <w:vAlign w:val="center"/>
          </w:tcPr>
          <w:p w14:paraId="62F5E7A3">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14:paraId="5C3D47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478E23F4">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w:t>
            </w:r>
          </w:p>
          <w:p w14:paraId="3C38623F">
            <w:pPr>
              <w:spacing w:line="0" w:lineRule="atLeast"/>
              <w:jc w:val="center"/>
              <w:rPr>
                <w:rFonts w:ascii="宋体" w:hAnsi="宋体" w:cs="宋体"/>
                <w:color w:val="000000"/>
                <w:kern w:val="0"/>
                <w:sz w:val="22"/>
                <w:szCs w:val="22"/>
              </w:rPr>
            </w:pPr>
          </w:p>
        </w:tc>
        <w:tc>
          <w:tcPr>
            <w:tcW w:w="990" w:type="dxa"/>
            <w:vMerge w:val="restart"/>
            <w:shd w:val="clear" w:color="auto" w:fill="FFFFFF"/>
            <w:vAlign w:val="center"/>
          </w:tcPr>
          <w:p w14:paraId="3A04152F">
            <w:pPr>
              <w:widowControl/>
              <w:spacing w:line="0" w:lineRule="atLeast"/>
              <w:jc w:val="center"/>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14:paraId="759DAE3D">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14:paraId="19B2F93C">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727" w:type="dxa"/>
            <w:shd w:val="clear" w:color="000000" w:fill="FFFFFF"/>
            <w:vAlign w:val="center"/>
          </w:tcPr>
          <w:p w14:paraId="64DBDFCC">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14:paraId="0CF4D128">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14:paraId="1BB4EB08">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14:paraId="6296DBF4">
            <w:pPr>
              <w:jc w:val="center"/>
            </w:pPr>
            <w:r>
              <w:rPr>
                <w:rFonts w:hint="eastAsia" w:ascii="宋体" w:hAnsi="宋体" w:cs="宋体"/>
                <w:color w:val="000000"/>
                <w:kern w:val="0"/>
                <w:sz w:val="22"/>
                <w:szCs w:val="22"/>
              </w:rPr>
              <w:t>100%</w:t>
            </w:r>
          </w:p>
        </w:tc>
        <w:tc>
          <w:tcPr>
            <w:tcW w:w="960" w:type="dxa"/>
            <w:shd w:val="clear" w:color="000000" w:fill="FFFFFF"/>
            <w:vAlign w:val="center"/>
          </w:tcPr>
          <w:p w14:paraId="6062EA0A">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14:paraId="752438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2416E23">
            <w:pPr>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14:paraId="749E74F6">
            <w:pPr>
              <w:spacing w:line="0" w:lineRule="atLeast"/>
              <w:jc w:val="center"/>
              <w:rPr>
                <w:rFonts w:ascii="宋体" w:hAnsi="宋体" w:cs="宋体"/>
                <w:color w:val="000000"/>
                <w:kern w:val="0"/>
                <w:sz w:val="22"/>
                <w:szCs w:val="22"/>
              </w:rPr>
            </w:pPr>
          </w:p>
        </w:tc>
        <w:tc>
          <w:tcPr>
            <w:tcW w:w="1283" w:type="dxa"/>
            <w:vMerge w:val="continue"/>
            <w:shd w:val="clear" w:color="auto" w:fill="FFFFFF"/>
            <w:vAlign w:val="center"/>
          </w:tcPr>
          <w:p w14:paraId="720CA8DA">
            <w:pPr>
              <w:spacing w:line="0" w:lineRule="atLeast"/>
              <w:jc w:val="center"/>
              <w:rPr>
                <w:rFonts w:ascii="宋体" w:hAnsi="宋体" w:cs="宋体"/>
                <w:color w:val="000000"/>
                <w:kern w:val="0"/>
                <w:sz w:val="22"/>
                <w:szCs w:val="22"/>
              </w:rPr>
            </w:pPr>
          </w:p>
        </w:tc>
        <w:tc>
          <w:tcPr>
            <w:tcW w:w="1707" w:type="dxa"/>
            <w:shd w:val="clear" w:color="auto" w:fill="FFFFFF"/>
            <w:vAlign w:val="center"/>
          </w:tcPr>
          <w:p w14:paraId="7391D1B7">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727" w:type="dxa"/>
            <w:shd w:val="clear" w:color="auto" w:fill="FFFFFF"/>
            <w:vAlign w:val="center"/>
          </w:tcPr>
          <w:p w14:paraId="0FC2CA8B">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14:paraId="780C2B90">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auto" w:fill="FFFFFF"/>
            <w:vAlign w:val="center"/>
          </w:tcPr>
          <w:p w14:paraId="50B2D04B">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0.92</w:t>
            </w:r>
          </w:p>
        </w:tc>
        <w:tc>
          <w:tcPr>
            <w:tcW w:w="1215" w:type="dxa"/>
            <w:shd w:val="clear" w:color="auto" w:fill="FFFFFF"/>
            <w:vAlign w:val="center"/>
          </w:tcPr>
          <w:p w14:paraId="440B0DD4">
            <w:pPr>
              <w:jc w:val="center"/>
            </w:pPr>
            <w:r>
              <w:rPr>
                <w:rFonts w:hint="eastAsia" w:ascii="宋体" w:hAnsi="宋体" w:cs="宋体"/>
                <w:color w:val="000000"/>
                <w:kern w:val="0"/>
                <w:sz w:val="22"/>
                <w:szCs w:val="22"/>
              </w:rPr>
              <w:t>92.85%</w:t>
            </w:r>
          </w:p>
        </w:tc>
        <w:tc>
          <w:tcPr>
            <w:tcW w:w="960" w:type="dxa"/>
            <w:shd w:val="clear" w:color="auto" w:fill="FFFFFF"/>
            <w:vAlign w:val="center"/>
          </w:tcPr>
          <w:p w14:paraId="56D33783">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0.92</w:t>
            </w:r>
          </w:p>
        </w:tc>
      </w:tr>
      <w:tr w14:paraId="11AFF2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822E4E9">
            <w:pPr>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14:paraId="2794FFB2">
            <w:pPr>
              <w:widowControl/>
              <w:spacing w:line="0" w:lineRule="atLeast"/>
              <w:jc w:val="center"/>
              <w:rPr>
                <w:rFonts w:ascii="宋体" w:hAnsi="宋体" w:cs="宋体"/>
                <w:color w:val="000000"/>
                <w:kern w:val="0"/>
                <w:sz w:val="22"/>
                <w:szCs w:val="22"/>
              </w:rPr>
            </w:pPr>
          </w:p>
        </w:tc>
        <w:tc>
          <w:tcPr>
            <w:tcW w:w="1283" w:type="dxa"/>
            <w:shd w:val="clear" w:color="auto" w:fill="FFFFFF"/>
            <w:vAlign w:val="center"/>
          </w:tcPr>
          <w:p w14:paraId="459D78E3">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14:paraId="541FB6F2">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资金使用</w:t>
            </w:r>
          </w:p>
          <w:p w14:paraId="509039D8">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727" w:type="dxa"/>
            <w:shd w:val="clear" w:color="000000" w:fill="FFFFFF"/>
            <w:vAlign w:val="center"/>
          </w:tcPr>
          <w:p w14:paraId="7518533B">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14:paraId="6370EBB0">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14:paraId="595220E4">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14:paraId="705433D7">
            <w:pPr>
              <w:jc w:val="center"/>
            </w:pPr>
            <w:r>
              <w:rPr>
                <w:rFonts w:hint="eastAsia" w:ascii="宋体" w:hAnsi="宋体" w:cs="宋体"/>
                <w:color w:val="000000"/>
                <w:kern w:val="0"/>
                <w:sz w:val="22"/>
                <w:szCs w:val="22"/>
              </w:rPr>
              <w:t>100%</w:t>
            </w:r>
          </w:p>
        </w:tc>
        <w:tc>
          <w:tcPr>
            <w:tcW w:w="960" w:type="dxa"/>
            <w:shd w:val="clear" w:color="000000" w:fill="FFFFFF"/>
            <w:vAlign w:val="center"/>
          </w:tcPr>
          <w:p w14:paraId="5C82D348">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14:paraId="081182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38B73A5B">
            <w:pPr>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14:paraId="48530FDB">
            <w:pPr>
              <w:spacing w:line="0" w:lineRule="atLeast"/>
              <w:jc w:val="center"/>
              <w:rPr>
                <w:rFonts w:ascii="宋体" w:hAnsi="宋体" w:cs="宋体"/>
                <w:color w:val="000000"/>
                <w:kern w:val="0"/>
                <w:sz w:val="22"/>
                <w:szCs w:val="22"/>
              </w:rPr>
            </w:pPr>
          </w:p>
        </w:tc>
        <w:tc>
          <w:tcPr>
            <w:tcW w:w="1283" w:type="dxa"/>
            <w:vMerge w:val="restart"/>
            <w:shd w:val="clear" w:color="auto" w:fill="FFFFFF"/>
            <w:vAlign w:val="center"/>
          </w:tcPr>
          <w:p w14:paraId="71A0838C">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组织实施</w:t>
            </w:r>
          </w:p>
        </w:tc>
        <w:tc>
          <w:tcPr>
            <w:tcW w:w="1707" w:type="dxa"/>
            <w:shd w:val="clear" w:color="auto" w:fill="FFFFFF"/>
            <w:vAlign w:val="center"/>
          </w:tcPr>
          <w:p w14:paraId="6A4F2BF7">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管理制度</w:t>
            </w:r>
          </w:p>
          <w:p w14:paraId="5D1C0B10">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727" w:type="dxa"/>
            <w:shd w:val="clear" w:color="000000" w:fill="FFFFFF"/>
            <w:vAlign w:val="center"/>
          </w:tcPr>
          <w:p w14:paraId="3624A388">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14:paraId="5287DCBA">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14:paraId="21154424">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14:paraId="674374B6">
            <w:pPr>
              <w:jc w:val="center"/>
            </w:pPr>
            <w:r>
              <w:rPr>
                <w:rFonts w:hint="eastAsia" w:ascii="宋体" w:hAnsi="宋体" w:cs="宋体"/>
                <w:color w:val="000000"/>
                <w:kern w:val="0"/>
                <w:sz w:val="22"/>
                <w:szCs w:val="22"/>
              </w:rPr>
              <w:t>100%</w:t>
            </w:r>
          </w:p>
        </w:tc>
        <w:tc>
          <w:tcPr>
            <w:tcW w:w="960" w:type="dxa"/>
            <w:shd w:val="clear" w:color="000000" w:fill="FFFFFF"/>
            <w:vAlign w:val="center"/>
          </w:tcPr>
          <w:p w14:paraId="65CDB101">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14:paraId="444729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5F6E5F56">
            <w:pPr>
              <w:widowControl/>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14:paraId="3FB79F39">
            <w:pPr>
              <w:widowControl/>
              <w:spacing w:line="0" w:lineRule="atLeast"/>
              <w:jc w:val="center"/>
              <w:rPr>
                <w:rFonts w:ascii="宋体" w:hAnsi="宋体" w:cs="宋体"/>
                <w:color w:val="000000"/>
                <w:kern w:val="0"/>
                <w:sz w:val="22"/>
                <w:szCs w:val="22"/>
              </w:rPr>
            </w:pPr>
          </w:p>
        </w:tc>
        <w:tc>
          <w:tcPr>
            <w:tcW w:w="1283" w:type="dxa"/>
            <w:vMerge w:val="continue"/>
            <w:shd w:val="clear" w:color="auto" w:fill="FFFFFF"/>
            <w:vAlign w:val="center"/>
          </w:tcPr>
          <w:p w14:paraId="4BAC76BD">
            <w:pPr>
              <w:widowControl/>
              <w:spacing w:line="0" w:lineRule="atLeast"/>
              <w:jc w:val="center"/>
              <w:rPr>
                <w:rFonts w:ascii="宋体" w:hAnsi="宋体" w:cs="宋体"/>
                <w:color w:val="000000"/>
                <w:kern w:val="0"/>
                <w:sz w:val="22"/>
                <w:szCs w:val="22"/>
              </w:rPr>
            </w:pPr>
          </w:p>
        </w:tc>
        <w:tc>
          <w:tcPr>
            <w:tcW w:w="1707" w:type="dxa"/>
            <w:shd w:val="clear" w:color="auto" w:fill="FFFFFF"/>
            <w:vAlign w:val="center"/>
          </w:tcPr>
          <w:p w14:paraId="2E72D93E">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制度执行</w:t>
            </w:r>
          </w:p>
          <w:p w14:paraId="3AE07039">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727" w:type="dxa"/>
            <w:shd w:val="clear" w:color="000000" w:fill="FFFFFF"/>
            <w:vAlign w:val="center"/>
          </w:tcPr>
          <w:p w14:paraId="6BFCA607">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14:paraId="38FF019A">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14:paraId="3C0CAF5F">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14:paraId="21545776">
            <w:pPr>
              <w:jc w:val="center"/>
            </w:pPr>
            <w:r>
              <w:rPr>
                <w:rFonts w:hint="eastAsia" w:ascii="宋体" w:hAnsi="宋体" w:cs="宋体"/>
                <w:color w:val="000000"/>
                <w:kern w:val="0"/>
                <w:sz w:val="22"/>
                <w:szCs w:val="22"/>
              </w:rPr>
              <w:t>100%</w:t>
            </w:r>
          </w:p>
        </w:tc>
        <w:tc>
          <w:tcPr>
            <w:tcW w:w="960" w:type="dxa"/>
            <w:shd w:val="clear" w:color="000000" w:fill="FFFFFF"/>
            <w:vAlign w:val="center"/>
          </w:tcPr>
          <w:p w14:paraId="23F193D8">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14:paraId="588564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769D87C8">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990" w:type="dxa"/>
            <w:vMerge w:val="restart"/>
            <w:shd w:val="clear" w:color="auto" w:fill="FFFFFF"/>
            <w:vAlign w:val="center"/>
          </w:tcPr>
          <w:p w14:paraId="2DBB7F97">
            <w:pPr>
              <w:widowControl/>
              <w:spacing w:line="0" w:lineRule="atLeast"/>
              <w:jc w:val="center"/>
              <w:rPr>
                <w:rFonts w:ascii="宋体" w:hAnsi="宋体" w:cs="宋体"/>
                <w:color w:val="000000"/>
                <w:kern w:val="0"/>
                <w:sz w:val="22"/>
                <w:szCs w:val="22"/>
              </w:rPr>
            </w:pPr>
            <w:r>
              <w:rPr>
                <w:rFonts w:hint="eastAsia" w:ascii="宋体" w:hAnsi="宋体" w:cs="宋体"/>
                <w:kern w:val="0"/>
                <w:sz w:val="22"/>
                <w:szCs w:val="22"/>
              </w:rPr>
              <w:t>50分</w:t>
            </w:r>
          </w:p>
        </w:tc>
        <w:tc>
          <w:tcPr>
            <w:tcW w:w="1283" w:type="dxa"/>
            <w:shd w:val="clear" w:color="auto" w:fill="FFFFFF"/>
            <w:vAlign w:val="center"/>
          </w:tcPr>
          <w:p w14:paraId="41929D5B">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1707" w:type="dxa"/>
            <w:shd w:val="clear" w:color="auto" w:fill="FFFFFF"/>
            <w:vAlign w:val="center"/>
          </w:tcPr>
          <w:p w14:paraId="3158177E">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727" w:type="dxa"/>
            <w:shd w:val="clear" w:color="000000" w:fill="FFFFFF"/>
            <w:vAlign w:val="center"/>
          </w:tcPr>
          <w:p w14:paraId="48297BC3">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14:paraId="009B4932">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924" w:type="dxa"/>
            <w:shd w:val="clear" w:color="000000" w:fill="FFFFFF"/>
            <w:vAlign w:val="center"/>
          </w:tcPr>
          <w:p w14:paraId="14060E4D">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215" w:type="dxa"/>
            <w:shd w:val="clear" w:color="000000" w:fill="FFFFFF"/>
            <w:vAlign w:val="center"/>
          </w:tcPr>
          <w:p w14:paraId="40C35DC8">
            <w:pPr>
              <w:jc w:val="center"/>
            </w:pPr>
            <w:r>
              <w:rPr>
                <w:rFonts w:hint="eastAsia" w:ascii="宋体" w:hAnsi="宋体" w:cs="宋体"/>
                <w:color w:val="000000"/>
                <w:kern w:val="0"/>
                <w:sz w:val="22"/>
                <w:szCs w:val="22"/>
              </w:rPr>
              <w:t>100%</w:t>
            </w:r>
          </w:p>
        </w:tc>
        <w:tc>
          <w:tcPr>
            <w:tcW w:w="960" w:type="dxa"/>
            <w:shd w:val="clear" w:color="000000" w:fill="FFFFFF"/>
            <w:vAlign w:val="center"/>
          </w:tcPr>
          <w:p w14:paraId="39B10C47">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15</w:t>
            </w:r>
          </w:p>
        </w:tc>
      </w:tr>
      <w:tr w14:paraId="22D6A5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3D1A6EAC">
            <w:pPr>
              <w:widowControl/>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14:paraId="3C8ABB91">
            <w:pPr>
              <w:widowControl/>
              <w:spacing w:line="0" w:lineRule="atLeast"/>
              <w:jc w:val="center"/>
              <w:rPr>
                <w:rFonts w:ascii="宋体" w:hAnsi="宋体" w:cs="宋体"/>
                <w:color w:val="000000"/>
                <w:kern w:val="0"/>
                <w:sz w:val="22"/>
                <w:szCs w:val="22"/>
              </w:rPr>
            </w:pPr>
          </w:p>
        </w:tc>
        <w:tc>
          <w:tcPr>
            <w:tcW w:w="1283" w:type="dxa"/>
            <w:shd w:val="clear" w:color="auto" w:fill="FFFFFF"/>
            <w:vAlign w:val="center"/>
          </w:tcPr>
          <w:p w14:paraId="0712E94C">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1707" w:type="dxa"/>
            <w:shd w:val="clear" w:color="auto" w:fill="FFFFFF"/>
            <w:vAlign w:val="center"/>
          </w:tcPr>
          <w:p w14:paraId="4EE3B44C">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727" w:type="dxa"/>
            <w:shd w:val="clear" w:color="000000" w:fill="FFFFFF"/>
            <w:vAlign w:val="center"/>
          </w:tcPr>
          <w:p w14:paraId="3FAA0588">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14:paraId="50D0D6AA">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924" w:type="dxa"/>
            <w:shd w:val="clear" w:color="000000" w:fill="FFFFFF"/>
            <w:vAlign w:val="center"/>
          </w:tcPr>
          <w:p w14:paraId="509E6F7D">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215" w:type="dxa"/>
            <w:shd w:val="clear" w:color="000000" w:fill="FFFFFF"/>
            <w:vAlign w:val="center"/>
          </w:tcPr>
          <w:p w14:paraId="6A24B8A7">
            <w:pPr>
              <w:jc w:val="center"/>
            </w:pPr>
            <w:r>
              <w:rPr>
                <w:rFonts w:hint="eastAsia" w:ascii="宋体" w:hAnsi="宋体" w:cs="宋体"/>
                <w:color w:val="000000"/>
                <w:kern w:val="0"/>
                <w:sz w:val="22"/>
                <w:szCs w:val="22"/>
              </w:rPr>
              <w:t>100%</w:t>
            </w:r>
          </w:p>
        </w:tc>
        <w:tc>
          <w:tcPr>
            <w:tcW w:w="960" w:type="dxa"/>
            <w:shd w:val="clear" w:color="000000" w:fill="FFFFFF"/>
            <w:vAlign w:val="center"/>
          </w:tcPr>
          <w:p w14:paraId="4E078250">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r>
      <w:tr w14:paraId="6DC541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3E43060">
            <w:pPr>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14:paraId="65BA49DC">
            <w:pPr>
              <w:spacing w:line="0" w:lineRule="atLeast"/>
              <w:jc w:val="center"/>
              <w:rPr>
                <w:rFonts w:ascii="宋体" w:hAnsi="宋体" w:cs="宋体"/>
                <w:color w:val="000000"/>
                <w:kern w:val="0"/>
                <w:sz w:val="22"/>
                <w:szCs w:val="22"/>
              </w:rPr>
            </w:pPr>
          </w:p>
        </w:tc>
        <w:tc>
          <w:tcPr>
            <w:tcW w:w="1283" w:type="dxa"/>
            <w:shd w:val="clear" w:color="auto" w:fill="FFFFFF"/>
            <w:vAlign w:val="center"/>
          </w:tcPr>
          <w:p w14:paraId="62D5606E">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1707" w:type="dxa"/>
            <w:shd w:val="clear" w:color="auto" w:fill="FFFFFF"/>
            <w:vAlign w:val="center"/>
          </w:tcPr>
          <w:p w14:paraId="3E67F7B5">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727" w:type="dxa"/>
            <w:shd w:val="clear" w:color="000000" w:fill="FFFFFF"/>
            <w:vAlign w:val="center"/>
          </w:tcPr>
          <w:p w14:paraId="20FFCD07">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14:paraId="795C5125">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924" w:type="dxa"/>
            <w:shd w:val="clear" w:color="000000" w:fill="FFFFFF"/>
            <w:vAlign w:val="center"/>
          </w:tcPr>
          <w:p w14:paraId="073D0795">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215" w:type="dxa"/>
            <w:shd w:val="clear" w:color="000000" w:fill="FFFFFF"/>
            <w:vAlign w:val="center"/>
          </w:tcPr>
          <w:p w14:paraId="3EF3C9A5">
            <w:pPr>
              <w:jc w:val="center"/>
            </w:pPr>
            <w:r>
              <w:rPr>
                <w:rFonts w:hint="eastAsia" w:ascii="宋体" w:hAnsi="宋体" w:cs="宋体"/>
                <w:color w:val="000000"/>
                <w:kern w:val="0"/>
                <w:sz w:val="22"/>
                <w:szCs w:val="22"/>
              </w:rPr>
              <w:t>100%</w:t>
            </w:r>
          </w:p>
        </w:tc>
        <w:tc>
          <w:tcPr>
            <w:tcW w:w="960" w:type="dxa"/>
            <w:shd w:val="clear" w:color="000000" w:fill="FFFFFF"/>
            <w:vAlign w:val="center"/>
          </w:tcPr>
          <w:p w14:paraId="05F410B9">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15</w:t>
            </w:r>
          </w:p>
        </w:tc>
      </w:tr>
      <w:tr w14:paraId="33C226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1E55A4A2">
            <w:pPr>
              <w:widowControl/>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14:paraId="1582B44B">
            <w:pPr>
              <w:widowControl/>
              <w:spacing w:line="0" w:lineRule="atLeast"/>
              <w:jc w:val="center"/>
              <w:rPr>
                <w:rFonts w:ascii="宋体" w:hAnsi="宋体" w:cs="宋体"/>
                <w:color w:val="000000"/>
                <w:kern w:val="0"/>
                <w:sz w:val="22"/>
                <w:szCs w:val="22"/>
              </w:rPr>
            </w:pPr>
          </w:p>
        </w:tc>
        <w:tc>
          <w:tcPr>
            <w:tcW w:w="1283" w:type="dxa"/>
            <w:shd w:val="clear" w:color="auto" w:fill="FFFFFF"/>
            <w:vAlign w:val="center"/>
          </w:tcPr>
          <w:p w14:paraId="67FB5B8B">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1707" w:type="dxa"/>
            <w:shd w:val="clear" w:color="auto" w:fill="FFFFFF"/>
            <w:vAlign w:val="center"/>
          </w:tcPr>
          <w:p w14:paraId="1D81AB1B">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727" w:type="dxa"/>
            <w:shd w:val="clear" w:color="000000" w:fill="FFFFFF"/>
            <w:vAlign w:val="center"/>
          </w:tcPr>
          <w:p w14:paraId="78A738C5">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14:paraId="520B64D2">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924" w:type="dxa"/>
            <w:shd w:val="clear" w:color="000000" w:fill="FFFFFF"/>
            <w:vAlign w:val="center"/>
          </w:tcPr>
          <w:p w14:paraId="7E2FA06B">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9.28</w:t>
            </w:r>
          </w:p>
        </w:tc>
        <w:tc>
          <w:tcPr>
            <w:tcW w:w="1215" w:type="dxa"/>
            <w:shd w:val="clear" w:color="000000" w:fill="FFFFFF"/>
            <w:vAlign w:val="center"/>
          </w:tcPr>
          <w:p w14:paraId="12794A32">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92.85%</w:t>
            </w:r>
          </w:p>
        </w:tc>
        <w:tc>
          <w:tcPr>
            <w:tcW w:w="960" w:type="dxa"/>
            <w:shd w:val="clear" w:color="000000" w:fill="FFFFFF"/>
            <w:vAlign w:val="center"/>
          </w:tcPr>
          <w:p w14:paraId="55DB617D">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9.28</w:t>
            </w:r>
          </w:p>
        </w:tc>
      </w:tr>
      <w:tr w14:paraId="29E4F0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46B46457">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效益</w:t>
            </w:r>
          </w:p>
        </w:tc>
        <w:tc>
          <w:tcPr>
            <w:tcW w:w="990" w:type="dxa"/>
            <w:vMerge w:val="restart"/>
            <w:shd w:val="clear" w:color="auto" w:fill="FFFFFF"/>
            <w:vAlign w:val="center"/>
          </w:tcPr>
          <w:p w14:paraId="68AEE037">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40分</w:t>
            </w:r>
          </w:p>
        </w:tc>
        <w:tc>
          <w:tcPr>
            <w:tcW w:w="1283" w:type="dxa"/>
            <w:vMerge w:val="restart"/>
            <w:shd w:val="clear" w:color="auto" w:fill="FFFFFF"/>
            <w:vAlign w:val="center"/>
          </w:tcPr>
          <w:p w14:paraId="2A8B95DC">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项目效益</w:t>
            </w:r>
          </w:p>
        </w:tc>
        <w:tc>
          <w:tcPr>
            <w:tcW w:w="1707" w:type="dxa"/>
            <w:shd w:val="clear" w:color="auto" w:fill="FFFFFF"/>
            <w:vAlign w:val="center"/>
          </w:tcPr>
          <w:p w14:paraId="511E5A61">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实施效益</w:t>
            </w:r>
          </w:p>
          <w:p w14:paraId="36D12336">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（社会效益、经济效益、可持续效益）</w:t>
            </w:r>
          </w:p>
        </w:tc>
        <w:tc>
          <w:tcPr>
            <w:tcW w:w="727" w:type="dxa"/>
            <w:shd w:val="clear" w:color="auto" w:fill="FFFFFF"/>
            <w:vAlign w:val="center"/>
          </w:tcPr>
          <w:p w14:paraId="0B6D5FC6">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30</w:t>
            </w:r>
          </w:p>
        </w:tc>
        <w:tc>
          <w:tcPr>
            <w:tcW w:w="1044" w:type="dxa"/>
            <w:shd w:val="clear" w:color="auto" w:fill="FFFFFF"/>
            <w:vAlign w:val="center"/>
          </w:tcPr>
          <w:p w14:paraId="5406A263">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30</w:t>
            </w:r>
          </w:p>
        </w:tc>
        <w:tc>
          <w:tcPr>
            <w:tcW w:w="924" w:type="dxa"/>
            <w:shd w:val="clear" w:color="auto" w:fill="FFFFFF"/>
            <w:vAlign w:val="center"/>
          </w:tcPr>
          <w:p w14:paraId="2E80220F">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30</w:t>
            </w:r>
          </w:p>
        </w:tc>
        <w:tc>
          <w:tcPr>
            <w:tcW w:w="1215" w:type="dxa"/>
            <w:shd w:val="clear" w:color="auto" w:fill="FFFFFF"/>
            <w:vAlign w:val="center"/>
          </w:tcPr>
          <w:p w14:paraId="46CD812F">
            <w:pPr>
              <w:jc w:val="center"/>
            </w:pPr>
          </w:p>
          <w:p w14:paraId="40086038">
            <w:pPr>
              <w:jc w:val="center"/>
            </w:pPr>
            <w:r>
              <w:rPr>
                <w:rFonts w:hint="eastAsia" w:ascii="宋体" w:hAnsi="宋体" w:cs="宋体"/>
                <w:color w:val="000000"/>
                <w:kern w:val="0"/>
                <w:sz w:val="22"/>
                <w:szCs w:val="22"/>
              </w:rPr>
              <w:t>100%</w:t>
            </w:r>
          </w:p>
        </w:tc>
        <w:tc>
          <w:tcPr>
            <w:tcW w:w="960" w:type="dxa"/>
            <w:shd w:val="clear" w:color="auto" w:fill="FFFFFF"/>
            <w:vAlign w:val="center"/>
          </w:tcPr>
          <w:p w14:paraId="61902B27">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30</w:t>
            </w:r>
          </w:p>
        </w:tc>
      </w:tr>
      <w:tr w14:paraId="24C495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7994DE9">
            <w:pPr>
              <w:widowControl/>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14:paraId="59A78D8F">
            <w:pPr>
              <w:widowControl/>
              <w:spacing w:line="0" w:lineRule="atLeast"/>
              <w:jc w:val="center"/>
              <w:rPr>
                <w:rFonts w:ascii="宋体" w:hAnsi="宋体" w:cs="宋体"/>
                <w:color w:val="000000"/>
                <w:kern w:val="0"/>
                <w:sz w:val="22"/>
                <w:szCs w:val="22"/>
              </w:rPr>
            </w:pPr>
          </w:p>
        </w:tc>
        <w:tc>
          <w:tcPr>
            <w:tcW w:w="1283" w:type="dxa"/>
            <w:vMerge w:val="continue"/>
            <w:shd w:val="clear" w:color="auto" w:fill="FFFFFF"/>
            <w:vAlign w:val="center"/>
          </w:tcPr>
          <w:p w14:paraId="08D9474E">
            <w:pPr>
              <w:widowControl/>
              <w:spacing w:line="0" w:lineRule="atLeast"/>
              <w:jc w:val="center"/>
              <w:rPr>
                <w:rFonts w:ascii="宋体" w:hAnsi="宋体" w:cs="宋体"/>
                <w:color w:val="000000"/>
                <w:kern w:val="0"/>
                <w:sz w:val="22"/>
                <w:szCs w:val="22"/>
              </w:rPr>
            </w:pPr>
          </w:p>
        </w:tc>
        <w:tc>
          <w:tcPr>
            <w:tcW w:w="1707" w:type="dxa"/>
            <w:shd w:val="clear" w:color="auto" w:fill="FFFFFF"/>
            <w:vAlign w:val="center"/>
          </w:tcPr>
          <w:p w14:paraId="1CF660E3">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727" w:type="dxa"/>
            <w:shd w:val="clear" w:color="000000" w:fill="FFFFFF"/>
            <w:vAlign w:val="center"/>
          </w:tcPr>
          <w:p w14:paraId="6BD71546">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14:paraId="2D074276">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924" w:type="dxa"/>
            <w:shd w:val="clear" w:color="000000" w:fill="FFFFFF"/>
            <w:vAlign w:val="center"/>
          </w:tcPr>
          <w:p w14:paraId="64D6AD35">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215" w:type="dxa"/>
            <w:shd w:val="clear" w:color="000000" w:fill="FFFFFF"/>
            <w:vAlign w:val="center"/>
          </w:tcPr>
          <w:p w14:paraId="3A45277D">
            <w:pPr>
              <w:jc w:val="center"/>
            </w:pPr>
            <w:r>
              <w:rPr>
                <w:rFonts w:hint="eastAsia" w:ascii="宋体" w:hAnsi="宋体" w:cs="宋体"/>
                <w:color w:val="000000"/>
                <w:kern w:val="0"/>
                <w:sz w:val="22"/>
                <w:szCs w:val="22"/>
              </w:rPr>
              <w:t>100%</w:t>
            </w:r>
          </w:p>
        </w:tc>
        <w:tc>
          <w:tcPr>
            <w:tcW w:w="960" w:type="dxa"/>
            <w:shd w:val="clear" w:color="000000" w:fill="FFFFFF"/>
            <w:vAlign w:val="center"/>
          </w:tcPr>
          <w:p w14:paraId="38AA83A3">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r>
    </w:tbl>
    <w:p w14:paraId="42EC751E">
      <w:pPr>
        <w:spacing w:line="600" w:lineRule="exact"/>
        <w:ind w:firstLine="320" w:firstLineChars="100"/>
        <w:rPr>
          <w:rFonts w:ascii="黑体" w:hAnsi="黑体" w:eastAsia="黑体"/>
          <w:sz w:val="32"/>
          <w:szCs w:val="32"/>
        </w:rPr>
      </w:pPr>
      <w:r>
        <w:rPr>
          <w:rFonts w:hint="eastAsia" w:ascii="黑体" w:hAnsi="黑体" w:eastAsia="黑体"/>
          <w:sz w:val="32"/>
          <w:szCs w:val="32"/>
        </w:rPr>
        <w:t>四、绩效评价指标分析</w:t>
      </w:r>
    </w:p>
    <w:p w14:paraId="69E9013B">
      <w:pPr>
        <w:pStyle w:val="2"/>
        <w:ind w:firstLine="321" w:firstLineChars="100"/>
        <w:jc w:val="both"/>
        <w:rPr>
          <w:rFonts w:ascii="楷体_GB2312" w:hAnsi="楷体_GB2312" w:eastAsia="楷体_GB2312" w:cs="楷体_GB2312"/>
        </w:rPr>
      </w:pPr>
      <w:r>
        <w:rPr>
          <w:rFonts w:hint="eastAsia" w:ascii="楷体_GB2312" w:hAnsi="楷体_GB2312" w:eastAsia="楷体_GB2312" w:cs="楷体_GB2312"/>
        </w:rPr>
        <w:t>（一）项目决策情况</w:t>
      </w:r>
    </w:p>
    <w:p w14:paraId="73D113A5">
      <w:pPr>
        <w:pStyle w:val="5"/>
        <w:keepNext w:val="0"/>
        <w:spacing w:line="560" w:lineRule="exact"/>
        <w:ind w:firstLine="640" w:firstLineChars="200"/>
        <w:rPr>
          <w:rFonts w:ascii="仿宋_GB2312" w:hAnsi="仿宋" w:eastAsia="仿宋_GB2312" w:cs="宋体"/>
          <w:b w:val="0"/>
          <w:sz w:val="32"/>
          <w:szCs w:val="32"/>
        </w:rPr>
      </w:pPr>
      <w:r>
        <w:rPr>
          <w:rFonts w:hint="eastAsia" w:ascii="仿宋_GB2312" w:hAnsi="仿宋" w:eastAsia="仿宋_GB2312" w:cs="宋体"/>
          <w:b w:val="0"/>
          <w:sz w:val="32"/>
          <w:szCs w:val="32"/>
        </w:rPr>
        <w:t>项目决策指标从项目立项、绩效目标、资金投入</w:t>
      </w:r>
      <w:r>
        <w:rPr>
          <w:rFonts w:hint="eastAsia" w:ascii="仿宋_GB2312" w:eastAsia="仿宋_GB2312"/>
          <w:b w:val="0"/>
          <w:sz w:val="32"/>
          <w:szCs w:val="32"/>
        </w:rPr>
        <w:t>3个方面对项目的决策进行考察，项目决策类指标分值5分，实际得分5分，得分率100%。项目决策指标得分</w:t>
      </w:r>
      <w:r>
        <w:rPr>
          <w:rFonts w:hint="eastAsia" w:ascii="仿宋_GB2312" w:hAnsi="仿宋" w:eastAsia="仿宋_GB2312" w:cs="宋体"/>
          <w:b w:val="0"/>
          <w:sz w:val="32"/>
          <w:szCs w:val="32"/>
        </w:rPr>
        <w:t>情况如表所示。</w:t>
      </w:r>
    </w:p>
    <w:p w14:paraId="00039083">
      <w:pPr>
        <w:pStyle w:val="5"/>
        <w:keepNext w:val="0"/>
        <w:spacing w:line="560" w:lineRule="exact"/>
        <w:ind w:firstLine="640" w:firstLineChars="200"/>
        <w:rPr>
          <w:rFonts w:ascii="仿宋_GB2312" w:hAnsi="仿宋" w:eastAsia="仿宋_GB2312" w:cs="宋体"/>
          <w:b w:val="0"/>
          <w:bCs w:val="0"/>
          <w:sz w:val="32"/>
          <w:szCs w:val="32"/>
        </w:rPr>
      </w:pPr>
      <w:r>
        <w:rPr>
          <w:rFonts w:hint="eastAsia" w:ascii="仿宋_GB2312" w:hAnsi="仿宋" w:eastAsia="仿宋_GB2312" w:cs="宋体"/>
          <w:b w:val="0"/>
          <w:bCs w:val="0"/>
          <w:sz w:val="32"/>
          <w:szCs w:val="32"/>
        </w:rPr>
        <w:t>对于“项目立项”，</w:t>
      </w:r>
      <w:r>
        <w:rPr>
          <w:rFonts w:hint="eastAsia" w:ascii="仿宋_GB2312" w:hAnsi="宋体" w:eastAsia="仿宋_GB2312" w:cs="宋体"/>
          <w:b w:val="0"/>
          <w:sz w:val="32"/>
          <w:szCs w:val="32"/>
        </w:rPr>
        <w:t>地委办公室综合事务经费项目</w:t>
      </w:r>
      <w:r>
        <w:rPr>
          <w:rFonts w:hint="eastAsia" w:ascii="仿宋_GB2312" w:hAnsi="仿宋" w:eastAsia="仿宋_GB2312" w:cs="宋体"/>
          <w:b w:val="0"/>
          <w:bCs w:val="0"/>
          <w:sz w:val="32"/>
          <w:szCs w:val="32"/>
        </w:rPr>
        <w:t>，项目属于综合事务经费项目。根据评分标准，实际得分率为100%。</w:t>
      </w:r>
    </w:p>
    <w:p w14:paraId="71A66DA7">
      <w:pPr>
        <w:pStyle w:val="5"/>
        <w:keepNext w:val="0"/>
        <w:spacing w:line="560" w:lineRule="exact"/>
        <w:ind w:firstLine="640" w:firstLineChars="200"/>
        <w:rPr>
          <w:rFonts w:ascii="仿宋_GB2312" w:hAnsi="仿宋" w:eastAsia="仿宋_GB2312" w:cs="宋体"/>
          <w:b w:val="0"/>
          <w:bCs w:val="0"/>
          <w:sz w:val="32"/>
          <w:szCs w:val="32"/>
        </w:rPr>
      </w:pPr>
      <w:r>
        <w:rPr>
          <w:rFonts w:hint="eastAsia" w:ascii="仿宋_GB2312" w:hAnsi="仿宋" w:eastAsia="仿宋_GB2312" w:cs="宋体"/>
          <w:b w:val="0"/>
          <w:bCs w:val="0"/>
          <w:sz w:val="32"/>
          <w:szCs w:val="32"/>
        </w:rPr>
        <w:t>对于“绩效目标”，</w:t>
      </w:r>
      <w:r>
        <w:rPr>
          <w:rFonts w:hint="eastAsia" w:ascii="仿宋_GB2312" w:hAnsi="宋体" w:eastAsia="仿宋_GB2312" w:cs="宋体"/>
          <w:b w:val="0"/>
          <w:sz w:val="32"/>
          <w:szCs w:val="32"/>
        </w:rPr>
        <w:t>地委办公室综合事务经费项目</w:t>
      </w:r>
      <w:r>
        <w:rPr>
          <w:rFonts w:hint="eastAsia" w:ascii="仿宋_GB2312" w:hAnsi="仿宋" w:eastAsia="仿宋_GB2312" w:cs="宋体"/>
          <w:b w:val="0"/>
          <w:bCs w:val="0"/>
          <w:sz w:val="32"/>
          <w:szCs w:val="32"/>
        </w:rPr>
        <w:t>，项目绩效目标的设置，满足合理性和明确性的要求。根据评分标准，该指标实际得分率100%。</w:t>
      </w:r>
    </w:p>
    <w:p w14:paraId="42B09A20">
      <w:pPr>
        <w:pStyle w:val="5"/>
        <w:keepNext w:val="0"/>
        <w:spacing w:line="560" w:lineRule="exact"/>
        <w:ind w:firstLine="640" w:firstLineChars="200"/>
        <w:rPr>
          <w:rFonts w:ascii="仿宋_GB2312" w:hAnsi="仿宋" w:eastAsia="仿宋_GB2312" w:cs="宋体"/>
          <w:b w:val="0"/>
          <w:bCs w:val="0"/>
          <w:sz w:val="32"/>
          <w:szCs w:val="32"/>
        </w:rPr>
      </w:pPr>
      <w:r>
        <w:rPr>
          <w:rFonts w:hint="eastAsia" w:ascii="仿宋_GB2312" w:hAnsi="仿宋" w:eastAsia="仿宋_GB2312" w:cs="宋体"/>
          <w:b w:val="0"/>
          <w:bCs w:val="0"/>
          <w:sz w:val="32"/>
          <w:szCs w:val="32"/>
        </w:rPr>
        <w:t>对于“资金投入”，</w:t>
      </w:r>
      <w:r>
        <w:rPr>
          <w:rFonts w:hint="eastAsia" w:ascii="仿宋_GB2312" w:hAnsi="宋体" w:eastAsia="仿宋_GB2312" w:cs="宋体"/>
          <w:b w:val="0"/>
          <w:sz w:val="32"/>
          <w:szCs w:val="32"/>
        </w:rPr>
        <w:t>地委办公室综合事务经费项目</w:t>
      </w:r>
      <w:r>
        <w:rPr>
          <w:rFonts w:hint="eastAsia" w:ascii="仿宋_GB2312" w:hAnsi="仿宋" w:eastAsia="仿宋_GB2312" w:cs="宋体"/>
          <w:b w:val="0"/>
          <w:bCs w:val="0"/>
          <w:sz w:val="32"/>
          <w:szCs w:val="32"/>
        </w:rPr>
        <w:t>资金全部投入到位，总投资232万元。根据评分标准，该指标实际得分率100%。</w:t>
      </w:r>
    </w:p>
    <w:tbl>
      <w:tblPr>
        <w:tblStyle w:val="18"/>
        <w:tblpPr w:leftFromText="180" w:rightFromText="180" w:vertAnchor="text" w:horzAnchor="page" w:tblpX="1016" w:tblpY="31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14:paraId="7A7D46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14:paraId="376558C2">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14:paraId="5B2E169B">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14:paraId="303511DF">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14:paraId="1F847DDD">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14:paraId="3D65F8C8">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14:paraId="109D5533">
            <w:pPr>
              <w:widowControl/>
              <w:tabs>
                <w:tab w:val="left" w:pos="1333"/>
                <w:tab w:val="center" w:pos="3623"/>
              </w:tabs>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14:paraId="59BD3D0B">
            <w:pPr>
              <w:widowControl/>
              <w:tabs>
                <w:tab w:val="left" w:pos="1333"/>
                <w:tab w:val="center" w:pos="3623"/>
              </w:tabs>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14:paraId="6AD38CC1">
            <w:pPr>
              <w:widowControl/>
              <w:tabs>
                <w:tab w:val="left" w:pos="1333"/>
                <w:tab w:val="center" w:pos="3623"/>
              </w:tabs>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14:paraId="4E9BB4B8">
            <w:pPr>
              <w:widowControl/>
              <w:tabs>
                <w:tab w:val="left" w:pos="1333"/>
                <w:tab w:val="center" w:pos="3623"/>
              </w:tabs>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14:paraId="7CB23F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1F4199E5">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w:t>
            </w:r>
          </w:p>
          <w:p w14:paraId="77CD0A5E">
            <w:pPr>
              <w:widowControl/>
              <w:spacing w:line="0" w:lineRule="atLeast"/>
              <w:jc w:val="center"/>
              <w:rPr>
                <w:rFonts w:ascii="宋体" w:hAnsi="宋体" w:cs="宋体"/>
                <w:color w:val="000000"/>
                <w:kern w:val="0"/>
                <w:sz w:val="22"/>
                <w:szCs w:val="22"/>
              </w:rPr>
            </w:pPr>
          </w:p>
          <w:p w14:paraId="7833B5A8">
            <w:pPr>
              <w:spacing w:line="0" w:lineRule="atLeast"/>
              <w:jc w:val="center"/>
              <w:rPr>
                <w:rFonts w:ascii="宋体" w:hAnsi="宋体" w:cs="宋体"/>
                <w:color w:val="000000"/>
                <w:kern w:val="0"/>
                <w:sz w:val="22"/>
                <w:szCs w:val="22"/>
              </w:rPr>
            </w:pPr>
          </w:p>
          <w:p w14:paraId="6DBA3D10">
            <w:pPr>
              <w:widowControl/>
              <w:spacing w:line="0" w:lineRule="atLeast"/>
              <w:jc w:val="center"/>
              <w:rPr>
                <w:rFonts w:ascii="宋体" w:hAnsi="宋体" w:cs="宋体"/>
                <w:color w:val="000000"/>
                <w:kern w:val="0"/>
                <w:sz w:val="22"/>
                <w:szCs w:val="22"/>
              </w:rPr>
            </w:pPr>
          </w:p>
        </w:tc>
        <w:tc>
          <w:tcPr>
            <w:tcW w:w="990" w:type="dxa"/>
            <w:vMerge w:val="restart"/>
            <w:shd w:val="clear" w:color="auto" w:fill="FFFFFF"/>
            <w:vAlign w:val="center"/>
          </w:tcPr>
          <w:p w14:paraId="6D4168EF">
            <w:pPr>
              <w:widowControl/>
              <w:spacing w:line="0" w:lineRule="atLeast"/>
              <w:jc w:val="center"/>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14:paraId="44247D78">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项目立项</w:t>
            </w:r>
          </w:p>
        </w:tc>
        <w:tc>
          <w:tcPr>
            <w:tcW w:w="1707" w:type="dxa"/>
            <w:shd w:val="clear" w:color="auto" w:fill="FFFFFF"/>
            <w:vAlign w:val="center"/>
          </w:tcPr>
          <w:p w14:paraId="3A9C491A">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立项依据</w:t>
            </w:r>
          </w:p>
          <w:p w14:paraId="2282DD60">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727" w:type="dxa"/>
            <w:shd w:val="clear" w:color="auto" w:fill="FFFFFF"/>
            <w:vAlign w:val="center"/>
          </w:tcPr>
          <w:p w14:paraId="49DACEF3">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14:paraId="2D7B3950">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924" w:type="dxa"/>
            <w:shd w:val="clear" w:color="auto" w:fill="FFFFFF"/>
            <w:vAlign w:val="center"/>
          </w:tcPr>
          <w:p w14:paraId="55369B5B">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215" w:type="dxa"/>
            <w:shd w:val="clear" w:color="auto" w:fill="FFFFFF"/>
            <w:vAlign w:val="center"/>
          </w:tcPr>
          <w:p w14:paraId="0151A301">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auto" w:fill="FFFFFF"/>
            <w:vAlign w:val="center"/>
          </w:tcPr>
          <w:p w14:paraId="2F3FED4C">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r>
      <w:tr w14:paraId="16393D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EA68AF6">
            <w:pPr>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14:paraId="129BD676">
            <w:pPr>
              <w:widowControl/>
              <w:spacing w:line="0" w:lineRule="atLeast"/>
              <w:jc w:val="center"/>
              <w:rPr>
                <w:rFonts w:ascii="宋体" w:hAnsi="宋体" w:cs="宋体"/>
                <w:color w:val="000000"/>
                <w:kern w:val="0"/>
                <w:sz w:val="22"/>
                <w:szCs w:val="22"/>
              </w:rPr>
            </w:pPr>
          </w:p>
        </w:tc>
        <w:tc>
          <w:tcPr>
            <w:tcW w:w="1283" w:type="dxa"/>
            <w:vMerge w:val="continue"/>
            <w:shd w:val="clear" w:color="auto" w:fill="FFFFFF"/>
            <w:vAlign w:val="center"/>
          </w:tcPr>
          <w:p w14:paraId="54CB7754">
            <w:pPr>
              <w:widowControl/>
              <w:spacing w:line="0" w:lineRule="atLeast"/>
              <w:jc w:val="center"/>
              <w:rPr>
                <w:rFonts w:ascii="宋体" w:hAnsi="宋体" w:cs="宋体"/>
                <w:color w:val="000000"/>
                <w:kern w:val="0"/>
                <w:sz w:val="22"/>
                <w:szCs w:val="22"/>
              </w:rPr>
            </w:pPr>
          </w:p>
        </w:tc>
        <w:tc>
          <w:tcPr>
            <w:tcW w:w="1707" w:type="dxa"/>
            <w:shd w:val="clear" w:color="auto" w:fill="FFFFFF"/>
            <w:vAlign w:val="center"/>
          </w:tcPr>
          <w:p w14:paraId="694A48D8">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立项程序</w:t>
            </w:r>
          </w:p>
          <w:p w14:paraId="49881F8F">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727" w:type="dxa"/>
            <w:shd w:val="clear" w:color="auto" w:fill="FFFFFF"/>
            <w:vAlign w:val="center"/>
          </w:tcPr>
          <w:p w14:paraId="1553393D">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14:paraId="518FF6F4">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924" w:type="dxa"/>
            <w:shd w:val="clear" w:color="auto" w:fill="FFFFFF"/>
            <w:vAlign w:val="center"/>
          </w:tcPr>
          <w:p w14:paraId="7D430954">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215" w:type="dxa"/>
            <w:shd w:val="clear" w:color="auto" w:fill="FFFFFF"/>
            <w:vAlign w:val="center"/>
          </w:tcPr>
          <w:p w14:paraId="50C6F116">
            <w:pPr>
              <w:jc w:val="center"/>
            </w:pPr>
            <w:r>
              <w:rPr>
                <w:rFonts w:hint="eastAsia" w:ascii="宋体" w:hAnsi="宋体" w:cs="宋体"/>
                <w:color w:val="000000"/>
                <w:kern w:val="0"/>
                <w:sz w:val="22"/>
                <w:szCs w:val="22"/>
              </w:rPr>
              <w:t>100%</w:t>
            </w:r>
          </w:p>
        </w:tc>
        <w:tc>
          <w:tcPr>
            <w:tcW w:w="960" w:type="dxa"/>
            <w:shd w:val="clear" w:color="auto" w:fill="FFFFFF"/>
            <w:vAlign w:val="center"/>
          </w:tcPr>
          <w:p w14:paraId="773D40E1">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r>
      <w:tr w14:paraId="5C1BD7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0CE8463">
            <w:pPr>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14:paraId="33B8D969">
            <w:pPr>
              <w:widowControl/>
              <w:spacing w:line="0" w:lineRule="atLeast"/>
              <w:jc w:val="center"/>
              <w:rPr>
                <w:rFonts w:ascii="宋体" w:hAnsi="宋体" w:cs="宋体"/>
                <w:color w:val="000000"/>
                <w:kern w:val="0"/>
                <w:sz w:val="22"/>
                <w:szCs w:val="22"/>
              </w:rPr>
            </w:pPr>
          </w:p>
        </w:tc>
        <w:tc>
          <w:tcPr>
            <w:tcW w:w="1283" w:type="dxa"/>
            <w:vMerge w:val="restart"/>
            <w:shd w:val="clear" w:color="auto" w:fill="FFFFFF"/>
            <w:vAlign w:val="center"/>
          </w:tcPr>
          <w:p w14:paraId="690FCBD7">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tc>
        <w:tc>
          <w:tcPr>
            <w:tcW w:w="1707" w:type="dxa"/>
            <w:shd w:val="clear" w:color="auto" w:fill="FFFFFF"/>
            <w:vAlign w:val="center"/>
          </w:tcPr>
          <w:p w14:paraId="06F8BA7B">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p w14:paraId="21C00422">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000000" w:fill="FFFFFF"/>
            <w:vAlign w:val="center"/>
          </w:tcPr>
          <w:p w14:paraId="30469098">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14:paraId="600B085D">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14:paraId="27CC2AB3">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14:paraId="1A364C37">
            <w:pPr>
              <w:jc w:val="center"/>
            </w:pPr>
            <w:r>
              <w:rPr>
                <w:rFonts w:hint="eastAsia" w:ascii="宋体" w:hAnsi="宋体" w:cs="宋体"/>
                <w:color w:val="000000"/>
                <w:kern w:val="0"/>
                <w:sz w:val="22"/>
                <w:szCs w:val="22"/>
              </w:rPr>
              <w:t>100%</w:t>
            </w:r>
          </w:p>
        </w:tc>
        <w:tc>
          <w:tcPr>
            <w:tcW w:w="960" w:type="dxa"/>
            <w:shd w:val="clear" w:color="000000" w:fill="FFFFFF"/>
            <w:vAlign w:val="center"/>
          </w:tcPr>
          <w:p w14:paraId="2B68FD35">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14:paraId="587B91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78F9137">
            <w:pPr>
              <w:widowControl/>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14:paraId="5ADD6A14">
            <w:pPr>
              <w:widowControl/>
              <w:spacing w:line="0" w:lineRule="atLeast"/>
              <w:jc w:val="center"/>
              <w:rPr>
                <w:rFonts w:ascii="宋体" w:hAnsi="宋体" w:cs="宋体"/>
                <w:color w:val="000000"/>
                <w:kern w:val="0"/>
                <w:sz w:val="22"/>
                <w:szCs w:val="22"/>
              </w:rPr>
            </w:pPr>
          </w:p>
        </w:tc>
        <w:tc>
          <w:tcPr>
            <w:tcW w:w="1283" w:type="dxa"/>
            <w:vMerge w:val="continue"/>
            <w:shd w:val="clear" w:color="auto" w:fill="FFFFFF"/>
            <w:vAlign w:val="center"/>
          </w:tcPr>
          <w:p w14:paraId="06FFF55E">
            <w:pPr>
              <w:widowControl/>
              <w:spacing w:line="0" w:lineRule="atLeast"/>
              <w:jc w:val="center"/>
              <w:rPr>
                <w:rFonts w:ascii="宋体" w:hAnsi="宋体" w:cs="宋体"/>
                <w:color w:val="000000"/>
                <w:kern w:val="0"/>
                <w:sz w:val="22"/>
                <w:szCs w:val="22"/>
              </w:rPr>
            </w:pPr>
          </w:p>
        </w:tc>
        <w:tc>
          <w:tcPr>
            <w:tcW w:w="1707" w:type="dxa"/>
            <w:shd w:val="clear" w:color="auto" w:fill="FFFFFF"/>
            <w:vAlign w:val="center"/>
          </w:tcPr>
          <w:p w14:paraId="15C0491E">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绩效指标</w:t>
            </w:r>
          </w:p>
          <w:p w14:paraId="559676CE">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727" w:type="dxa"/>
            <w:shd w:val="clear" w:color="000000" w:fill="FFFFFF"/>
            <w:vAlign w:val="center"/>
          </w:tcPr>
          <w:p w14:paraId="18574200">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14:paraId="74EF8D23">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14:paraId="349F84DD">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14:paraId="6AC743A8">
            <w:pPr>
              <w:jc w:val="center"/>
            </w:pPr>
            <w:r>
              <w:rPr>
                <w:rFonts w:hint="eastAsia" w:ascii="宋体" w:hAnsi="宋体" w:cs="宋体"/>
                <w:color w:val="000000"/>
                <w:kern w:val="0"/>
                <w:sz w:val="22"/>
                <w:szCs w:val="22"/>
              </w:rPr>
              <w:t>100%</w:t>
            </w:r>
          </w:p>
        </w:tc>
        <w:tc>
          <w:tcPr>
            <w:tcW w:w="960" w:type="dxa"/>
            <w:shd w:val="clear" w:color="000000" w:fill="FFFFFF"/>
            <w:vAlign w:val="center"/>
          </w:tcPr>
          <w:p w14:paraId="1EF53FBB">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14:paraId="3D6720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1A30A9A9">
            <w:pPr>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14:paraId="2FA135B6">
            <w:pPr>
              <w:spacing w:line="0" w:lineRule="atLeast"/>
              <w:jc w:val="center"/>
              <w:rPr>
                <w:rFonts w:ascii="宋体" w:hAnsi="宋体" w:cs="宋体"/>
                <w:color w:val="000000"/>
                <w:kern w:val="0"/>
                <w:sz w:val="22"/>
                <w:szCs w:val="22"/>
              </w:rPr>
            </w:pPr>
          </w:p>
        </w:tc>
        <w:tc>
          <w:tcPr>
            <w:tcW w:w="1283" w:type="dxa"/>
            <w:vMerge w:val="restart"/>
            <w:shd w:val="clear" w:color="auto" w:fill="FFFFFF"/>
            <w:vAlign w:val="center"/>
          </w:tcPr>
          <w:p w14:paraId="59EB6FE7">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资金投入</w:t>
            </w:r>
          </w:p>
        </w:tc>
        <w:tc>
          <w:tcPr>
            <w:tcW w:w="1707" w:type="dxa"/>
            <w:shd w:val="clear" w:color="auto" w:fill="FFFFFF"/>
            <w:vAlign w:val="center"/>
          </w:tcPr>
          <w:p w14:paraId="2AC5EF9E">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预算编制</w:t>
            </w:r>
          </w:p>
          <w:p w14:paraId="2EC0B54F">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727" w:type="dxa"/>
            <w:shd w:val="clear" w:color="auto" w:fill="FFFFFF"/>
            <w:vAlign w:val="center"/>
          </w:tcPr>
          <w:p w14:paraId="05891FE5">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14:paraId="21319553">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auto" w:fill="FFFFFF"/>
            <w:vAlign w:val="center"/>
          </w:tcPr>
          <w:p w14:paraId="4B6423CC">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auto" w:fill="FFFFFF"/>
            <w:vAlign w:val="center"/>
          </w:tcPr>
          <w:p w14:paraId="1D6ADA57">
            <w:pPr>
              <w:jc w:val="center"/>
            </w:pPr>
            <w:r>
              <w:rPr>
                <w:rFonts w:hint="eastAsia" w:ascii="宋体" w:hAnsi="宋体" w:cs="宋体"/>
                <w:color w:val="000000"/>
                <w:kern w:val="0"/>
                <w:sz w:val="22"/>
                <w:szCs w:val="22"/>
              </w:rPr>
              <w:t>100%</w:t>
            </w:r>
          </w:p>
        </w:tc>
        <w:tc>
          <w:tcPr>
            <w:tcW w:w="960" w:type="dxa"/>
            <w:shd w:val="clear" w:color="auto" w:fill="FFFFFF"/>
            <w:vAlign w:val="center"/>
          </w:tcPr>
          <w:p w14:paraId="37147419">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14:paraId="2B36FC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3B5ECF44">
            <w:pPr>
              <w:widowControl/>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14:paraId="04EB0F99">
            <w:pPr>
              <w:widowControl/>
              <w:spacing w:line="0" w:lineRule="atLeast"/>
              <w:jc w:val="center"/>
              <w:rPr>
                <w:rFonts w:ascii="宋体" w:hAnsi="宋体" w:cs="宋体"/>
                <w:color w:val="000000"/>
                <w:kern w:val="0"/>
                <w:sz w:val="22"/>
                <w:szCs w:val="22"/>
              </w:rPr>
            </w:pPr>
          </w:p>
        </w:tc>
        <w:tc>
          <w:tcPr>
            <w:tcW w:w="1283" w:type="dxa"/>
            <w:vMerge w:val="continue"/>
            <w:shd w:val="clear" w:color="auto" w:fill="FFFFFF"/>
            <w:vAlign w:val="center"/>
          </w:tcPr>
          <w:p w14:paraId="77745B90">
            <w:pPr>
              <w:widowControl/>
              <w:spacing w:line="0" w:lineRule="atLeast"/>
              <w:jc w:val="center"/>
              <w:rPr>
                <w:rFonts w:ascii="宋体" w:hAnsi="宋体" w:cs="宋体"/>
                <w:color w:val="000000"/>
                <w:kern w:val="0"/>
                <w:sz w:val="22"/>
                <w:szCs w:val="22"/>
              </w:rPr>
            </w:pPr>
          </w:p>
        </w:tc>
        <w:tc>
          <w:tcPr>
            <w:tcW w:w="1707" w:type="dxa"/>
            <w:shd w:val="clear" w:color="auto" w:fill="FFFFFF"/>
            <w:vAlign w:val="center"/>
          </w:tcPr>
          <w:p w14:paraId="329BA62E">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资金分配</w:t>
            </w:r>
          </w:p>
          <w:p w14:paraId="462E1ED6">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auto" w:fill="FFFFFF"/>
            <w:vAlign w:val="center"/>
          </w:tcPr>
          <w:p w14:paraId="57776002">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14:paraId="09B52BE6">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auto" w:fill="FFFFFF"/>
            <w:vAlign w:val="center"/>
          </w:tcPr>
          <w:p w14:paraId="3F73CD66">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auto" w:fill="FFFFFF"/>
            <w:vAlign w:val="center"/>
          </w:tcPr>
          <w:p w14:paraId="021933E1">
            <w:pPr>
              <w:jc w:val="center"/>
            </w:pPr>
            <w:r>
              <w:rPr>
                <w:rFonts w:hint="eastAsia" w:ascii="宋体" w:hAnsi="宋体" w:cs="宋体"/>
                <w:color w:val="000000"/>
                <w:kern w:val="0"/>
                <w:sz w:val="22"/>
                <w:szCs w:val="22"/>
              </w:rPr>
              <w:t>100%</w:t>
            </w:r>
          </w:p>
        </w:tc>
        <w:tc>
          <w:tcPr>
            <w:tcW w:w="960" w:type="dxa"/>
            <w:shd w:val="clear" w:color="auto" w:fill="FFFFFF"/>
            <w:vAlign w:val="center"/>
          </w:tcPr>
          <w:p w14:paraId="6D13DE7F">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bl>
    <w:p w14:paraId="6738AC0B">
      <w:pPr>
        <w:pStyle w:val="2"/>
        <w:numPr>
          <w:ilvl w:val="0"/>
          <w:numId w:val="6"/>
        </w:numPr>
        <w:ind w:firstLine="321" w:firstLineChars="100"/>
        <w:jc w:val="both"/>
        <w:rPr>
          <w:rFonts w:ascii="楷体_GB2312" w:hAnsi="楷体_GB2312" w:eastAsia="楷体_GB2312" w:cs="楷体_GB2312"/>
        </w:rPr>
      </w:pPr>
      <w:r>
        <w:rPr>
          <w:rFonts w:hint="eastAsia" w:ascii="楷体_GB2312" w:hAnsi="楷体_GB2312" w:eastAsia="楷体_GB2312" w:cs="楷体_GB2312"/>
        </w:rPr>
        <w:t>项目过程情况</w:t>
      </w:r>
    </w:p>
    <w:p w14:paraId="6BEC9267">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项目管理指标从资金到位率、预算执行率、资金使用合规性、管理制度健全性、制度执行有效性</w:t>
      </w:r>
      <w:r>
        <w:rPr>
          <w:rFonts w:hint="eastAsia" w:ascii="仿宋_GB2312" w:eastAsia="仿宋_GB2312"/>
          <w:sz w:val="32"/>
          <w:szCs w:val="32"/>
        </w:rPr>
        <w:t>5个方面对项目的管理情况进行考察。项目管理类指标分值5分，实际得分4.93 分，得分率为100%。项目管理指标得分</w:t>
      </w:r>
      <w:r>
        <w:rPr>
          <w:rFonts w:hint="eastAsia" w:ascii="仿宋_GB2312" w:hAnsi="仿宋" w:eastAsia="仿宋_GB2312" w:cs="宋体"/>
          <w:sz w:val="32"/>
          <w:szCs w:val="32"/>
        </w:rPr>
        <w:t>情况如表所示。</w:t>
      </w:r>
    </w:p>
    <w:p w14:paraId="269DA608">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对于“预算执行率”，项目经过向本级财政申请资金，2020年取得财政拨款资金232万元，项目资金预算经过集体讨论，并经批复。项目预算资金为232万元，实际使用215.41万元。根据评分标准，该指标实际得分率93%。</w:t>
      </w:r>
    </w:p>
    <w:p w14:paraId="55C9EC39">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对于“资金到位率”，项目资金到位及时，到位率为100%。根据评分标准，该指标不扣分。</w:t>
      </w:r>
    </w:p>
    <w:p w14:paraId="55A357F7">
      <w:pPr>
        <w:spacing w:line="560" w:lineRule="exact"/>
        <w:ind w:firstLine="640" w:firstLineChars="200"/>
        <w:jc w:val="left"/>
        <w:rPr>
          <w:rFonts w:ascii="仿宋_GB2312" w:eastAsia="仿宋_GB2312"/>
          <w:sz w:val="32"/>
          <w:szCs w:val="32"/>
        </w:rPr>
      </w:pPr>
      <w:r>
        <w:rPr>
          <w:rFonts w:hint="eastAsia" w:ascii="仿宋_GB2312" w:hAnsi="仿宋" w:eastAsia="仿宋_GB2312" w:cs="宋体"/>
          <w:sz w:val="32"/>
          <w:szCs w:val="32"/>
        </w:rPr>
        <w:t>对于“资金使用合规性” 地委办公室综合事务经费项目</w:t>
      </w:r>
      <w:r>
        <w:rPr>
          <w:rFonts w:hint="eastAsia" w:ascii="仿宋_GB2312" w:eastAsia="仿宋_GB2312"/>
          <w:sz w:val="32"/>
          <w:szCs w:val="32"/>
        </w:rPr>
        <w:t>地委办公室</w:t>
      </w:r>
      <w:r>
        <w:rPr>
          <w:rFonts w:hint="eastAsia" w:ascii="仿宋_GB2312" w:hAnsi="仿宋" w:eastAsia="仿宋_GB2312" w:cs="宋体"/>
          <w:sz w:val="32"/>
          <w:szCs w:val="32"/>
        </w:rPr>
        <w:t>按照专项资金列支的范围使用资金，支出范围合规；资金支出能按财务制度执行，并能按国库集中支付制度规定执行，不存在资金违纪违规使用情况。按评分标准，指标实际得分率</w:t>
      </w:r>
      <w:r>
        <w:rPr>
          <w:rFonts w:hint="eastAsia" w:ascii="仿宋_GB2312" w:eastAsia="仿宋_GB2312"/>
          <w:sz w:val="32"/>
          <w:szCs w:val="32"/>
        </w:rPr>
        <w:t>100%。</w:t>
      </w:r>
    </w:p>
    <w:p w14:paraId="2C41FF85">
      <w:pPr>
        <w:spacing w:line="560" w:lineRule="exact"/>
        <w:ind w:firstLine="640" w:firstLineChars="200"/>
        <w:jc w:val="left"/>
        <w:rPr>
          <w:rFonts w:ascii="仿宋_GB2312" w:hAnsi="仿宋" w:eastAsia="仿宋_GB2312" w:cs="宋体"/>
          <w:sz w:val="32"/>
          <w:szCs w:val="32"/>
        </w:rPr>
      </w:pPr>
      <w:r>
        <w:rPr>
          <w:rFonts w:hint="eastAsia" w:ascii="仿宋_GB2312" w:eastAsia="仿宋_GB2312"/>
          <w:sz w:val="32"/>
          <w:szCs w:val="32"/>
        </w:rPr>
        <w:t>对于“管理制度健全性”</w:t>
      </w:r>
      <w:r>
        <w:rPr>
          <w:rFonts w:hint="eastAsia" w:ascii="仿宋_GB2312" w:hAnsi="仿宋" w:eastAsia="仿宋_GB2312" w:cs="宋体"/>
          <w:sz w:val="32"/>
          <w:szCs w:val="32"/>
        </w:rPr>
        <w:t>，地委办公室综合事务经费项目地委办公室机构健全，分工明确，不存在不相容岗位兼任情况。根据评分标准，该指标不扣分。</w:t>
      </w:r>
    </w:p>
    <w:p w14:paraId="5DFA6D99">
      <w:pPr>
        <w:spacing w:line="560" w:lineRule="exact"/>
        <w:ind w:firstLine="640" w:firstLineChars="200"/>
        <w:jc w:val="left"/>
        <w:rPr>
          <w:rFonts w:ascii="仿宋_GB2312" w:hAnsi="仿宋" w:eastAsia="仿宋_GB2312" w:cs="宋体"/>
          <w:sz w:val="32"/>
          <w:szCs w:val="32"/>
        </w:rPr>
      </w:pPr>
      <w:r>
        <w:rPr>
          <w:rFonts w:hint="eastAsia" w:ascii="仿宋_GB2312" w:hAnsi="仿宋" w:eastAsia="仿宋_GB2312" w:cs="宋体"/>
          <w:sz w:val="32"/>
          <w:szCs w:val="32"/>
        </w:rPr>
        <w:t>对于“制度执行有效性”，地委办公室综合事务经费项目制定了项目资金管理制度，管理制度包括预算、资产、采购等管理办法，该指标不扣分。</w:t>
      </w:r>
    </w:p>
    <w:tbl>
      <w:tblPr>
        <w:tblStyle w:val="18"/>
        <w:tblpPr w:leftFromText="180" w:rightFromText="180" w:vertAnchor="text" w:horzAnchor="margin" w:tblpXSpec="center" w:tblpY="37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14:paraId="564624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14:paraId="1AD51674">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14:paraId="5AC21266">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14:paraId="4764684B">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14:paraId="6DE80903">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14:paraId="7163DDF3">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14:paraId="54D02E6C">
            <w:pPr>
              <w:widowControl/>
              <w:tabs>
                <w:tab w:val="left" w:pos="1333"/>
                <w:tab w:val="center" w:pos="3623"/>
              </w:tabs>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14:paraId="7D090AA0">
            <w:pPr>
              <w:widowControl/>
              <w:tabs>
                <w:tab w:val="left" w:pos="1333"/>
                <w:tab w:val="center" w:pos="3623"/>
              </w:tabs>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14:paraId="0EEB3BD8">
            <w:pPr>
              <w:widowControl/>
              <w:tabs>
                <w:tab w:val="left" w:pos="1333"/>
                <w:tab w:val="center" w:pos="3623"/>
              </w:tabs>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14:paraId="1138740A">
            <w:pPr>
              <w:widowControl/>
              <w:tabs>
                <w:tab w:val="left" w:pos="1333"/>
                <w:tab w:val="center" w:pos="3623"/>
              </w:tabs>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14:paraId="343E1C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5B76BD81">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w:t>
            </w:r>
          </w:p>
          <w:p w14:paraId="01501D03">
            <w:pPr>
              <w:spacing w:line="0" w:lineRule="atLeast"/>
              <w:jc w:val="center"/>
              <w:rPr>
                <w:rFonts w:ascii="宋体" w:hAnsi="宋体" w:cs="宋体"/>
                <w:color w:val="000000"/>
                <w:kern w:val="0"/>
                <w:sz w:val="22"/>
                <w:szCs w:val="22"/>
              </w:rPr>
            </w:pPr>
          </w:p>
        </w:tc>
        <w:tc>
          <w:tcPr>
            <w:tcW w:w="990" w:type="dxa"/>
            <w:vMerge w:val="restart"/>
            <w:shd w:val="clear" w:color="auto" w:fill="FFFFFF"/>
            <w:vAlign w:val="center"/>
          </w:tcPr>
          <w:p w14:paraId="25EDB8BB">
            <w:pPr>
              <w:widowControl/>
              <w:spacing w:line="0" w:lineRule="atLeast"/>
              <w:jc w:val="center"/>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14:paraId="32D4124C">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14:paraId="142BC452">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727" w:type="dxa"/>
            <w:shd w:val="clear" w:color="000000" w:fill="FFFFFF"/>
            <w:vAlign w:val="center"/>
          </w:tcPr>
          <w:p w14:paraId="789A4160">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14:paraId="1C753638">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14:paraId="6C8F77A2">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14:paraId="676C65D4">
            <w:pPr>
              <w:jc w:val="center"/>
            </w:pPr>
            <w:r>
              <w:rPr>
                <w:rFonts w:hint="eastAsia" w:ascii="宋体" w:hAnsi="宋体" w:cs="宋体"/>
                <w:color w:val="000000"/>
                <w:kern w:val="0"/>
                <w:sz w:val="22"/>
                <w:szCs w:val="22"/>
              </w:rPr>
              <w:t>100%</w:t>
            </w:r>
          </w:p>
        </w:tc>
        <w:tc>
          <w:tcPr>
            <w:tcW w:w="960" w:type="dxa"/>
            <w:shd w:val="clear" w:color="000000" w:fill="FFFFFF"/>
            <w:vAlign w:val="center"/>
          </w:tcPr>
          <w:p w14:paraId="686B0299">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14:paraId="1C6F8A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0237D92F">
            <w:pPr>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14:paraId="6F5C60C6">
            <w:pPr>
              <w:spacing w:line="0" w:lineRule="atLeast"/>
              <w:jc w:val="center"/>
              <w:rPr>
                <w:rFonts w:ascii="宋体" w:hAnsi="宋体" w:cs="宋体"/>
                <w:color w:val="000000"/>
                <w:kern w:val="0"/>
                <w:sz w:val="22"/>
                <w:szCs w:val="22"/>
              </w:rPr>
            </w:pPr>
          </w:p>
        </w:tc>
        <w:tc>
          <w:tcPr>
            <w:tcW w:w="1283" w:type="dxa"/>
            <w:vMerge w:val="continue"/>
            <w:shd w:val="clear" w:color="auto" w:fill="FFFFFF"/>
            <w:vAlign w:val="center"/>
          </w:tcPr>
          <w:p w14:paraId="5D5E9E7D">
            <w:pPr>
              <w:spacing w:line="0" w:lineRule="atLeast"/>
              <w:jc w:val="center"/>
              <w:rPr>
                <w:rFonts w:ascii="宋体" w:hAnsi="宋体" w:cs="宋体"/>
                <w:color w:val="000000"/>
                <w:kern w:val="0"/>
                <w:sz w:val="22"/>
                <w:szCs w:val="22"/>
              </w:rPr>
            </w:pPr>
          </w:p>
        </w:tc>
        <w:tc>
          <w:tcPr>
            <w:tcW w:w="1707" w:type="dxa"/>
            <w:shd w:val="clear" w:color="auto" w:fill="FFFFFF"/>
            <w:vAlign w:val="center"/>
          </w:tcPr>
          <w:p w14:paraId="487AB231">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727" w:type="dxa"/>
            <w:shd w:val="clear" w:color="auto" w:fill="FFFFFF"/>
            <w:vAlign w:val="center"/>
          </w:tcPr>
          <w:p w14:paraId="6A71D6A3">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14:paraId="7B14E850">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auto" w:fill="FFFFFF"/>
            <w:vAlign w:val="center"/>
          </w:tcPr>
          <w:p w14:paraId="1C090337">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auto" w:fill="FFFFFF"/>
            <w:vAlign w:val="center"/>
          </w:tcPr>
          <w:p w14:paraId="421530FE">
            <w:pPr>
              <w:jc w:val="center"/>
            </w:pPr>
            <w:r>
              <w:rPr>
                <w:rFonts w:hint="eastAsia" w:ascii="宋体" w:hAnsi="宋体" w:cs="宋体"/>
                <w:color w:val="000000"/>
                <w:kern w:val="0"/>
                <w:sz w:val="22"/>
                <w:szCs w:val="22"/>
              </w:rPr>
              <w:t>93%</w:t>
            </w:r>
          </w:p>
        </w:tc>
        <w:tc>
          <w:tcPr>
            <w:tcW w:w="960" w:type="dxa"/>
            <w:shd w:val="clear" w:color="auto" w:fill="FFFFFF"/>
            <w:vAlign w:val="center"/>
          </w:tcPr>
          <w:p w14:paraId="516493AC">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0.93</w:t>
            </w:r>
          </w:p>
        </w:tc>
      </w:tr>
      <w:tr w14:paraId="5A56AF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3039B4E6">
            <w:pPr>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14:paraId="695F35D5">
            <w:pPr>
              <w:widowControl/>
              <w:spacing w:line="0" w:lineRule="atLeast"/>
              <w:jc w:val="center"/>
              <w:rPr>
                <w:rFonts w:ascii="宋体" w:hAnsi="宋体" w:cs="宋体"/>
                <w:color w:val="000000"/>
                <w:kern w:val="0"/>
                <w:sz w:val="22"/>
                <w:szCs w:val="22"/>
              </w:rPr>
            </w:pPr>
          </w:p>
        </w:tc>
        <w:tc>
          <w:tcPr>
            <w:tcW w:w="1283" w:type="dxa"/>
            <w:shd w:val="clear" w:color="auto" w:fill="FFFFFF"/>
            <w:vAlign w:val="center"/>
          </w:tcPr>
          <w:p w14:paraId="5AE89A9A">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14:paraId="326A5B7B">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资金使用</w:t>
            </w:r>
          </w:p>
          <w:p w14:paraId="442F710A">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727" w:type="dxa"/>
            <w:shd w:val="clear" w:color="000000" w:fill="FFFFFF"/>
            <w:vAlign w:val="center"/>
          </w:tcPr>
          <w:p w14:paraId="08FE7B0F">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14:paraId="082722B8">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14:paraId="7A13C4F1">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14:paraId="108AF4F1">
            <w:pPr>
              <w:jc w:val="center"/>
            </w:pPr>
            <w:r>
              <w:rPr>
                <w:rFonts w:hint="eastAsia" w:ascii="宋体" w:hAnsi="宋体" w:cs="宋体"/>
                <w:color w:val="000000"/>
                <w:kern w:val="0"/>
                <w:sz w:val="22"/>
                <w:szCs w:val="22"/>
              </w:rPr>
              <w:t>100%</w:t>
            </w:r>
          </w:p>
        </w:tc>
        <w:tc>
          <w:tcPr>
            <w:tcW w:w="960" w:type="dxa"/>
            <w:shd w:val="clear" w:color="000000" w:fill="FFFFFF"/>
            <w:vAlign w:val="center"/>
          </w:tcPr>
          <w:p w14:paraId="0FA381EB">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14:paraId="6149B4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45DE3F7">
            <w:pPr>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14:paraId="0069FCF6">
            <w:pPr>
              <w:spacing w:line="0" w:lineRule="atLeast"/>
              <w:jc w:val="center"/>
              <w:rPr>
                <w:rFonts w:ascii="宋体" w:hAnsi="宋体" w:cs="宋体"/>
                <w:color w:val="000000"/>
                <w:kern w:val="0"/>
                <w:sz w:val="22"/>
                <w:szCs w:val="22"/>
              </w:rPr>
            </w:pPr>
          </w:p>
        </w:tc>
        <w:tc>
          <w:tcPr>
            <w:tcW w:w="1283" w:type="dxa"/>
            <w:vMerge w:val="restart"/>
            <w:shd w:val="clear" w:color="auto" w:fill="FFFFFF"/>
            <w:vAlign w:val="center"/>
          </w:tcPr>
          <w:p w14:paraId="16396557">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组织实施</w:t>
            </w:r>
          </w:p>
        </w:tc>
        <w:tc>
          <w:tcPr>
            <w:tcW w:w="1707" w:type="dxa"/>
            <w:shd w:val="clear" w:color="auto" w:fill="FFFFFF"/>
            <w:vAlign w:val="center"/>
          </w:tcPr>
          <w:p w14:paraId="69926F26">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管理制度</w:t>
            </w:r>
          </w:p>
          <w:p w14:paraId="687C1B0D">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727" w:type="dxa"/>
            <w:shd w:val="clear" w:color="000000" w:fill="FFFFFF"/>
            <w:vAlign w:val="center"/>
          </w:tcPr>
          <w:p w14:paraId="52DE7863">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14:paraId="33107883">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14:paraId="7913DAED">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14:paraId="21747D3A">
            <w:pPr>
              <w:jc w:val="center"/>
            </w:pPr>
            <w:r>
              <w:rPr>
                <w:rFonts w:hint="eastAsia" w:ascii="宋体" w:hAnsi="宋体" w:cs="宋体"/>
                <w:color w:val="000000"/>
                <w:kern w:val="0"/>
                <w:sz w:val="22"/>
                <w:szCs w:val="22"/>
              </w:rPr>
              <w:t>100%</w:t>
            </w:r>
          </w:p>
        </w:tc>
        <w:tc>
          <w:tcPr>
            <w:tcW w:w="960" w:type="dxa"/>
            <w:shd w:val="clear" w:color="000000" w:fill="FFFFFF"/>
            <w:vAlign w:val="center"/>
          </w:tcPr>
          <w:p w14:paraId="21F8B29D">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14:paraId="3318F3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1B2D6360">
            <w:pPr>
              <w:widowControl/>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14:paraId="6530B555">
            <w:pPr>
              <w:widowControl/>
              <w:spacing w:line="0" w:lineRule="atLeast"/>
              <w:jc w:val="center"/>
              <w:rPr>
                <w:rFonts w:ascii="宋体" w:hAnsi="宋体" w:cs="宋体"/>
                <w:color w:val="000000"/>
                <w:kern w:val="0"/>
                <w:sz w:val="22"/>
                <w:szCs w:val="22"/>
              </w:rPr>
            </w:pPr>
          </w:p>
        </w:tc>
        <w:tc>
          <w:tcPr>
            <w:tcW w:w="1283" w:type="dxa"/>
            <w:vMerge w:val="continue"/>
            <w:shd w:val="clear" w:color="auto" w:fill="FFFFFF"/>
            <w:vAlign w:val="center"/>
          </w:tcPr>
          <w:p w14:paraId="10021128">
            <w:pPr>
              <w:widowControl/>
              <w:spacing w:line="0" w:lineRule="atLeast"/>
              <w:jc w:val="center"/>
              <w:rPr>
                <w:rFonts w:ascii="宋体" w:hAnsi="宋体" w:cs="宋体"/>
                <w:color w:val="000000"/>
                <w:kern w:val="0"/>
                <w:sz w:val="22"/>
                <w:szCs w:val="22"/>
              </w:rPr>
            </w:pPr>
          </w:p>
        </w:tc>
        <w:tc>
          <w:tcPr>
            <w:tcW w:w="1707" w:type="dxa"/>
            <w:shd w:val="clear" w:color="auto" w:fill="FFFFFF"/>
            <w:vAlign w:val="center"/>
          </w:tcPr>
          <w:p w14:paraId="11C00997">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制度执行</w:t>
            </w:r>
          </w:p>
          <w:p w14:paraId="1571944B">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727" w:type="dxa"/>
            <w:shd w:val="clear" w:color="000000" w:fill="FFFFFF"/>
            <w:vAlign w:val="center"/>
          </w:tcPr>
          <w:p w14:paraId="05B4D3C4">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14:paraId="77D0D26A">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14:paraId="7445B822">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14:paraId="7DD739CF">
            <w:pPr>
              <w:jc w:val="center"/>
            </w:pPr>
            <w:r>
              <w:rPr>
                <w:rFonts w:hint="eastAsia" w:ascii="宋体" w:hAnsi="宋体" w:cs="宋体"/>
                <w:color w:val="000000"/>
                <w:kern w:val="0"/>
                <w:sz w:val="22"/>
                <w:szCs w:val="22"/>
              </w:rPr>
              <w:t>100%</w:t>
            </w:r>
          </w:p>
        </w:tc>
        <w:tc>
          <w:tcPr>
            <w:tcW w:w="960" w:type="dxa"/>
            <w:shd w:val="clear" w:color="000000" w:fill="FFFFFF"/>
            <w:vAlign w:val="center"/>
          </w:tcPr>
          <w:p w14:paraId="753DA902">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bl>
    <w:p w14:paraId="266EB5E8"/>
    <w:p w14:paraId="208324A6">
      <w:pPr>
        <w:pStyle w:val="17"/>
        <w:numPr>
          <w:ilvl w:val="0"/>
          <w:numId w:val="6"/>
        </w:numPr>
        <w:ind w:firstLine="321" w:firstLineChars="1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项目产出</w:t>
      </w:r>
    </w:p>
    <w:p w14:paraId="460B1A9C">
      <w:pPr>
        <w:spacing w:line="540" w:lineRule="exact"/>
        <w:ind w:firstLine="640"/>
        <w:rPr>
          <w:rStyle w:val="49"/>
          <w:color w:val="auto"/>
        </w:rPr>
      </w:pPr>
      <w:r>
        <w:rPr>
          <w:rStyle w:val="49"/>
          <w:rFonts w:hint="eastAsia"/>
          <w:bCs/>
          <w:color w:val="auto"/>
        </w:rPr>
        <w:t>数量指标方面：完成调研次数目标55次，实际完成55次、保障运转车辆辆数目标15辆，实际完成15辆、保障用餐人数目标100人，实际完成120人、保障临时工工资人数目标8人，实际完成8人；</w:t>
      </w:r>
    </w:p>
    <w:p w14:paraId="79A0B40D">
      <w:pPr>
        <w:spacing w:line="540" w:lineRule="exact"/>
        <w:ind w:firstLine="640"/>
        <w:rPr>
          <w:rStyle w:val="49"/>
          <w:bCs/>
          <w:color w:val="auto"/>
        </w:rPr>
      </w:pPr>
      <w:r>
        <w:rPr>
          <w:rStyle w:val="49"/>
          <w:rFonts w:hint="eastAsia"/>
          <w:bCs/>
          <w:color w:val="auto"/>
        </w:rPr>
        <w:t>质量指标方面：调研指导县（市）覆盖率目标100%，实际完成100%、保障车辆覆盖率目标100%，实际完成100%、；</w:t>
      </w:r>
    </w:p>
    <w:p w14:paraId="62F8197F">
      <w:pPr>
        <w:pStyle w:val="2"/>
        <w:ind w:firstLine="640" w:firstLineChars="200"/>
        <w:jc w:val="both"/>
        <w:rPr>
          <w:rStyle w:val="49"/>
          <w:b w:val="0"/>
          <w:bCs w:val="0"/>
          <w:color w:val="auto"/>
          <w:kern w:val="2"/>
        </w:rPr>
      </w:pPr>
      <w:r>
        <w:rPr>
          <w:rStyle w:val="49"/>
          <w:rFonts w:hint="eastAsia"/>
          <w:b w:val="0"/>
          <w:color w:val="auto"/>
          <w:kern w:val="2"/>
        </w:rPr>
        <w:t>成本指标方面：成本总额目标232万元，实际完成215.41万元；</w:t>
      </w:r>
    </w:p>
    <w:p w14:paraId="3BB79963">
      <w:pPr>
        <w:ind w:firstLine="640" w:firstLineChars="200"/>
        <w:rPr>
          <w:rStyle w:val="49"/>
          <w:color w:val="auto"/>
        </w:rPr>
      </w:pPr>
      <w:r>
        <w:rPr>
          <w:rStyle w:val="49"/>
          <w:rFonts w:hint="eastAsia"/>
          <w:bCs/>
          <w:color w:val="auto"/>
        </w:rPr>
        <w:t>时效指标方面：完成进度目标是2019年12月前完成，实际在2020年12月前完成。</w:t>
      </w:r>
    </w:p>
    <w:p w14:paraId="3698BB26">
      <w:pPr>
        <w:pStyle w:val="17"/>
        <w:numPr>
          <w:ilvl w:val="0"/>
          <w:numId w:val="6"/>
        </w:numPr>
        <w:ind w:firstLine="321" w:firstLineChars="1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效益情况</w:t>
      </w:r>
    </w:p>
    <w:p w14:paraId="512680BE">
      <w:pPr>
        <w:spacing w:line="540" w:lineRule="exact"/>
        <w:ind w:firstLine="640"/>
        <w:rPr>
          <w:rStyle w:val="49"/>
          <w:bCs/>
          <w:color w:val="auto"/>
        </w:rPr>
      </w:pPr>
      <w:r>
        <w:rPr>
          <w:rStyle w:val="49"/>
          <w:rFonts w:hint="eastAsia"/>
          <w:bCs/>
          <w:color w:val="auto"/>
        </w:rPr>
        <w:t>社会效益指标方面：党办业务保障能力目标是有所提升，实际有所提升。</w:t>
      </w:r>
    </w:p>
    <w:p w14:paraId="0E8746E4">
      <w:pPr>
        <w:spacing w:line="600" w:lineRule="exact"/>
        <w:ind w:firstLine="640" w:firstLineChars="200"/>
        <w:rPr>
          <w:rStyle w:val="49"/>
          <w:bCs/>
          <w:color w:val="auto"/>
        </w:rPr>
      </w:pPr>
      <w:r>
        <w:rPr>
          <w:rStyle w:val="49"/>
          <w:bCs/>
          <w:color w:val="auto"/>
        </w:rPr>
        <w:t>满意度指标</w:t>
      </w:r>
      <w:r>
        <w:rPr>
          <w:rStyle w:val="49"/>
          <w:rFonts w:hint="eastAsia"/>
          <w:bCs/>
          <w:color w:val="auto"/>
        </w:rPr>
        <w:t>方面：干部职工满意率目标是95%，实际达到95%。</w:t>
      </w:r>
    </w:p>
    <w:p w14:paraId="5A326C98">
      <w:pPr>
        <w:spacing w:line="600" w:lineRule="exact"/>
        <w:ind w:firstLine="641"/>
        <w:rPr>
          <w:rStyle w:val="49"/>
          <w:color w:val="auto"/>
        </w:rPr>
      </w:pPr>
      <w:r>
        <w:rPr>
          <w:rFonts w:hint="eastAsia" w:ascii="黑体" w:hAnsi="黑体" w:eastAsia="黑体"/>
          <w:sz w:val="32"/>
          <w:szCs w:val="32"/>
        </w:rPr>
        <w:t>五、主要经验及做法、存在的问题及原因分析</w:t>
      </w:r>
    </w:p>
    <w:p w14:paraId="535DB73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（一）主要经验及做法</w:t>
      </w:r>
    </w:p>
    <w:p w14:paraId="02D6DE5B">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47F4EA62">
      <w:pPr>
        <w:pStyle w:val="2"/>
        <w:spacing w:before="0" w:line="600" w:lineRule="exact"/>
        <w:ind w:firstLine="640" w:firstLineChars="200"/>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2D4E11B2">
      <w:pPr>
        <w:keepNext/>
        <w:keepLines/>
        <w:numPr>
          <w:ilvl w:val="0"/>
          <w:numId w:val="7"/>
        </w:numPr>
        <w:spacing w:line="60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14:paraId="6DF9A651">
      <w:pPr>
        <w:pStyle w:val="2"/>
        <w:numPr>
          <w:ilvl w:val="0"/>
          <w:numId w:val="8"/>
        </w:numPr>
        <w:jc w:val="both"/>
        <w:rPr>
          <w:rFonts w:ascii="仿宋_GB2312" w:hAnsi="仿宋_GB2312" w:eastAsia="仿宋_GB2312" w:cs="仿宋_GB2312"/>
          <w:b/>
          <w:bCs/>
          <w:kern w:val="2"/>
        </w:rPr>
      </w:pPr>
      <w:r>
        <w:rPr>
          <w:rFonts w:hint="eastAsia" w:ascii="仿宋_GB2312" w:hAnsi="仿宋_GB2312" w:eastAsia="仿宋_GB2312" w:cs="仿宋_GB2312"/>
          <w:b/>
          <w:bCs/>
          <w:kern w:val="2"/>
        </w:rPr>
        <w:t>存在的问题</w:t>
      </w:r>
    </w:p>
    <w:p w14:paraId="597F67F2">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存在的问题是项目前期工作不全面，绩效目标的设置应符合量化、细化的要求。 </w:t>
      </w:r>
    </w:p>
    <w:p w14:paraId="652B2C63">
      <w:pPr>
        <w:pStyle w:val="34"/>
        <w:numPr>
          <w:ilvl w:val="0"/>
          <w:numId w:val="8"/>
        </w:numPr>
        <w:spacing w:line="600" w:lineRule="exac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原因分析</w:t>
      </w:r>
    </w:p>
    <w:p w14:paraId="7E47FC6F">
      <w:pPr>
        <w:pStyle w:val="2"/>
        <w:ind w:firstLine="640" w:firstLineChars="200"/>
        <w:jc w:val="both"/>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原因主要是没有深入细致科学规划地做好各项前期工作，项目实施前期已根据项目建设内容设置绩效目标，但项目绩效目标级绩效指标设置过于笼统，不够细化，在实际实施绩效监控和绩效评价时较为困难。</w:t>
      </w:r>
    </w:p>
    <w:p w14:paraId="7FC09B6A">
      <w:pPr>
        <w:numPr>
          <w:ilvl w:val="0"/>
          <w:numId w:val="9"/>
        </w:numPr>
        <w:spacing w:line="600" w:lineRule="exact"/>
        <w:ind w:firstLine="641"/>
        <w:rPr>
          <w:rFonts w:ascii="黑体" w:hAnsi="黑体" w:eastAsia="黑体"/>
          <w:sz w:val="32"/>
          <w:szCs w:val="32"/>
        </w:rPr>
      </w:pPr>
      <w:r>
        <w:rPr>
          <w:rFonts w:hint="eastAsia" w:ascii="黑体" w:hAnsi="黑体" w:eastAsia="黑体"/>
          <w:sz w:val="32"/>
          <w:szCs w:val="32"/>
        </w:rPr>
        <w:t>有关建议</w:t>
      </w:r>
    </w:p>
    <w:p w14:paraId="64E13490">
      <w:pPr>
        <w:numPr>
          <w:ilvl w:val="0"/>
          <w:numId w:val="10"/>
        </w:numPr>
        <w:spacing w:line="60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14:paraId="5DCFF3DE">
      <w:pPr>
        <w:numPr>
          <w:ilvl w:val="0"/>
          <w:numId w:val="10"/>
        </w:numPr>
        <w:spacing w:line="60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账定专人。同时，资金拨付除坚持按项目计划、工程进度和质量分阶段验收拨款外，还坚持部门联审制，项目单位先做事、后报账，从而确保专项资金专款专用，有效地防止了截留、挤占和挪用。</w:t>
      </w:r>
    </w:p>
    <w:p w14:paraId="5AD58C9B">
      <w:pPr>
        <w:numPr>
          <w:ilvl w:val="0"/>
          <w:numId w:val="9"/>
        </w:numPr>
        <w:spacing w:line="600" w:lineRule="exact"/>
        <w:ind w:firstLine="641"/>
        <w:rPr>
          <w:rFonts w:ascii="黑体" w:hAnsi="黑体" w:eastAsia="黑体"/>
          <w:sz w:val="32"/>
          <w:szCs w:val="32"/>
        </w:rPr>
      </w:pPr>
      <w:r>
        <w:rPr>
          <w:rFonts w:hint="eastAsia" w:ascii="黑体" w:hAnsi="黑体" w:eastAsia="黑体"/>
          <w:sz w:val="32"/>
          <w:szCs w:val="32"/>
        </w:rPr>
        <w:t>其他需要说</w:t>
      </w:r>
      <w:bookmarkStart w:id="1" w:name="page8"/>
      <w:bookmarkEnd w:id="1"/>
      <w:r>
        <w:rPr>
          <w:rFonts w:hint="eastAsia" w:ascii="黑体" w:hAnsi="黑体" w:eastAsia="黑体"/>
          <w:sz w:val="32"/>
          <w:szCs w:val="32"/>
        </w:rPr>
        <w:t>明的问题</w:t>
      </w:r>
    </w:p>
    <w:p w14:paraId="76A85545">
      <w:pPr>
        <w:autoSpaceDE w:val="0"/>
        <w:autoSpaceDN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本次预算绩效评价所采集的数据因为采集时间、数据、</w:t>
      </w:r>
    </w:p>
    <w:p w14:paraId="09CDE145">
      <w:pPr>
        <w:autoSpaceDE w:val="0"/>
        <w:autoSpaceDN w:val="0"/>
        <w:adjustRightInd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来源等诸多因素的影响，可能会出现一定的偏差，进而对评价结果存在影响。</w:t>
      </w:r>
    </w:p>
    <w:p w14:paraId="4620015C">
      <w:pPr>
        <w:pStyle w:val="2"/>
        <w:rPr>
          <w:rFonts w:hint="eastAsia" w:ascii="仿宋_GB2312" w:hAnsi="仿宋_GB2312" w:eastAsia="仿宋_GB2312" w:cs="仿宋_GB2312"/>
          <w:sz w:val="32"/>
          <w:szCs w:val="32"/>
        </w:rPr>
      </w:pPr>
    </w:p>
    <w:p w14:paraId="6D72997F">
      <w:pPr>
        <w:rPr>
          <w:rFonts w:hint="eastAsia" w:ascii="仿宋_GB2312" w:hAnsi="仿宋_GB2312" w:eastAsia="仿宋_GB2312" w:cs="仿宋_GB2312"/>
          <w:sz w:val="32"/>
          <w:szCs w:val="32"/>
        </w:rPr>
      </w:pPr>
    </w:p>
    <w:p w14:paraId="1D641838">
      <w:pPr>
        <w:pStyle w:val="2"/>
        <w:rPr>
          <w:rFonts w:hint="eastAsia" w:ascii="仿宋_GB2312" w:hAnsi="仿宋_GB2312" w:eastAsia="仿宋_GB2312" w:cs="仿宋_GB2312"/>
          <w:sz w:val="32"/>
          <w:szCs w:val="32"/>
        </w:rPr>
      </w:pPr>
    </w:p>
    <w:p w14:paraId="7469EBBA">
      <w:pPr>
        <w:rPr>
          <w:rFonts w:hint="eastAsia" w:ascii="仿宋_GB2312" w:hAnsi="仿宋_GB2312" w:eastAsia="仿宋_GB2312" w:cs="仿宋_GB2312"/>
          <w:sz w:val="32"/>
          <w:szCs w:val="32"/>
        </w:rPr>
      </w:pPr>
    </w:p>
    <w:p w14:paraId="15DFE72C">
      <w:pPr>
        <w:pStyle w:val="2"/>
        <w:rPr>
          <w:rFonts w:hint="eastAsia" w:ascii="仿宋_GB2312" w:hAnsi="仿宋_GB2312" w:eastAsia="仿宋_GB2312" w:cs="仿宋_GB2312"/>
          <w:sz w:val="32"/>
          <w:szCs w:val="32"/>
        </w:rPr>
      </w:pPr>
    </w:p>
    <w:p w14:paraId="475DBCBE">
      <w:pPr>
        <w:rPr>
          <w:rFonts w:hint="eastAsia" w:ascii="仿宋_GB2312" w:hAnsi="仿宋_GB2312" w:eastAsia="仿宋_GB2312" w:cs="仿宋_GB2312"/>
          <w:sz w:val="32"/>
          <w:szCs w:val="32"/>
        </w:rPr>
      </w:pPr>
    </w:p>
    <w:p w14:paraId="4B6357C1">
      <w:pPr>
        <w:pStyle w:val="2"/>
        <w:rPr>
          <w:rFonts w:hint="eastAsia" w:ascii="仿宋_GB2312" w:hAnsi="仿宋_GB2312" w:eastAsia="仿宋_GB2312" w:cs="仿宋_GB2312"/>
          <w:sz w:val="32"/>
          <w:szCs w:val="32"/>
        </w:rPr>
      </w:pPr>
    </w:p>
    <w:p w14:paraId="2EF51C5F">
      <w:pPr>
        <w:rPr>
          <w:rFonts w:hint="eastAsia" w:ascii="仿宋_GB2312" w:hAnsi="仿宋_GB2312" w:eastAsia="仿宋_GB2312" w:cs="仿宋_GB2312"/>
          <w:sz w:val="32"/>
          <w:szCs w:val="32"/>
        </w:rPr>
      </w:pPr>
    </w:p>
    <w:p w14:paraId="182F94EA">
      <w:pPr>
        <w:pStyle w:val="2"/>
        <w:rPr>
          <w:rFonts w:hint="eastAsia" w:ascii="仿宋_GB2312" w:hAnsi="仿宋_GB2312" w:eastAsia="仿宋_GB2312" w:cs="仿宋_GB2312"/>
          <w:sz w:val="32"/>
          <w:szCs w:val="32"/>
        </w:rPr>
      </w:pPr>
    </w:p>
    <w:p w14:paraId="7F1E822D">
      <w:pPr>
        <w:rPr>
          <w:rFonts w:hint="eastAsia" w:ascii="仿宋_GB2312" w:hAnsi="仿宋_GB2312" w:eastAsia="仿宋_GB2312" w:cs="仿宋_GB2312"/>
          <w:sz w:val="32"/>
          <w:szCs w:val="32"/>
        </w:rPr>
      </w:pPr>
    </w:p>
    <w:p w14:paraId="3841FD5E">
      <w:pPr>
        <w:pStyle w:val="2"/>
      </w:pPr>
    </w:p>
    <w:tbl>
      <w:tblPr>
        <w:tblStyle w:val="18"/>
        <w:tblW w:w="9924" w:type="dxa"/>
        <w:tblInd w:w="-803" w:type="dxa"/>
        <w:tblLayout w:type="fixed"/>
        <w:tblCellMar>
          <w:top w:w="0" w:type="dxa"/>
          <w:left w:w="108" w:type="dxa"/>
          <w:bottom w:w="0" w:type="dxa"/>
          <w:right w:w="108" w:type="dxa"/>
        </w:tblCellMar>
      </w:tblPr>
      <w:tblGrid>
        <w:gridCol w:w="760"/>
        <w:gridCol w:w="944"/>
        <w:gridCol w:w="1135"/>
        <w:gridCol w:w="240"/>
        <w:gridCol w:w="723"/>
        <w:gridCol w:w="31"/>
        <w:gridCol w:w="729"/>
        <w:gridCol w:w="1577"/>
        <w:gridCol w:w="1538"/>
        <w:gridCol w:w="2219"/>
        <w:gridCol w:w="28"/>
      </w:tblGrid>
      <w:tr w14:paraId="3F0748CB">
        <w:tblPrEx>
          <w:tblCellMar>
            <w:top w:w="0" w:type="dxa"/>
            <w:left w:w="108" w:type="dxa"/>
            <w:bottom w:w="0" w:type="dxa"/>
            <w:right w:w="108" w:type="dxa"/>
          </w:tblCellMar>
        </w:tblPrEx>
        <w:trPr>
          <w:gridAfter w:val="1"/>
          <w:wAfter w:w="28" w:type="dxa"/>
          <w:trHeight w:val="905" w:hRule="atLeast"/>
        </w:trPr>
        <w:tc>
          <w:tcPr>
            <w:tcW w:w="9896" w:type="dxa"/>
            <w:gridSpan w:val="10"/>
            <w:tcBorders>
              <w:top w:val="nil"/>
              <w:left w:val="nil"/>
              <w:bottom w:val="nil"/>
              <w:right w:val="nil"/>
            </w:tcBorders>
            <w:shd w:val="clear" w:color="auto" w:fill="auto"/>
            <w:vAlign w:val="center"/>
          </w:tcPr>
          <w:p w14:paraId="3169622F">
            <w:pPr>
              <w:keepNext w:val="0"/>
              <w:keepLines w:val="0"/>
              <w:widowControl/>
              <w:suppressLineNumbers w:val="0"/>
              <w:jc w:val="center"/>
              <w:textAlignment w:val="center"/>
              <w:rPr>
                <w:rFonts w:ascii="宋体" w:hAnsi="宋体" w:cs="Arial"/>
                <w:b/>
                <w:bCs/>
                <w:color w:val="000000"/>
                <w:kern w:val="0"/>
                <w:sz w:val="32"/>
                <w:szCs w:val="32"/>
              </w:rPr>
            </w:pPr>
            <w:r>
              <w:rPr>
                <w:rFonts w:hint="eastAsia" w:ascii="方正小标宋简体" w:hAnsi="方正小标宋简体" w:eastAsia="方正小标宋简体" w:cs="方正小标宋简体"/>
                <w:b/>
                <w:i w:val="0"/>
                <w:color w:val="000000"/>
                <w:kern w:val="0"/>
                <w:sz w:val="44"/>
                <w:szCs w:val="44"/>
                <w:u w:val="none"/>
                <w:lang w:val="en-US" w:eastAsia="zh-CN" w:bidi="ar"/>
              </w:rPr>
              <w:t>项目支出绩效自评表</w:t>
            </w:r>
          </w:p>
        </w:tc>
      </w:tr>
      <w:tr w14:paraId="5B34407F">
        <w:tblPrEx>
          <w:tblCellMar>
            <w:top w:w="0" w:type="dxa"/>
            <w:left w:w="108" w:type="dxa"/>
            <w:bottom w:w="0" w:type="dxa"/>
            <w:right w:w="108" w:type="dxa"/>
          </w:tblCellMar>
        </w:tblPrEx>
        <w:trPr>
          <w:gridAfter w:val="1"/>
          <w:wAfter w:w="28" w:type="dxa"/>
          <w:trHeight w:val="905" w:hRule="atLeast"/>
        </w:trPr>
        <w:tc>
          <w:tcPr>
            <w:tcW w:w="9896" w:type="dxa"/>
            <w:gridSpan w:val="10"/>
            <w:tcBorders>
              <w:top w:val="nil"/>
              <w:left w:val="nil"/>
              <w:bottom w:val="nil"/>
              <w:right w:val="nil"/>
            </w:tcBorders>
            <w:shd w:val="clear" w:color="auto" w:fill="auto"/>
            <w:vAlign w:val="center"/>
          </w:tcPr>
          <w:p w14:paraId="678B8920">
            <w:pPr>
              <w:keepNext w:val="0"/>
              <w:keepLines w:val="0"/>
              <w:widowControl/>
              <w:suppressLineNumbers w:val="0"/>
              <w:jc w:val="center"/>
              <w:textAlignment w:val="center"/>
              <w:rPr>
                <w:rFonts w:ascii="宋体" w:hAnsi="宋体" w:cs="Arial"/>
                <w:color w:val="000000"/>
                <w:kern w:val="0"/>
                <w:sz w:val="22"/>
                <w:szCs w:val="22"/>
              </w:rPr>
            </w:pPr>
            <w:r>
              <w:rPr>
                <w:rFonts w:hint="eastAsia" w:ascii="宋体" w:hAnsi="宋体" w:eastAsia="宋体" w:cs="宋体"/>
                <w:i w:val="0"/>
                <w:color w:val="000000"/>
                <w:kern w:val="0"/>
                <w:sz w:val="32"/>
                <w:szCs w:val="32"/>
                <w:u w:val="none"/>
                <w:lang w:val="en-US" w:eastAsia="zh-CN" w:bidi="ar"/>
              </w:rPr>
              <w:t>（   2020 年度）</w:t>
            </w:r>
          </w:p>
        </w:tc>
      </w:tr>
      <w:tr w14:paraId="63594E69">
        <w:tblPrEx>
          <w:tblCellMar>
            <w:top w:w="0" w:type="dxa"/>
            <w:left w:w="108" w:type="dxa"/>
            <w:bottom w:w="0" w:type="dxa"/>
            <w:right w:w="108" w:type="dxa"/>
          </w:tblCellMar>
        </w:tblPrEx>
        <w:trPr>
          <w:gridAfter w:val="1"/>
          <w:wAfter w:w="28" w:type="dxa"/>
          <w:trHeight w:val="467" w:hRule="atLeast"/>
        </w:trPr>
        <w:tc>
          <w:tcPr>
            <w:tcW w:w="9896" w:type="dxa"/>
            <w:gridSpan w:val="10"/>
            <w:tcBorders>
              <w:top w:val="nil"/>
              <w:left w:val="nil"/>
              <w:bottom w:val="single" w:color="auto" w:sz="4" w:space="0"/>
              <w:right w:val="nil"/>
            </w:tcBorders>
            <w:shd w:val="clear" w:color="auto" w:fill="auto"/>
            <w:vAlign w:val="center"/>
          </w:tcPr>
          <w:p w14:paraId="4B9BD5ED">
            <w:pPr>
              <w:jc w:val="center"/>
              <w:rPr>
                <w:rFonts w:ascii="宋体" w:hAnsi="宋体" w:cs="Arial"/>
                <w:color w:val="000000"/>
                <w:kern w:val="0"/>
                <w:sz w:val="18"/>
                <w:szCs w:val="18"/>
              </w:rPr>
            </w:pPr>
          </w:p>
        </w:tc>
      </w:tr>
      <w:tr w14:paraId="11708F46">
        <w:tblPrEx>
          <w:tblCellMar>
            <w:top w:w="0" w:type="dxa"/>
            <w:left w:w="108" w:type="dxa"/>
            <w:bottom w:w="0" w:type="dxa"/>
            <w:right w:w="108" w:type="dxa"/>
          </w:tblCellMar>
        </w:tblPrEx>
        <w:trPr>
          <w:gridAfter w:val="1"/>
          <w:wAfter w:w="28" w:type="dxa"/>
          <w:trHeight w:val="467" w:hRule="atLeast"/>
        </w:trPr>
        <w:tc>
          <w:tcPr>
            <w:tcW w:w="17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7D8B71">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项目名称</w:t>
            </w:r>
          </w:p>
        </w:tc>
        <w:tc>
          <w:tcPr>
            <w:tcW w:w="8192"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7E466FA">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地委办公室综合事务专项经费</w:t>
            </w:r>
          </w:p>
        </w:tc>
      </w:tr>
      <w:tr w14:paraId="014C6E93">
        <w:tblPrEx>
          <w:tblCellMar>
            <w:top w:w="0" w:type="dxa"/>
            <w:left w:w="108" w:type="dxa"/>
            <w:bottom w:w="0" w:type="dxa"/>
            <w:right w:w="108" w:type="dxa"/>
          </w:tblCellMar>
        </w:tblPrEx>
        <w:trPr>
          <w:gridAfter w:val="1"/>
          <w:wAfter w:w="28" w:type="dxa"/>
          <w:trHeight w:val="483" w:hRule="atLeast"/>
        </w:trPr>
        <w:tc>
          <w:tcPr>
            <w:tcW w:w="17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56B2AC">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主管部门</w:t>
            </w:r>
          </w:p>
        </w:tc>
        <w:tc>
          <w:tcPr>
            <w:tcW w:w="4435"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14:paraId="5CD6D881">
            <w:pPr>
              <w:jc w:val="center"/>
              <w:rPr>
                <w:rFonts w:ascii="宋体" w:hAnsi="宋体" w:cs="Arial"/>
                <w:color w:val="000000"/>
                <w:kern w:val="0"/>
                <w:sz w:val="18"/>
                <w:szCs w:val="18"/>
              </w:rPr>
            </w:pPr>
          </w:p>
        </w:tc>
        <w:tc>
          <w:tcPr>
            <w:tcW w:w="1538" w:type="dxa"/>
            <w:tcBorders>
              <w:top w:val="nil"/>
              <w:left w:val="single" w:color="auto" w:sz="4" w:space="0"/>
              <w:bottom w:val="single" w:color="000000" w:sz="4" w:space="0"/>
              <w:right w:val="single" w:color="000000" w:sz="4" w:space="0"/>
            </w:tcBorders>
            <w:shd w:val="clear" w:color="auto" w:fill="auto"/>
            <w:vAlign w:val="center"/>
          </w:tcPr>
          <w:p w14:paraId="4E681502">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实施单位</w:t>
            </w:r>
          </w:p>
        </w:tc>
        <w:tc>
          <w:tcPr>
            <w:tcW w:w="2219" w:type="dxa"/>
            <w:tcBorders>
              <w:top w:val="nil"/>
              <w:left w:val="nil"/>
              <w:bottom w:val="single" w:color="000000" w:sz="4" w:space="0"/>
              <w:right w:val="single" w:color="000000" w:sz="4" w:space="0"/>
            </w:tcBorders>
            <w:shd w:val="clear" w:color="auto" w:fill="auto"/>
            <w:vAlign w:val="center"/>
          </w:tcPr>
          <w:p w14:paraId="6986A53A">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塔城地区委员会</w:t>
            </w:r>
          </w:p>
        </w:tc>
      </w:tr>
      <w:tr w14:paraId="06301F79">
        <w:tblPrEx>
          <w:tblCellMar>
            <w:top w:w="0" w:type="dxa"/>
            <w:left w:w="108" w:type="dxa"/>
            <w:bottom w:w="0" w:type="dxa"/>
            <w:right w:w="108" w:type="dxa"/>
          </w:tblCellMar>
        </w:tblPrEx>
        <w:trPr>
          <w:trHeight w:val="920" w:hRule="atLeast"/>
        </w:trPr>
        <w:tc>
          <w:tcPr>
            <w:tcW w:w="1704" w:type="dxa"/>
            <w:gridSpan w:val="2"/>
            <w:tcBorders>
              <w:top w:val="single" w:color="auto" w:sz="4" w:space="0"/>
              <w:left w:val="single" w:color="000000" w:sz="4" w:space="0"/>
              <w:bottom w:val="single" w:color="000000" w:sz="4" w:space="0"/>
              <w:right w:val="single" w:color="auto" w:sz="4" w:space="0"/>
            </w:tcBorders>
            <w:shd w:val="clear" w:color="auto" w:fill="auto"/>
            <w:vAlign w:val="center"/>
          </w:tcPr>
          <w:p w14:paraId="1A998BC7">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项目资金</w:t>
            </w:r>
          </w:p>
        </w:tc>
        <w:tc>
          <w:tcPr>
            <w:tcW w:w="1135" w:type="dxa"/>
            <w:tcBorders>
              <w:top w:val="single" w:color="auto" w:sz="4" w:space="0"/>
              <w:left w:val="single" w:color="auto" w:sz="4" w:space="0"/>
              <w:bottom w:val="single" w:color="auto" w:sz="4" w:space="0"/>
              <w:right w:val="nil"/>
            </w:tcBorders>
            <w:shd w:val="clear" w:color="auto" w:fill="auto"/>
            <w:vAlign w:val="bottom"/>
          </w:tcPr>
          <w:p w14:paraId="7AAA161F">
            <w:pPr>
              <w:rPr>
                <w:rFonts w:ascii="宋体" w:hAnsi="宋体" w:cs="Arial"/>
                <w:color w:val="000000"/>
                <w:kern w:val="0"/>
                <w:sz w:val="18"/>
                <w:szCs w:val="18"/>
              </w:rPr>
            </w:pPr>
          </w:p>
        </w:tc>
        <w:tc>
          <w:tcPr>
            <w:tcW w:w="240" w:type="dxa"/>
            <w:tcBorders>
              <w:top w:val="single" w:color="auto" w:sz="4" w:space="0"/>
              <w:left w:val="nil"/>
              <w:bottom w:val="single" w:color="auto" w:sz="4" w:space="0"/>
              <w:right w:val="single" w:color="auto" w:sz="4" w:space="0"/>
            </w:tcBorders>
            <w:shd w:val="clear" w:color="auto" w:fill="auto"/>
            <w:vAlign w:val="bottom"/>
          </w:tcPr>
          <w:p w14:paraId="5784BF0F"/>
        </w:tc>
        <w:tc>
          <w:tcPr>
            <w:tcW w:w="7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FCE228">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年初预算数</w:t>
            </w:r>
          </w:p>
        </w:tc>
        <w:tc>
          <w:tcPr>
            <w:tcW w:w="2306"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14:paraId="3038136B">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全年预算数</w:t>
            </w:r>
          </w:p>
        </w:tc>
        <w:tc>
          <w:tcPr>
            <w:tcW w:w="1538" w:type="dxa"/>
            <w:tcBorders>
              <w:top w:val="single" w:color="000000" w:sz="4" w:space="0"/>
              <w:left w:val="nil"/>
              <w:bottom w:val="single" w:color="000000" w:sz="4" w:space="0"/>
              <w:right w:val="single" w:color="000000" w:sz="4" w:space="0"/>
            </w:tcBorders>
            <w:shd w:val="clear" w:color="auto" w:fill="auto"/>
            <w:vAlign w:val="center"/>
          </w:tcPr>
          <w:p w14:paraId="79D91CFF">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全年执行数</w:t>
            </w:r>
          </w:p>
        </w:tc>
        <w:tc>
          <w:tcPr>
            <w:tcW w:w="2247" w:type="dxa"/>
            <w:gridSpan w:val="2"/>
            <w:tcBorders>
              <w:top w:val="single" w:color="000000" w:sz="4" w:space="0"/>
              <w:left w:val="nil"/>
              <w:bottom w:val="single" w:color="000000" w:sz="4" w:space="0"/>
              <w:right w:val="single" w:color="000000" w:sz="4" w:space="0"/>
            </w:tcBorders>
            <w:shd w:val="clear" w:color="auto" w:fill="auto"/>
            <w:vAlign w:val="center"/>
          </w:tcPr>
          <w:p w14:paraId="1B5FED40">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执行率</w:t>
            </w:r>
          </w:p>
        </w:tc>
      </w:tr>
      <w:tr w14:paraId="12C8AF75">
        <w:tblPrEx>
          <w:tblCellMar>
            <w:top w:w="0" w:type="dxa"/>
            <w:left w:w="108" w:type="dxa"/>
            <w:bottom w:w="0" w:type="dxa"/>
            <w:right w:w="108" w:type="dxa"/>
          </w:tblCellMar>
        </w:tblPrEx>
        <w:trPr>
          <w:gridAfter w:val="1"/>
          <w:wAfter w:w="28" w:type="dxa"/>
          <w:trHeight w:val="467" w:hRule="atLeast"/>
        </w:trPr>
        <w:tc>
          <w:tcPr>
            <w:tcW w:w="17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9D322E">
            <w:pPr>
              <w:keepNext w:val="0"/>
              <w:keepLines w:val="0"/>
              <w:widowControl/>
              <w:suppressLineNumbers w:val="0"/>
              <w:jc w:val="center"/>
              <w:textAlignment w:val="center"/>
              <w:rPr>
                <w:rFonts w:ascii="宋体" w:hAnsi="宋体" w:cs="Arial"/>
                <w:color w:val="000000"/>
                <w:kern w:val="0"/>
                <w:sz w:val="22"/>
                <w:szCs w:val="22"/>
              </w:rPr>
            </w:pPr>
            <w:r>
              <w:rPr>
                <w:rFonts w:hint="eastAsia" w:ascii="宋体" w:hAnsi="宋体" w:eastAsia="宋体" w:cs="宋体"/>
                <w:i w:val="0"/>
                <w:color w:val="000000"/>
                <w:kern w:val="0"/>
                <w:sz w:val="18"/>
                <w:szCs w:val="18"/>
                <w:u w:val="none"/>
                <w:lang w:val="en-US" w:eastAsia="zh-CN" w:bidi="ar"/>
              </w:rPr>
              <w:t>（万元）</w:t>
            </w:r>
          </w:p>
        </w:tc>
        <w:tc>
          <w:tcPr>
            <w:tcW w:w="1375" w:type="dxa"/>
            <w:gridSpan w:val="2"/>
            <w:tcBorders>
              <w:top w:val="single" w:color="auto" w:sz="4" w:space="0"/>
              <w:left w:val="nil"/>
              <w:bottom w:val="single" w:color="000000" w:sz="4" w:space="0"/>
              <w:right w:val="single" w:color="000000" w:sz="4" w:space="0"/>
            </w:tcBorders>
            <w:shd w:val="clear" w:color="auto" w:fill="auto"/>
            <w:vAlign w:val="center"/>
          </w:tcPr>
          <w:p w14:paraId="0EE00B85">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年度资金总额</w:t>
            </w:r>
          </w:p>
        </w:tc>
        <w:tc>
          <w:tcPr>
            <w:tcW w:w="723" w:type="dxa"/>
            <w:tcBorders>
              <w:top w:val="single" w:color="auto" w:sz="4" w:space="0"/>
              <w:left w:val="nil"/>
              <w:bottom w:val="single" w:color="000000" w:sz="4" w:space="0"/>
              <w:right w:val="single" w:color="000000" w:sz="4" w:space="0"/>
            </w:tcBorders>
            <w:shd w:val="clear" w:color="auto" w:fill="auto"/>
            <w:vAlign w:val="center"/>
          </w:tcPr>
          <w:p w14:paraId="0F9299D9">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232</w:t>
            </w:r>
          </w:p>
        </w:tc>
        <w:tc>
          <w:tcPr>
            <w:tcW w:w="2337" w:type="dxa"/>
            <w:gridSpan w:val="3"/>
            <w:tcBorders>
              <w:top w:val="nil"/>
              <w:left w:val="nil"/>
              <w:bottom w:val="single" w:color="000000" w:sz="4" w:space="0"/>
              <w:right w:val="single" w:color="000000" w:sz="4" w:space="0"/>
            </w:tcBorders>
            <w:shd w:val="clear" w:color="auto" w:fill="auto"/>
            <w:vAlign w:val="center"/>
          </w:tcPr>
          <w:p w14:paraId="72895876">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232</w:t>
            </w:r>
          </w:p>
        </w:tc>
        <w:tc>
          <w:tcPr>
            <w:tcW w:w="1538" w:type="dxa"/>
            <w:tcBorders>
              <w:top w:val="single" w:color="000000" w:sz="4" w:space="0"/>
              <w:left w:val="nil"/>
              <w:bottom w:val="single" w:color="000000" w:sz="4" w:space="0"/>
              <w:right w:val="single" w:color="000000" w:sz="4" w:space="0"/>
            </w:tcBorders>
            <w:shd w:val="clear" w:color="auto" w:fill="auto"/>
            <w:vAlign w:val="center"/>
          </w:tcPr>
          <w:p w14:paraId="49D6CBAC">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215.41</w:t>
            </w:r>
          </w:p>
        </w:tc>
        <w:tc>
          <w:tcPr>
            <w:tcW w:w="2219" w:type="dxa"/>
            <w:tcBorders>
              <w:top w:val="single" w:color="000000" w:sz="4" w:space="0"/>
              <w:left w:val="nil"/>
              <w:bottom w:val="single" w:color="000000" w:sz="4" w:space="0"/>
              <w:right w:val="single" w:color="000000" w:sz="4" w:space="0"/>
            </w:tcBorders>
            <w:shd w:val="clear" w:color="auto" w:fill="auto"/>
            <w:vAlign w:val="center"/>
          </w:tcPr>
          <w:p w14:paraId="3B00791D">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92.85%</w:t>
            </w:r>
          </w:p>
        </w:tc>
      </w:tr>
      <w:tr w14:paraId="463DFB44">
        <w:tblPrEx>
          <w:tblCellMar>
            <w:top w:w="0" w:type="dxa"/>
            <w:left w:w="108" w:type="dxa"/>
            <w:bottom w:w="0" w:type="dxa"/>
            <w:right w:w="108" w:type="dxa"/>
          </w:tblCellMar>
        </w:tblPrEx>
        <w:trPr>
          <w:gridAfter w:val="1"/>
          <w:wAfter w:w="28" w:type="dxa"/>
          <w:trHeight w:val="920" w:hRule="atLeast"/>
        </w:trPr>
        <w:tc>
          <w:tcPr>
            <w:tcW w:w="17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F57591">
            <w:pPr>
              <w:jc w:val="center"/>
              <w:rPr>
                <w:rFonts w:ascii="宋体" w:hAnsi="宋体" w:cs="Arial"/>
                <w:color w:val="000000"/>
                <w:kern w:val="0"/>
                <w:sz w:val="22"/>
                <w:szCs w:val="22"/>
              </w:rPr>
            </w:pPr>
          </w:p>
        </w:tc>
        <w:tc>
          <w:tcPr>
            <w:tcW w:w="1375" w:type="dxa"/>
            <w:gridSpan w:val="2"/>
            <w:tcBorders>
              <w:top w:val="single" w:color="000000" w:sz="4" w:space="0"/>
              <w:left w:val="nil"/>
              <w:bottom w:val="single" w:color="000000" w:sz="4" w:space="0"/>
              <w:right w:val="single" w:color="000000" w:sz="4" w:space="0"/>
            </w:tcBorders>
            <w:shd w:val="clear" w:color="auto" w:fill="auto"/>
            <w:vAlign w:val="center"/>
          </w:tcPr>
          <w:p w14:paraId="5380406D">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其中：当年财政拨款</w:t>
            </w:r>
          </w:p>
        </w:tc>
        <w:tc>
          <w:tcPr>
            <w:tcW w:w="723" w:type="dxa"/>
            <w:tcBorders>
              <w:top w:val="single" w:color="000000" w:sz="4" w:space="0"/>
              <w:left w:val="nil"/>
              <w:bottom w:val="single" w:color="000000" w:sz="4" w:space="0"/>
              <w:right w:val="single" w:color="000000" w:sz="4" w:space="0"/>
            </w:tcBorders>
            <w:shd w:val="clear" w:color="auto" w:fill="auto"/>
            <w:vAlign w:val="center"/>
          </w:tcPr>
          <w:p w14:paraId="20E6A36D">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232.00</w:t>
            </w:r>
          </w:p>
        </w:tc>
        <w:tc>
          <w:tcPr>
            <w:tcW w:w="2337" w:type="dxa"/>
            <w:gridSpan w:val="3"/>
            <w:tcBorders>
              <w:top w:val="nil"/>
              <w:left w:val="nil"/>
              <w:bottom w:val="single" w:color="000000" w:sz="4" w:space="0"/>
              <w:right w:val="single" w:color="000000" w:sz="4" w:space="0"/>
            </w:tcBorders>
            <w:shd w:val="clear" w:color="auto" w:fill="auto"/>
            <w:vAlign w:val="center"/>
          </w:tcPr>
          <w:p w14:paraId="2728586A">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232.00</w:t>
            </w:r>
          </w:p>
        </w:tc>
        <w:tc>
          <w:tcPr>
            <w:tcW w:w="1538" w:type="dxa"/>
            <w:tcBorders>
              <w:top w:val="single" w:color="000000" w:sz="4" w:space="0"/>
              <w:left w:val="nil"/>
              <w:bottom w:val="single" w:color="000000" w:sz="4" w:space="0"/>
              <w:right w:val="single" w:color="000000" w:sz="4" w:space="0"/>
            </w:tcBorders>
            <w:shd w:val="clear" w:color="auto" w:fill="auto"/>
            <w:vAlign w:val="center"/>
          </w:tcPr>
          <w:p w14:paraId="3C57F287">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215.41</w:t>
            </w:r>
          </w:p>
        </w:tc>
        <w:tc>
          <w:tcPr>
            <w:tcW w:w="2219" w:type="dxa"/>
            <w:tcBorders>
              <w:top w:val="single" w:color="000000" w:sz="4" w:space="0"/>
              <w:left w:val="nil"/>
              <w:bottom w:val="single" w:color="000000" w:sz="4" w:space="0"/>
              <w:right w:val="single" w:color="000000" w:sz="4" w:space="0"/>
            </w:tcBorders>
            <w:shd w:val="clear" w:color="auto" w:fill="auto"/>
            <w:vAlign w:val="center"/>
          </w:tcPr>
          <w:p w14:paraId="5383247E">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w:t>
            </w:r>
          </w:p>
        </w:tc>
      </w:tr>
      <w:tr w14:paraId="6F020F8A">
        <w:tblPrEx>
          <w:tblCellMar>
            <w:top w:w="0" w:type="dxa"/>
            <w:left w:w="108" w:type="dxa"/>
            <w:bottom w:w="0" w:type="dxa"/>
            <w:right w:w="108" w:type="dxa"/>
          </w:tblCellMar>
        </w:tblPrEx>
        <w:trPr>
          <w:gridAfter w:val="1"/>
          <w:wAfter w:w="28" w:type="dxa"/>
          <w:trHeight w:val="484" w:hRule="atLeast"/>
        </w:trPr>
        <w:tc>
          <w:tcPr>
            <w:tcW w:w="1704" w:type="dxa"/>
            <w:gridSpan w:val="2"/>
            <w:tcBorders>
              <w:top w:val="single" w:color="000000" w:sz="4" w:space="0"/>
              <w:left w:val="single" w:color="000000" w:sz="4" w:space="0"/>
              <w:bottom w:val="nil"/>
              <w:right w:val="single" w:color="000000" w:sz="4" w:space="0"/>
            </w:tcBorders>
            <w:shd w:val="clear" w:color="auto" w:fill="auto"/>
            <w:vAlign w:val="center"/>
          </w:tcPr>
          <w:p w14:paraId="1C9C1D36">
            <w:pPr>
              <w:jc w:val="center"/>
              <w:rPr>
                <w:rFonts w:ascii="宋体" w:hAnsi="宋体" w:cs="Arial"/>
                <w:color w:val="000000"/>
                <w:kern w:val="0"/>
                <w:sz w:val="22"/>
                <w:szCs w:val="22"/>
              </w:rPr>
            </w:pPr>
          </w:p>
        </w:tc>
        <w:tc>
          <w:tcPr>
            <w:tcW w:w="1375" w:type="dxa"/>
            <w:gridSpan w:val="2"/>
            <w:tcBorders>
              <w:top w:val="single" w:color="000000" w:sz="4" w:space="0"/>
              <w:left w:val="nil"/>
              <w:bottom w:val="nil"/>
              <w:right w:val="single" w:color="000000" w:sz="4" w:space="0"/>
            </w:tcBorders>
            <w:shd w:val="clear" w:color="auto" w:fill="auto"/>
            <w:vAlign w:val="center"/>
          </w:tcPr>
          <w:p w14:paraId="69BA9CA0">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 xml:space="preserve">      上年结转资金</w:t>
            </w:r>
          </w:p>
        </w:tc>
        <w:tc>
          <w:tcPr>
            <w:tcW w:w="723" w:type="dxa"/>
            <w:tcBorders>
              <w:top w:val="single" w:color="000000" w:sz="4" w:space="0"/>
              <w:left w:val="nil"/>
              <w:bottom w:val="nil"/>
              <w:right w:val="single" w:color="000000" w:sz="4" w:space="0"/>
            </w:tcBorders>
            <w:shd w:val="clear" w:color="auto" w:fill="auto"/>
            <w:vAlign w:val="center"/>
          </w:tcPr>
          <w:p w14:paraId="61CED427">
            <w:pPr>
              <w:jc w:val="center"/>
            </w:pPr>
            <w:r>
              <w:rPr>
                <w:rFonts w:hint="eastAsia" w:ascii="宋体" w:hAnsi="宋体" w:eastAsia="宋体" w:cs="宋体"/>
                <w:i w:val="0"/>
                <w:color w:val="000000"/>
                <w:kern w:val="0"/>
                <w:sz w:val="18"/>
                <w:szCs w:val="18"/>
                <w:u w:val="none"/>
                <w:lang w:val="en-US" w:eastAsia="zh-CN" w:bidi="ar"/>
              </w:rPr>
              <w:t>—</w:t>
            </w:r>
          </w:p>
        </w:tc>
        <w:tc>
          <w:tcPr>
            <w:tcW w:w="2337" w:type="dxa"/>
            <w:gridSpan w:val="3"/>
            <w:tcBorders>
              <w:top w:val="nil"/>
              <w:left w:val="nil"/>
              <w:bottom w:val="nil"/>
              <w:right w:val="single" w:color="000000" w:sz="4" w:space="0"/>
            </w:tcBorders>
            <w:shd w:val="clear" w:color="auto" w:fill="auto"/>
            <w:vAlign w:val="center"/>
          </w:tcPr>
          <w:p w14:paraId="3EF7F3EA">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w:t>
            </w:r>
          </w:p>
        </w:tc>
        <w:tc>
          <w:tcPr>
            <w:tcW w:w="1538" w:type="dxa"/>
            <w:tcBorders>
              <w:top w:val="single" w:color="000000" w:sz="4" w:space="0"/>
              <w:left w:val="nil"/>
              <w:bottom w:val="nil"/>
              <w:right w:val="single" w:color="000000" w:sz="4" w:space="0"/>
            </w:tcBorders>
            <w:shd w:val="clear" w:color="auto" w:fill="auto"/>
            <w:vAlign w:val="center"/>
          </w:tcPr>
          <w:p w14:paraId="51FD93D9">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w:t>
            </w:r>
          </w:p>
        </w:tc>
        <w:tc>
          <w:tcPr>
            <w:tcW w:w="2219" w:type="dxa"/>
            <w:tcBorders>
              <w:top w:val="single" w:color="000000" w:sz="4" w:space="0"/>
              <w:left w:val="nil"/>
              <w:bottom w:val="nil"/>
              <w:right w:val="single" w:color="000000" w:sz="4" w:space="0"/>
            </w:tcBorders>
            <w:shd w:val="clear" w:color="auto" w:fill="auto"/>
            <w:vAlign w:val="center"/>
          </w:tcPr>
          <w:p w14:paraId="35453480">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w:t>
            </w:r>
          </w:p>
        </w:tc>
      </w:tr>
      <w:tr w14:paraId="244EAEA9">
        <w:tblPrEx>
          <w:tblCellMar>
            <w:top w:w="0" w:type="dxa"/>
            <w:left w:w="108" w:type="dxa"/>
            <w:bottom w:w="0" w:type="dxa"/>
            <w:right w:w="108" w:type="dxa"/>
          </w:tblCellMar>
        </w:tblPrEx>
        <w:trPr>
          <w:gridAfter w:val="1"/>
          <w:wAfter w:w="28" w:type="dxa"/>
          <w:trHeight w:val="467" w:hRule="atLeast"/>
        </w:trPr>
        <w:tc>
          <w:tcPr>
            <w:tcW w:w="17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F67ED9">
            <w:pPr>
              <w:jc w:val="center"/>
              <w:rPr>
                <w:rFonts w:ascii="宋体" w:hAnsi="宋体" w:cs="Arial"/>
                <w:color w:val="000000"/>
                <w:kern w:val="0"/>
                <w:sz w:val="18"/>
                <w:szCs w:val="18"/>
              </w:rPr>
            </w:pPr>
          </w:p>
        </w:tc>
        <w:tc>
          <w:tcPr>
            <w:tcW w:w="1375" w:type="dxa"/>
            <w:gridSpan w:val="2"/>
            <w:tcBorders>
              <w:top w:val="single" w:color="auto" w:sz="4" w:space="0"/>
              <w:left w:val="nil"/>
              <w:bottom w:val="single" w:color="auto" w:sz="4" w:space="0"/>
              <w:right w:val="single" w:color="auto" w:sz="4" w:space="0"/>
            </w:tcBorders>
            <w:shd w:val="clear" w:color="auto" w:fill="auto"/>
            <w:vAlign w:val="center"/>
          </w:tcPr>
          <w:p w14:paraId="215E9549">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 xml:space="preserve">  其他资金</w:t>
            </w:r>
          </w:p>
        </w:tc>
        <w:tc>
          <w:tcPr>
            <w:tcW w:w="723" w:type="dxa"/>
            <w:tcBorders>
              <w:top w:val="single" w:color="auto" w:sz="4" w:space="0"/>
              <w:left w:val="nil"/>
              <w:bottom w:val="single" w:color="auto" w:sz="4" w:space="0"/>
              <w:right w:val="single" w:color="auto" w:sz="4" w:space="0"/>
            </w:tcBorders>
            <w:shd w:val="clear" w:color="auto" w:fill="auto"/>
            <w:vAlign w:val="center"/>
          </w:tcPr>
          <w:p w14:paraId="640DE2C9">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c>
          <w:tcPr>
            <w:tcW w:w="2337" w:type="dxa"/>
            <w:gridSpan w:val="3"/>
            <w:tcBorders>
              <w:top w:val="single" w:color="auto" w:sz="4" w:space="0"/>
              <w:left w:val="nil"/>
              <w:bottom w:val="single" w:color="auto" w:sz="4" w:space="0"/>
              <w:right w:val="single" w:color="auto" w:sz="4" w:space="0"/>
            </w:tcBorders>
            <w:shd w:val="clear" w:color="auto" w:fill="auto"/>
            <w:vAlign w:val="center"/>
          </w:tcPr>
          <w:p w14:paraId="1C459DEF">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c>
          <w:tcPr>
            <w:tcW w:w="1538" w:type="dxa"/>
            <w:tcBorders>
              <w:top w:val="single" w:color="auto" w:sz="4" w:space="0"/>
              <w:left w:val="nil"/>
              <w:bottom w:val="single" w:color="auto" w:sz="4" w:space="0"/>
              <w:right w:val="single" w:color="auto" w:sz="4" w:space="0"/>
            </w:tcBorders>
            <w:shd w:val="clear" w:color="auto" w:fill="auto"/>
            <w:vAlign w:val="center"/>
          </w:tcPr>
          <w:p w14:paraId="671891B1">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w:t>
            </w:r>
          </w:p>
        </w:tc>
        <w:tc>
          <w:tcPr>
            <w:tcW w:w="2219" w:type="dxa"/>
            <w:tcBorders>
              <w:top w:val="single" w:color="auto" w:sz="4" w:space="0"/>
              <w:left w:val="nil"/>
              <w:bottom w:val="single" w:color="auto" w:sz="4" w:space="0"/>
              <w:right w:val="single" w:color="auto" w:sz="4" w:space="0"/>
            </w:tcBorders>
            <w:shd w:val="clear" w:color="auto" w:fill="auto"/>
            <w:vAlign w:val="center"/>
          </w:tcPr>
          <w:p w14:paraId="024466EF">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14:paraId="27B1C199">
        <w:tblPrEx>
          <w:tblCellMar>
            <w:top w:w="0" w:type="dxa"/>
            <w:left w:w="108" w:type="dxa"/>
            <w:bottom w:w="0" w:type="dxa"/>
            <w:right w:w="108" w:type="dxa"/>
          </w:tblCellMar>
        </w:tblPrEx>
        <w:trPr>
          <w:gridAfter w:val="1"/>
          <w:wAfter w:w="28" w:type="dxa"/>
          <w:trHeight w:val="377" w:hRule="atLeast"/>
        </w:trPr>
        <w:tc>
          <w:tcPr>
            <w:tcW w:w="760" w:type="dxa"/>
            <w:vMerge w:val="restart"/>
            <w:tcBorders>
              <w:top w:val="single" w:color="auto" w:sz="4" w:space="0"/>
              <w:left w:val="single" w:color="auto" w:sz="4" w:space="0"/>
              <w:bottom w:val="single" w:color="auto" w:sz="4" w:space="0"/>
              <w:right w:val="single" w:color="auto" w:sz="4" w:space="0"/>
            </w:tcBorders>
            <w:vAlign w:val="center"/>
          </w:tcPr>
          <w:p w14:paraId="6DB394F3">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年度总体目标</w:t>
            </w:r>
          </w:p>
        </w:tc>
        <w:tc>
          <w:tcPr>
            <w:tcW w:w="5379" w:type="dxa"/>
            <w:gridSpan w:val="7"/>
            <w:tcBorders>
              <w:top w:val="single" w:color="auto" w:sz="4" w:space="0"/>
              <w:left w:val="nil"/>
              <w:bottom w:val="single" w:color="auto" w:sz="4" w:space="0"/>
              <w:right w:val="single" w:color="auto" w:sz="4" w:space="0"/>
            </w:tcBorders>
            <w:shd w:val="clear" w:color="auto" w:fill="auto"/>
            <w:vAlign w:val="center"/>
          </w:tcPr>
          <w:p w14:paraId="035C9180">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预期目标</w:t>
            </w:r>
          </w:p>
        </w:tc>
        <w:tc>
          <w:tcPr>
            <w:tcW w:w="3757" w:type="dxa"/>
            <w:gridSpan w:val="2"/>
            <w:tcBorders>
              <w:top w:val="single" w:color="auto" w:sz="4" w:space="0"/>
              <w:left w:val="nil"/>
              <w:bottom w:val="single" w:color="auto" w:sz="4" w:space="0"/>
              <w:right w:val="single" w:color="auto" w:sz="4" w:space="0"/>
            </w:tcBorders>
            <w:shd w:val="clear" w:color="auto" w:fill="auto"/>
            <w:vAlign w:val="center"/>
          </w:tcPr>
          <w:p w14:paraId="1A7CA234">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实际完成情况</w:t>
            </w:r>
          </w:p>
        </w:tc>
      </w:tr>
      <w:tr w14:paraId="35AC47AA">
        <w:tblPrEx>
          <w:tblCellMar>
            <w:top w:w="0" w:type="dxa"/>
            <w:left w:w="108" w:type="dxa"/>
            <w:bottom w:w="0" w:type="dxa"/>
            <w:right w:w="108" w:type="dxa"/>
          </w:tblCellMar>
        </w:tblPrEx>
        <w:trPr>
          <w:gridAfter w:val="1"/>
          <w:wAfter w:w="28" w:type="dxa"/>
          <w:trHeight w:val="920" w:hRule="atLeast"/>
        </w:trPr>
        <w:tc>
          <w:tcPr>
            <w:tcW w:w="760" w:type="dxa"/>
            <w:vMerge w:val="continue"/>
            <w:tcBorders>
              <w:top w:val="nil"/>
              <w:left w:val="single" w:color="auto" w:sz="4" w:space="0"/>
              <w:bottom w:val="single" w:color="auto" w:sz="4" w:space="0"/>
              <w:right w:val="single" w:color="auto" w:sz="4" w:space="0"/>
            </w:tcBorders>
            <w:shd w:val="clear" w:color="auto" w:fill="auto"/>
            <w:vAlign w:val="center"/>
          </w:tcPr>
          <w:p w14:paraId="013865B7">
            <w:pPr>
              <w:jc w:val="center"/>
              <w:rPr>
                <w:rFonts w:ascii="宋体" w:hAnsi="宋体" w:cs="Arial"/>
                <w:color w:val="000000"/>
                <w:kern w:val="0"/>
                <w:sz w:val="18"/>
                <w:szCs w:val="18"/>
              </w:rPr>
            </w:pPr>
          </w:p>
        </w:tc>
        <w:tc>
          <w:tcPr>
            <w:tcW w:w="5379"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748EC954">
            <w:pPr>
              <w:keepNext w:val="0"/>
              <w:keepLines w:val="0"/>
              <w:widowControl/>
              <w:suppressLineNumbers w:val="0"/>
              <w:jc w:val="left"/>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定期深入各县（市）调研指导，推动地区各项重点工作开展，保障地委机关正常运转。</w:t>
            </w:r>
          </w:p>
        </w:tc>
        <w:tc>
          <w:tcPr>
            <w:tcW w:w="37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9216BE">
            <w:pPr>
              <w:keepNext w:val="0"/>
              <w:keepLines w:val="0"/>
              <w:widowControl/>
              <w:suppressLineNumbers w:val="0"/>
              <w:jc w:val="left"/>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定期深入各县（市）调研指导，推动地区各项重点工作开展，保障地委机关正常运转。</w:t>
            </w:r>
          </w:p>
        </w:tc>
      </w:tr>
      <w:tr w14:paraId="4D1C6007">
        <w:tblPrEx>
          <w:tblCellMar>
            <w:top w:w="0" w:type="dxa"/>
            <w:left w:w="108" w:type="dxa"/>
            <w:bottom w:w="0" w:type="dxa"/>
            <w:right w:w="108" w:type="dxa"/>
          </w:tblCellMar>
        </w:tblPrEx>
        <w:trPr>
          <w:gridAfter w:val="1"/>
          <w:wAfter w:w="28" w:type="dxa"/>
          <w:trHeight w:val="467" w:hRule="atLeast"/>
        </w:trPr>
        <w:tc>
          <w:tcPr>
            <w:tcW w:w="760" w:type="dxa"/>
            <w:tcBorders>
              <w:top w:val="nil"/>
              <w:left w:val="single" w:color="auto" w:sz="4" w:space="0"/>
              <w:bottom w:val="single" w:color="auto" w:sz="4" w:space="0"/>
              <w:right w:val="single" w:color="auto" w:sz="4" w:space="0"/>
            </w:tcBorders>
            <w:vAlign w:val="center"/>
          </w:tcPr>
          <w:p w14:paraId="798918E7">
            <w:pPr>
              <w:jc w:val="center"/>
              <w:rPr>
                <w:rFonts w:ascii="宋体" w:hAnsi="宋体" w:cs="Arial"/>
                <w:color w:val="000000"/>
                <w:kern w:val="0"/>
                <w:sz w:val="18"/>
                <w:szCs w:val="18"/>
              </w:rPr>
            </w:pPr>
          </w:p>
        </w:tc>
        <w:tc>
          <w:tcPr>
            <w:tcW w:w="944" w:type="dxa"/>
            <w:tcBorders>
              <w:top w:val="nil"/>
              <w:left w:val="single" w:color="auto" w:sz="4" w:space="0"/>
              <w:bottom w:val="single" w:color="auto" w:sz="4" w:space="0"/>
              <w:right w:val="single" w:color="auto" w:sz="4" w:space="0"/>
            </w:tcBorders>
            <w:vAlign w:val="center"/>
          </w:tcPr>
          <w:p w14:paraId="42BBDA83">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一级指标</w:t>
            </w:r>
          </w:p>
        </w:tc>
        <w:tc>
          <w:tcPr>
            <w:tcW w:w="1135" w:type="dxa"/>
            <w:tcBorders>
              <w:top w:val="nil"/>
              <w:left w:val="single" w:color="auto" w:sz="4" w:space="0"/>
              <w:bottom w:val="single" w:color="auto" w:sz="4" w:space="0"/>
              <w:right w:val="single" w:color="auto" w:sz="4" w:space="0"/>
            </w:tcBorders>
            <w:vAlign w:val="center"/>
          </w:tcPr>
          <w:p w14:paraId="69A16360">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二级指标</w:t>
            </w:r>
          </w:p>
        </w:tc>
        <w:tc>
          <w:tcPr>
            <w:tcW w:w="1723" w:type="dxa"/>
            <w:gridSpan w:val="4"/>
            <w:tcBorders>
              <w:top w:val="nil"/>
              <w:left w:val="single" w:color="auto" w:sz="4" w:space="0"/>
              <w:bottom w:val="single" w:color="auto" w:sz="4" w:space="0"/>
              <w:right w:val="single" w:color="auto" w:sz="4" w:space="0"/>
            </w:tcBorders>
            <w:vAlign w:val="center"/>
          </w:tcPr>
          <w:p w14:paraId="365F6E92">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三级指标</w:t>
            </w:r>
          </w:p>
        </w:tc>
        <w:tc>
          <w:tcPr>
            <w:tcW w:w="1577" w:type="dxa"/>
            <w:tcBorders>
              <w:top w:val="single" w:color="auto" w:sz="4" w:space="0"/>
              <w:left w:val="single" w:color="auto" w:sz="4" w:space="0"/>
              <w:bottom w:val="single" w:color="auto" w:sz="4" w:space="0"/>
              <w:right w:val="single" w:color="auto" w:sz="4" w:space="0"/>
            </w:tcBorders>
            <w:vAlign w:val="center"/>
          </w:tcPr>
          <w:p w14:paraId="481181A3">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年度指标值</w:t>
            </w:r>
          </w:p>
        </w:tc>
        <w:tc>
          <w:tcPr>
            <w:tcW w:w="1538" w:type="dxa"/>
            <w:tcBorders>
              <w:top w:val="nil"/>
              <w:left w:val="single" w:color="auto" w:sz="4" w:space="0"/>
              <w:bottom w:val="single" w:color="auto" w:sz="4" w:space="0"/>
              <w:right w:val="single" w:color="auto" w:sz="4" w:space="0"/>
            </w:tcBorders>
            <w:vAlign w:val="center"/>
          </w:tcPr>
          <w:p w14:paraId="5BB6486B">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实际完成值</w:t>
            </w:r>
          </w:p>
        </w:tc>
        <w:tc>
          <w:tcPr>
            <w:tcW w:w="2219" w:type="dxa"/>
            <w:tcBorders>
              <w:top w:val="single" w:color="auto" w:sz="4" w:space="0"/>
              <w:left w:val="single" w:color="auto" w:sz="4" w:space="0"/>
              <w:bottom w:val="single" w:color="auto" w:sz="4" w:space="0"/>
              <w:right w:val="single" w:color="000000" w:sz="4" w:space="0"/>
            </w:tcBorders>
            <w:vAlign w:val="center"/>
          </w:tcPr>
          <w:p w14:paraId="640612BB">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偏差原因分析及改进措施</w:t>
            </w:r>
          </w:p>
        </w:tc>
      </w:tr>
      <w:tr w14:paraId="4AA44633">
        <w:tblPrEx>
          <w:tblCellMar>
            <w:top w:w="0" w:type="dxa"/>
            <w:left w:w="108" w:type="dxa"/>
            <w:bottom w:w="0" w:type="dxa"/>
            <w:right w:w="108" w:type="dxa"/>
          </w:tblCellMar>
        </w:tblPrEx>
        <w:trPr>
          <w:gridAfter w:val="1"/>
          <w:wAfter w:w="28" w:type="dxa"/>
          <w:trHeight w:val="558" w:hRule="atLeast"/>
        </w:trPr>
        <w:tc>
          <w:tcPr>
            <w:tcW w:w="7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AD5DE4">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年度绩效指标完成情况</w:t>
            </w:r>
          </w:p>
        </w:tc>
        <w:tc>
          <w:tcPr>
            <w:tcW w:w="94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97A0B0">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产出指标</w:t>
            </w:r>
          </w:p>
        </w:tc>
        <w:tc>
          <w:tcPr>
            <w:tcW w:w="137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141D78">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数量指标</w:t>
            </w:r>
          </w:p>
        </w:tc>
        <w:tc>
          <w:tcPr>
            <w:tcW w:w="148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5FF7CED">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完成调研次数</w:t>
            </w:r>
          </w:p>
        </w:tc>
        <w:tc>
          <w:tcPr>
            <w:tcW w:w="1577" w:type="dxa"/>
            <w:tcBorders>
              <w:top w:val="single" w:color="auto" w:sz="4" w:space="0"/>
              <w:left w:val="nil"/>
              <w:bottom w:val="single" w:color="auto" w:sz="4" w:space="0"/>
              <w:right w:val="single" w:color="auto" w:sz="4" w:space="0"/>
            </w:tcBorders>
            <w:shd w:val="clear" w:color="auto" w:fill="auto"/>
            <w:vAlign w:val="center"/>
          </w:tcPr>
          <w:p w14:paraId="76BDC31C">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≥55次</w:t>
            </w:r>
          </w:p>
        </w:tc>
        <w:tc>
          <w:tcPr>
            <w:tcW w:w="1538" w:type="dxa"/>
            <w:tcBorders>
              <w:top w:val="single" w:color="auto" w:sz="4" w:space="0"/>
              <w:left w:val="nil"/>
              <w:bottom w:val="single" w:color="auto" w:sz="4" w:space="0"/>
              <w:right w:val="single" w:color="auto" w:sz="4" w:space="0"/>
            </w:tcBorders>
            <w:shd w:val="clear" w:color="auto" w:fill="auto"/>
            <w:vAlign w:val="center"/>
          </w:tcPr>
          <w:p w14:paraId="2A08AD07">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55次</w:t>
            </w:r>
          </w:p>
        </w:tc>
        <w:tc>
          <w:tcPr>
            <w:tcW w:w="2219" w:type="dxa"/>
            <w:tcBorders>
              <w:top w:val="single" w:color="auto" w:sz="4" w:space="0"/>
              <w:left w:val="nil"/>
              <w:bottom w:val="single" w:color="auto" w:sz="4" w:space="0"/>
              <w:right w:val="single" w:color="000000" w:sz="4" w:space="0"/>
            </w:tcBorders>
            <w:shd w:val="clear" w:color="auto" w:fill="auto"/>
            <w:vAlign w:val="center"/>
          </w:tcPr>
          <w:p w14:paraId="1DB1543E">
            <w:pPr>
              <w:jc w:val="center"/>
              <w:rPr>
                <w:rFonts w:ascii="宋体" w:hAnsi="宋体" w:cs="Arial"/>
                <w:color w:val="000000"/>
                <w:kern w:val="0"/>
                <w:sz w:val="18"/>
                <w:szCs w:val="18"/>
              </w:rPr>
            </w:pPr>
          </w:p>
        </w:tc>
      </w:tr>
      <w:tr w14:paraId="264201D8">
        <w:tblPrEx>
          <w:tblCellMar>
            <w:top w:w="0" w:type="dxa"/>
            <w:left w:w="108" w:type="dxa"/>
            <w:bottom w:w="0" w:type="dxa"/>
            <w:right w:w="108" w:type="dxa"/>
          </w:tblCellMar>
        </w:tblPrEx>
        <w:trPr>
          <w:gridAfter w:val="1"/>
          <w:wAfter w:w="28" w:type="dxa"/>
          <w:trHeight w:val="558" w:hRule="atLeast"/>
        </w:trPr>
        <w:tc>
          <w:tcPr>
            <w:tcW w:w="760" w:type="dxa"/>
            <w:vMerge w:val="continue"/>
            <w:tcBorders>
              <w:top w:val="nil"/>
              <w:left w:val="single" w:color="auto" w:sz="4" w:space="0"/>
              <w:bottom w:val="single" w:color="auto" w:sz="4" w:space="0"/>
              <w:right w:val="single" w:color="auto" w:sz="4" w:space="0"/>
            </w:tcBorders>
            <w:vAlign w:val="center"/>
          </w:tcPr>
          <w:p w14:paraId="5A297945">
            <w:pPr>
              <w:jc w:val="center"/>
              <w:rPr>
                <w:rFonts w:ascii="宋体" w:hAnsi="宋体" w:cs="Arial"/>
                <w:color w:val="000000"/>
                <w:kern w:val="0"/>
                <w:sz w:val="18"/>
                <w:szCs w:val="18"/>
              </w:rPr>
            </w:pPr>
          </w:p>
        </w:tc>
        <w:tc>
          <w:tcPr>
            <w:tcW w:w="944" w:type="dxa"/>
            <w:vMerge w:val="continue"/>
            <w:tcBorders>
              <w:top w:val="nil"/>
              <w:left w:val="single" w:color="auto" w:sz="4" w:space="0"/>
              <w:bottom w:val="single" w:color="auto" w:sz="4" w:space="0"/>
              <w:right w:val="single" w:color="auto" w:sz="4" w:space="0"/>
            </w:tcBorders>
            <w:vAlign w:val="center"/>
          </w:tcPr>
          <w:p w14:paraId="687A7F92">
            <w:pPr>
              <w:jc w:val="center"/>
              <w:rPr>
                <w:rFonts w:ascii="宋体" w:hAnsi="宋体" w:cs="Arial"/>
                <w:color w:val="000000"/>
                <w:kern w:val="0"/>
                <w:sz w:val="18"/>
                <w:szCs w:val="18"/>
              </w:rPr>
            </w:pPr>
          </w:p>
        </w:tc>
        <w:tc>
          <w:tcPr>
            <w:tcW w:w="1375" w:type="dxa"/>
            <w:gridSpan w:val="2"/>
            <w:vMerge w:val="continue"/>
            <w:tcBorders>
              <w:top w:val="nil"/>
              <w:left w:val="single" w:color="auto" w:sz="4" w:space="0"/>
              <w:bottom w:val="single" w:color="auto" w:sz="4" w:space="0"/>
              <w:right w:val="single" w:color="auto" w:sz="4" w:space="0"/>
            </w:tcBorders>
            <w:vAlign w:val="center"/>
          </w:tcPr>
          <w:p w14:paraId="31AFF8EA">
            <w:pPr>
              <w:jc w:val="center"/>
              <w:rPr>
                <w:rFonts w:ascii="宋体" w:hAnsi="宋体" w:cs="Arial"/>
                <w:color w:val="000000"/>
                <w:kern w:val="0"/>
                <w:sz w:val="18"/>
                <w:szCs w:val="18"/>
              </w:rPr>
            </w:pPr>
          </w:p>
        </w:tc>
        <w:tc>
          <w:tcPr>
            <w:tcW w:w="1483" w:type="dxa"/>
            <w:gridSpan w:val="3"/>
            <w:tcBorders>
              <w:top w:val="single" w:color="auto" w:sz="4" w:space="0"/>
              <w:left w:val="single" w:color="auto" w:sz="4" w:space="0"/>
              <w:bottom w:val="single" w:color="auto" w:sz="4" w:space="0"/>
              <w:right w:val="single" w:color="auto" w:sz="4" w:space="0"/>
            </w:tcBorders>
            <w:vAlign w:val="center"/>
          </w:tcPr>
          <w:p w14:paraId="1D024077">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保障运转车辆辆数</w:t>
            </w:r>
          </w:p>
        </w:tc>
        <w:tc>
          <w:tcPr>
            <w:tcW w:w="1577" w:type="dxa"/>
            <w:tcBorders>
              <w:top w:val="single" w:color="auto" w:sz="4" w:space="0"/>
              <w:left w:val="nil"/>
              <w:bottom w:val="single" w:color="auto" w:sz="4" w:space="0"/>
              <w:right w:val="single" w:color="auto" w:sz="4" w:space="0"/>
            </w:tcBorders>
            <w:shd w:val="clear" w:color="auto" w:fill="auto"/>
            <w:vAlign w:val="center"/>
          </w:tcPr>
          <w:p w14:paraId="2BCAAF44">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≥15辆</w:t>
            </w:r>
          </w:p>
        </w:tc>
        <w:tc>
          <w:tcPr>
            <w:tcW w:w="1538" w:type="dxa"/>
            <w:tcBorders>
              <w:top w:val="single" w:color="auto" w:sz="4" w:space="0"/>
              <w:left w:val="nil"/>
              <w:bottom w:val="single" w:color="auto" w:sz="4" w:space="0"/>
              <w:right w:val="single" w:color="auto" w:sz="4" w:space="0"/>
            </w:tcBorders>
            <w:shd w:val="clear" w:color="auto" w:fill="auto"/>
            <w:vAlign w:val="center"/>
          </w:tcPr>
          <w:p w14:paraId="213B0177">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15辆</w:t>
            </w:r>
          </w:p>
        </w:tc>
        <w:tc>
          <w:tcPr>
            <w:tcW w:w="2219" w:type="dxa"/>
            <w:tcBorders>
              <w:top w:val="single" w:color="auto" w:sz="4" w:space="0"/>
              <w:left w:val="nil"/>
              <w:bottom w:val="single" w:color="auto" w:sz="4" w:space="0"/>
              <w:right w:val="single" w:color="000000" w:sz="4" w:space="0"/>
            </w:tcBorders>
            <w:shd w:val="clear" w:color="auto" w:fill="auto"/>
            <w:vAlign w:val="center"/>
          </w:tcPr>
          <w:p w14:paraId="3FB41952">
            <w:pPr>
              <w:jc w:val="center"/>
              <w:rPr>
                <w:rFonts w:ascii="宋体" w:hAnsi="宋体" w:cs="Arial"/>
                <w:color w:val="000000"/>
                <w:kern w:val="0"/>
                <w:sz w:val="18"/>
                <w:szCs w:val="18"/>
              </w:rPr>
            </w:pPr>
          </w:p>
        </w:tc>
      </w:tr>
      <w:tr w14:paraId="6DCECC26">
        <w:tblPrEx>
          <w:tblCellMar>
            <w:top w:w="0" w:type="dxa"/>
            <w:left w:w="108" w:type="dxa"/>
            <w:bottom w:w="0" w:type="dxa"/>
            <w:right w:w="108" w:type="dxa"/>
          </w:tblCellMar>
        </w:tblPrEx>
        <w:trPr>
          <w:gridAfter w:val="1"/>
          <w:wAfter w:w="28" w:type="dxa"/>
          <w:trHeight w:val="558" w:hRule="atLeast"/>
        </w:trPr>
        <w:tc>
          <w:tcPr>
            <w:tcW w:w="760" w:type="dxa"/>
            <w:vMerge w:val="continue"/>
            <w:tcBorders>
              <w:top w:val="nil"/>
              <w:left w:val="single" w:color="auto" w:sz="4" w:space="0"/>
              <w:bottom w:val="single" w:color="auto" w:sz="4" w:space="0"/>
              <w:right w:val="single" w:color="auto" w:sz="4" w:space="0"/>
            </w:tcBorders>
            <w:vAlign w:val="center"/>
          </w:tcPr>
          <w:p w14:paraId="4D472DAB">
            <w:pPr>
              <w:jc w:val="center"/>
              <w:rPr>
                <w:rFonts w:ascii="宋体" w:hAnsi="宋体" w:cs="Arial"/>
                <w:color w:val="000000"/>
                <w:kern w:val="0"/>
                <w:sz w:val="18"/>
                <w:szCs w:val="18"/>
              </w:rPr>
            </w:pPr>
          </w:p>
        </w:tc>
        <w:tc>
          <w:tcPr>
            <w:tcW w:w="944" w:type="dxa"/>
            <w:vMerge w:val="continue"/>
            <w:tcBorders>
              <w:top w:val="nil"/>
              <w:left w:val="single" w:color="auto" w:sz="4" w:space="0"/>
              <w:bottom w:val="single" w:color="auto" w:sz="4" w:space="0"/>
              <w:right w:val="single" w:color="auto" w:sz="4" w:space="0"/>
            </w:tcBorders>
            <w:vAlign w:val="center"/>
          </w:tcPr>
          <w:p w14:paraId="1AD82FBF">
            <w:pPr>
              <w:jc w:val="center"/>
              <w:rPr>
                <w:rFonts w:ascii="宋体" w:hAnsi="宋体" w:cs="Arial"/>
                <w:color w:val="000000"/>
                <w:kern w:val="0"/>
                <w:sz w:val="18"/>
                <w:szCs w:val="18"/>
              </w:rPr>
            </w:pPr>
          </w:p>
        </w:tc>
        <w:tc>
          <w:tcPr>
            <w:tcW w:w="1375" w:type="dxa"/>
            <w:gridSpan w:val="2"/>
            <w:vMerge w:val="continue"/>
            <w:tcBorders>
              <w:top w:val="nil"/>
              <w:left w:val="single" w:color="auto" w:sz="4" w:space="0"/>
              <w:bottom w:val="single" w:color="auto" w:sz="4" w:space="0"/>
              <w:right w:val="single" w:color="auto" w:sz="4" w:space="0"/>
            </w:tcBorders>
            <w:vAlign w:val="center"/>
          </w:tcPr>
          <w:p w14:paraId="5B77CDD2">
            <w:pPr>
              <w:jc w:val="center"/>
              <w:rPr>
                <w:rFonts w:ascii="宋体" w:hAnsi="宋体" w:cs="Arial"/>
                <w:color w:val="000000"/>
                <w:kern w:val="0"/>
                <w:sz w:val="18"/>
                <w:szCs w:val="18"/>
              </w:rPr>
            </w:pPr>
          </w:p>
        </w:tc>
        <w:tc>
          <w:tcPr>
            <w:tcW w:w="1483" w:type="dxa"/>
            <w:gridSpan w:val="3"/>
            <w:tcBorders>
              <w:top w:val="nil"/>
              <w:left w:val="single" w:color="auto" w:sz="4" w:space="0"/>
              <w:bottom w:val="single" w:color="auto" w:sz="4" w:space="0"/>
              <w:right w:val="single" w:color="auto" w:sz="4" w:space="0"/>
            </w:tcBorders>
            <w:vAlign w:val="center"/>
          </w:tcPr>
          <w:p w14:paraId="7E8BE8F7">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保障用餐人数</w:t>
            </w:r>
          </w:p>
        </w:tc>
        <w:tc>
          <w:tcPr>
            <w:tcW w:w="1577" w:type="dxa"/>
            <w:tcBorders>
              <w:top w:val="single" w:color="auto" w:sz="4" w:space="0"/>
              <w:left w:val="nil"/>
              <w:bottom w:val="single" w:color="auto" w:sz="4" w:space="0"/>
              <w:right w:val="single" w:color="auto" w:sz="4" w:space="0"/>
            </w:tcBorders>
            <w:shd w:val="clear" w:color="auto" w:fill="auto"/>
            <w:vAlign w:val="center"/>
          </w:tcPr>
          <w:p w14:paraId="3DFD7166">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≥100人</w:t>
            </w:r>
          </w:p>
        </w:tc>
        <w:tc>
          <w:tcPr>
            <w:tcW w:w="1538" w:type="dxa"/>
            <w:tcBorders>
              <w:top w:val="nil"/>
              <w:left w:val="nil"/>
              <w:bottom w:val="single" w:color="auto" w:sz="4" w:space="0"/>
              <w:right w:val="single" w:color="auto" w:sz="4" w:space="0"/>
            </w:tcBorders>
            <w:shd w:val="clear" w:color="auto" w:fill="auto"/>
            <w:vAlign w:val="center"/>
          </w:tcPr>
          <w:p w14:paraId="2541FD58">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120人</w:t>
            </w:r>
          </w:p>
        </w:tc>
        <w:tc>
          <w:tcPr>
            <w:tcW w:w="2219" w:type="dxa"/>
            <w:tcBorders>
              <w:top w:val="single" w:color="auto" w:sz="4" w:space="0"/>
              <w:left w:val="nil"/>
              <w:bottom w:val="single" w:color="auto" w:sz="4" w:space="0"/>
              <w:right w:val="single" w:color="000000" w:sz="4" w:space="0"/>
            </w:tcBorders>
            <w:shd w:val="clear" w:color="auto" w:fill="auto"/>
            <w:vAlign w:val="center"/>
          </w:tcPr>
          <w:p w14:paraId="761069EA">
            <w:pPr>
              <w:jc w:val="center"/>
              <w:rPr>
                <w:rFonts w:ascii="宋体" w:hAnsi="宋体" w:cs="Arial"/>
                <w:color w:val="000000"/>
                <w:kern w:val="0"/>
                <w:sz w:val="18"/>
                <w:szCs w:val="18"/>
              </w:rPr>
            </w:pPr>
          </w:p>
        </w:tc>
      </w:tr>
      <w:tr w14:paraId="0615BBE3">
        <w:tblPrEx>
          <w:tblCellMar>
            <w:top w:w="0" w:type="dxa"/>
            <w:left w:w="108" w:type="dxa"/>
            <w:bottom w:w="0" w:type="dxa"/>
            <w:right w:w="108" w:type="dxa"/>
          </w:tblCellMar>
        </w:tblPrEx>
        <w:trPr>
          <w:gridAfter w:val="1"/>
          <w:wAfter w:w="28" w:type="dxa"/>
          <w:trHeight w:val="920" w:hRule="atLeast"/>
        </w:trPr>
        <w:tc>
          <w:tcPr>
            <w:tcW w:w="760" w:type="dxa"/>
            <w:vMerge w:val="continue"/>
            <w:tcBorders>
              <w:top w:val="nil"/>
              <w:left w:val="single" w:color="auto" w:sz="4" w:space="0"/>
              <w:bottom w:val="single" w:color="auto" w:sz="4" w:space="0"/>
              <w:right w:val="single" w:color="auto" w:sz="4" w:space="0"/>
            </w:tcBorders>
            <w:vAlign w:val="center"/>
          </w:tcPr>
          <w:p w14:paraId="6AD525DA">
            <w:pPr>
              <w:jc w:val="center"/>
              <w:rPr>
                <w:rFonts w:ascii="宋体" w:hAnsi="宋体" w:cs="Arial"/>
                <w:color w:val="000000"/>
                <w:kern w:val="0"/>
                <w:sz w:val="18"/>
                <w:szCs w:val="18"/>
              </w:rPr>
            </w:pPr>
          </w:p>
        </w:tc>
        <w:tc>
          <w:tcPr>
            <w:tcW w:w="944" w:type="dxa"/>
            <w:vMerge w:val="continue"/>
            <w:tcBorders>
              <w:top w:val="nil"/>
              <w:left w:val="single" w:color="auto" w:sz="4" w:space="0"/>
              <w:bottom w:val="single" w:color="auto" w:sz="4" w:space="0"/>
              <w:right w:val="single" w:color="auto" w:sz="4" w:space="0"/>
            </w:tcBorders>
            <w:vAlign w:val="center"/>
          </w:tcPr>
          <w:p w14:paraId="03B559FD">
            <w:pPr>
              <w:jc w:val="center"/>
              <w:rPr>
                <w:rFonts w:ascii="宋体" w:hAnsi="宋体" w:cs="Arial"/>
                <w:color w:val="000000"/>
                <w:kern w:val="0"/>
                <w:sz w:val="18"/>
                <w:szCs w:val="18"/>
              </w:rPr>
            </w:pPr>
          </w:p>
        </w:tc>
        <w:tc>
          <w:tcPr>
            <w:tcW w:w="1375" w:type="dxa"/>
            <w:gridSpan w:val="2"/>
            <w:vMerge w:val="continue"/>
            <w:tcBorders>
              <w:top w:val="nil"/>
              <w:left w:val="single" w:color="auto" w:sz="4" w:space="0"/>
              <w:bottom w:val="single" w:color="auto" w:sz="4" w:space="0"/>
              <w:right w:val="single" w:color="auto" w:sz="4" w:space="0"/>
            </w:tcBorders>
            <w:vAlign w:val="center"/>
          </w:tcPr>
          <w:p w14:paraId="7E1E622D">
            <w:pPr>
              <w:jc w:val="center"/>
              <w:rPr>
                <w:rFonts w:ascii="宋体" w:hAnsi="宋体" w:cs="Arial"/>
                <w:color w:val="000000"/>
                <w:kern w:val="0"/>
                <w:sz w:val="18"/>
                <w:szCs w:val="18"/>
              </w:rPr>
            </w:pPr>
          </w:p>
        </w:tc>
        <w:tc>
          <w:tcPr>
            <w:tcW w:w="1483" w:type="dxa"/>
            <w:gridSpan w:val="3"/>
            <w:tcBorders>
              <w:top w:val="nil"/>
              <w:left w:val="single" w:color="auto" w:sz="4" w:space="0"/>
              <w:bottom w:val="single" w:color="auto" w:sz="4" w:space="0"/>
              <w:right w:val="single" w:color="auto" w:sz="4" w:space="0"/>
            </w:tcBorders>
            <w:vAlign w:val="center"/>
          </w:tcPr>
          <w:p w14:paraId="5B31D8EF">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保障临时工工资人数</w:t>
            </w:r>
          </w:p>
        </w:tc>
        <w:tc>
          <w:tcPr>
            <w:tcW w:w="1577" w:type="dxa"/>
            <w:tcBorders>
              <w:top w:val="single" w:color="auto" w:sz="4" w:space="0"/>
              <w:left w:val="nil"/>
              <w:bottom w:val="single" w:color="auto" w:sz="4" w:space="0"/>
              <w:right w:val="single" w:color="auto" w:sz="4" w:space="0"/>
            </w:tcBorders>
            <w:shd w:val="clear" w:color="auto" w:fill="auto"/>
            <w:vAlign w:val="center"/>
          </w:tcPr>
          <w:p w14:paraId="1D5A0294">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=8人</w:t>
            </w:r>
          </w:p>
        </w:tc>
        <w:tc>
          <w:tcPr>
            <w:tcW w:w="1538" w:type="dxa"/>
            <w:tcBorders>
              <w:top w:val="nil"/>
              <w:left w:val="nil"/>
              <w:bottom w:val="single" w:color="auto" w:sz="4" w:space="0"/>
              <w:right w:val="single" w:color="auto" w:sz="4" w:space="0"/>
            </w:tcBorders>
            <w:shd w:val="clear" w:color="auto" w:fill="auto"/>
            <w:vAlign w:val="center"/>
          </w:tcPr>
          <w:p w14:paraId="35959181">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8人</w:t>
            </w:r>
          </w:p>
        </w:tc>
        <w:tc>
          <w:tcPr>
            <w:tcW w:w="2219" w:type="dxa"/>
            <w:tcBorders>
              <w:top w:val="single" w:color="auto" w:sz="4" w:space="0"/>
              <w:left w:val="nil"/>
              <w:bottom w:val="single" w:color="auto" w:sz="4" w:space="0"/>
              <w:right w:val="single" w:color="000000" w:sz="4" w:space="0"/>
            </w:tcBorders>
            <w:shd w:val="clear" w:color="auto" w:fill="auto"/>
            <w:vAlign w:val="center"/>
          </w:tcPr>
          <w:p w14:paraId="53163ABD">
            <w:pPr>
              <w:jc w:val="center"/>
              <w:rPr>
                <w:rFonts w:ascii="宋体" w:hAnsi="宋体" w:cs="Arial"/>
                <w:color w:val="000000"/>
                <w:kern w:val="0"/>
                <w:sz w:val="18"/>
                <w:szCs w:val="18"/>
              </w:rPr>
            </w:pPr>
          </w:p>
        </w:tc>
      </w:tr>
      <w:tr w14:paraId="4475D0F7">
        <w:tblPrEx>
          <w:tblCellMar>
            <w:top w:w="0" w:type="dxa"/>
            <w:left w:w="108" w:type="dxa"/>
            <w:bottom w:w="0" w:type="dxa"/>
            <w:right w:w="108" w:type="dxa"/>
          </w:tblCellMar>
        </w:tblPrEx>
        <w:trPr>
          <w:gridAfter w:val="1"/>
          <w:wAfter w:w="28" w:type="dxa"/>
          <w:trHeight w:val="920" w:hRule="atLeast"/>
        </w:trPr>
        <w:tc>
          <w:tcPr>
            <w:tcW w:w="760" w:type="dxa"/>
            <w:vMerge w:val="continue"/>
            <w:tcBorders>
              <w:top w:val="nil"/>
              <w:left w:val="single" w:color="auto" w:sz="4" w:space="0"/>
              <w:bottom w:val="single" w:color="auto" w:sz="4" w:space="0"/>
              <w:right w:val="single" w:color="auto" w:sz="4" w:space="0"/>
            </w:tcBorders>
            <w:vAlign w:val="center"/>
          </w:tcPr>
          <w:p w14:paraId="2F3327C0">
            <w:pPr>
              <w:jc w:val="center"/>
              <w:rPr>
                <w:rFonts w:ascii="宋体" w:hAnsi="宋体" w:cs="Arial"/>
                <w:color w:val="000000"/>
                <w:kern w:val="0"/>
                <w:sz w:val="18"/>
                <w:szCs w:val="18"/>
              </w:rPr>
            </w:pPr>
          </w:p>
        </w:tc>
        <w:tc>
          <w:tcPr>
            <w:tcW w:w="944" w:type="dxa"/>
            <w:vMerge w:val="continue"/>
            <w:tcBorders>
              <w:top w:val="nil"/>
              <w:left w:val="single" w:color="auto" w:sz="4" w:space="0"/>
              <w:bottom w:val="single" w:color="auto" w:sz="4" w:space="0"/>
              <w:right w:val="single" w:color="auto" w:sz="4" w:space="0"/>
            </w:tcBorders>
            <w:vAlign w:val="center"/>
          </w:tcPr>
          <w:p w14:paraId="29A413E0">
            <w:pPr>
              <w:jc w:val="center"/>
              <w:rPr>
                <w:rFonts w:ascii="宋体" w:hAnsi="宋体" w:cs="Arial"/>
                <w:color w:val="000000"/>
                <w:kern w:val="0"/>
                <w:sz w:val="18"/>
                <w:szCs w:val="18"/>
              </w:rPr>
            </w:pPr>
          </w:p>
        </w:tc>
        <w:tc>
          <w:tcPr>
            <w:tcW w:w="137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89D480">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质量指标</w:t>
            </w:r>
          </w:p>
        </w:tc>
        <w:tc>
          <w:tcPr>
            <w:tcW w:w="148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8890ACE">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调研指导县（市）覆盖率</w:t>
            </w:r>
          </w:p>
        </w:tc>
        <w:tc>
          <w:tcPr>
            <w:tcW w:w="1577" w:type="dxa"/>
            <w:tcBorders>
              <w:top w:val="single" w:color="auto" w:sz="4" w:space="0"/>
              <w:left w:val="nil"/>
              <w:bottom w:val="single" w:color="auto" w:sz="4" w:space="0"/>
              <w:right w:val="single" w:color="auto" w:sz="4" w:space="0"/>
            </w:tcBorders>
            <w:shd w:val="clear" w:color="auto" w:fill="auto"/>
            <w:vAlign w:val="center"/>
          </w:tcPr>
          <w:p w14:paraId="0AC33261">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=100%</w:t>
            </w:r>
          </w:p>
        </w:tc>
        <w:tc>
          <w:tcPr>
            <w:tcW w:w="1538" w:type="dxa"/>
            <w:tcBorders>
              <w:top w:val="single" w:color="auto" w:sz="4" w:space="0"/>
              <w:left w:val="nil"/>
              <w:bottom w:val="single" w:color="auto" w:sz="4" w:space="0"/>
              <w:right w:val="single" w:color="auto" w:sz="4" w:space="0"/>
            </w:tcBorders>
            <w:shd w:val="clear" w:color="auto" w:fill="auto"/>
            <w:vAlign w:val="center"/>
          </w:tcPr>
          <w:p w14:paraId="5C54E516">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100%</w:t>
            </w:r>
          </w:p>
        </w:tc>
        <w:tc>
          <w:tcPr>
            <w:tcW w:w="2219" w:type="dxa"/>
            <w:tcBorders>
              <w:top w:val="single" w:color="auto" w:sz="4" w:space="0"/>
              <w:left w:val="nil"/>
              <w:bottom w:val="single" w:color="auto" w:sz="4" w:space="0"/>
              <w:right w:val="single" w:color="000000" w:sz="4" w:space="0"/>
            </w:tcBorders>
            <w:shd w:val="clear" w:color="auto" w:fill="auto"/>
            <w:vAlign w:val="center"/>
          </w:tcPr>
          <w:p w14:paraId="3E530AD4">
            <w:pPr>
              <w:jc w:val="center"/>
              <w:rPr>
                <w:rFonts w:ascii="宋体" w:hAnsi="宋体" w:cs="Arial"/>
                <w:color w:val="000000"/>
                <w:kern w:val="0"/>
                <w:sz w:val="18"/>
                <w:szCs w:val="18"/>
              </w:rPr>
            </w:pPr>
          </w:p>
        </w:tc>
      </w:tr>
      <w:tr w14:paraId="758E8A71">
        <w:tblPrEx>
          <w:tblCellMar>
            <w:top w:w="0" w:type="dxa"/>
            <w:left w:w="108" w:type="dxa"/>
            <w:bottom w:w="0" w:type="dxa"/>
            <w:right w:w="108" w:type="dxa"/>
          </w:tblCellMar>
        </w:tblPrEx>
        <w:trPr>
          <w:gridAfter w:val="1"/>
          <w:wAfter w:w="28" w:type="dxa"/>
          <w:trHeight w:val="558" w:hRule="atLeast"/>
        </w:trPr>
        <w:tc>
          <w:tcPr>
            <w:tcW w:w="760" w:type="dxa"/>
            <w:vMerge w:val="continue"/>
            <w:tcBorders>
              <w:top w:val="nil"/>
              <w:left w:val="single" w:color="auto" w:sz="4" w:space="0"/>
              <w:bottom w:val="single" w:color="auto" w:sz="4" w:space="0"/>
              <w:right w:val="single" w:color="auto" w:sz="4" w:space="0"/>
            </w:tcBorders>
            <w:vAlign w:val="center"/>
          </w:tcPr>
          <w:p w14:paraId="557F3E03">
            <w:pPr>
              <w:jc w:val="center"/>
              <w:rPr>
                <w:rFonts w:ascii="宋体" w:hAnsi="宋体" w:cs="Arial"/>
                <w:color w:val="000000"/>
                <w:kern w:val="0"/>
                <w:sz w:val="18"/>
                <w:szCs w:val="18"/>
              </w:rPr>
            </w:pP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4FCEC4DC">
            <w:pPr>
              <w:jc w:val="center"/>
              <w:rPr>
                <w:rFonts w:ascii="宋体" w:hAnsi="宋体" w:cs="Arial"/>
                <w:color w:val="000000"/>
                <w:kern w:val="0"/>
                <w:sz w:val="18"/>
                <w:szCs w:val="18"/>
              </w:rPr>
            </w:pPr>
          </w:p>
        </w:tc>
        <w:tc>
          <w:tcPr>
            <w:tcW w:w="1375" w:type="dxa"/>
            <w:gridSpan w:val="2"/>
            <w:vMerge w:val="continue"/>
            <w:tcBorders>
              <w:top w:val="single" w:color="auto" w:sz="4" w:space="0"/>
              <w:left w:val="single" w:color="auto" w:sz="4" w:space="0"/>
              <w:bottom w:val="single" w:color="auto" w:sz="4" w:space="0"/>
              <w:right w:val="single" w:color="auto" w:sz="4" w:space="0"/>
            </w:tcBorders>
            <w:vAlign w:val="center"/>
          </w:tcPr>
          <w:p w14:paraId="6F6AA666">
            <w:pPr>
              <w:jc w:val="center"/>
              <w:rPr>
                <w:rFonts w:ascii="宋体" w:hAnsi="宋体" w:cs="Arial"/>
                <w:color w:val="000000"/>
                <w:kern w:val="0"/>
                <w:sz w:val="18"/>
                <w:szCs w:val="18"/>
              </w:rPr>
            </w:pPr>
          </w:p>
        </w:tc>
        <w:tc>
          <w:tcPr>
            <w:tcW w:w="1483" w:type="dxa"/>
            <w:gridSpan w:val="3"/>
            <w:tcBorders>
              <w:top w:val="single" w:color="auto" w:sz="4" w:space="0"/>
              <w:left w:val="single" w:color="auto" w:sz="4" w:space="0"/>
              <w:bottom w:val="single" w:color="auto" w:sz="4" w:space="0"/>
              <w:right w:val="single" w:color="auto" w:sz="4" w:space="0"/>
            </w:tcBorders>
            <w:vAlign w:val="center"/>
          </w:tcPr>
          <w:p w14:paraId="5D6E1E00">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保障车辆覆盖率</w:t>
            </w:r>
          </w:p>
        </w:tc>
        <w:tc>
          <w:tcPr>
            <w:tcW w:w="1577" w:type="dxa"/>
            <w:tcBorders>
              <w:top w:val="single" w:color="auto" w:sz="4" w:space="0"/>
              <w:left w:val="nil"/>
              <w:bottom w:val="single" w:color="auto" w:sz="4" w:space="0"/>
              <w:right w:val="single" w:color="auto" w:sz="4" w:space="0"/>
            </w:tcBorders>
            <w:shd w:val="clear" w:color="auto" w:fill="auto"/>
            <w:vAlign w:val="center"/>
          </w:tcPr>
          <w:p w14:paraId="1AE163E4">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=100%</w:t>
            </w:r>
          </w:p>
        </w:tc>
        <w:tc>
          <w:tcPr>
            <w:tcW w:w="1538" w:type="dxa"/>
            <w:tcBorders>
              <w:top w:val="single" w:color="auto" w:sz="4" w:space="0"/>
              <w:left w:val="nil"/>
              <w:bottom w:val="single" w:color="auto" w:sz="4" w:space="0"/>
              <w:right w:val="single" w:color="auto" w:sz="4" w:space="0"/>
            </w:tcBorders>
            <w:shd w:val="clear" w:color="auto" w:fill="auto"/>
            <w:vAlign w:val="center"/>
          </w:tcPr>
          <w:p w14:paraId="1A2D1F59">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100%</w:t>
            </w:r>
          </w:p>
        </w:tc>
        <w:tc>
          <w:tcPr>
            <w:tcW w:w="2219" w:type="dxa"/>
            <w:tcBorders>
              <w:top w:val="single" w:color="auto" w:sz="4" w:space="0"/>
              <w:left w:val="nil"/>
              <w:bottom w:val="single" w:color="auto" w:sz="4" w:space="0"/>
              <w:right w:val="single" w:color="000000" w:sz="4" w:space="0"/>
            </w:tcBorders>
            <w:shd w:val="clear" w:color="auto" w:fill="auto"/>
            <w:vAlign w:val="center"/>
          </w:tcPr>
          <w:p w14:paraId="63557FF2">
            <w:pPr>
              <w:jc w:val="center"/>
              <w:rPr>
                <w:rFonts w:ascii="宋体" w:hAnsi="宋体" w:cs="Arial"/>
                <w:color w:val="000000"/>
                <w:kern w:val="0"/>
                <w:sz w:val="18"/>
                <w:szCs w:val="18"/>
              </w:rPr>
            </w:pPr>
          </w:p>
        </w:tc>
      </w:tr>
      <w:tr w14:paraId="5DE8B446">
        <w:tblPrEx>
          <w:tblCellMar>
            <w:top w:w="0" w:type="dxa"/>
            <w:left w:w="108" w:type="dxa"/>
            <w:bottom w:w="0" w:type="dxa"/>
            <w:right w:w="108" w:type="dxa"/>
          </w:tblCellMar>
        </w:tblPrEx>
        <w:trPr>
          <w:gridAfter w:val="1"/>
          <w:wAfter w:w="28" w:type="dxa"/>
          <w:trHeight w:val="558" w:hRule="atLeast"/>
        </w:trPr>
        <w:tc>
          <w:tcPr>
            <w:tcW w:w="760" w:type="dxa"/>
            <w:vMerge w:val="continue"/>
            <w:tcBorders>
              <w:top w:val="nil"/>
              <w:left w:val="single" w:color="auto" w:sz="4" w:space="0"/>
              <w:bottom w:val="single" w:color="auto" w:sz="4" w:space="0"/>
              <w:right w:val="single" w:color="auto" w:sz="4" w:space="0"/>
            </w:tcBorders>
            <w:vAlign w:val="center"/>
          </w:tcPr>
          <w:p w14:paraId="18A3C647">
            <w:pPr>
              <w:jc w:val="center"/>
              <w:rPr>
                <w:rFonts w:ascii="宋体" w:hAnsi="宋体" w:cs="Arial"/>
                <w:color w:val="000000"/>
                <w:kern w:val="0"/>
                <w:sz w:val="18"/>
                <w:szCs w:val="18"/>
              </w:rPr>
            </w:pPr>
          </w:p>
        </w:tc>
        <w:tc>
          <w:tcPr>
            <w:tcW w:w="944" w:type="dxa"/>
            <w:vMerge w:val="continue"/>
            <w:tcBorders>
              <w:top w:val="nil"/>
              <w:left w:val="single" w:color="auto" w:sz="4" w:space="0"/>
              <w:bottom w:val="single" w:color="auto" w:sz="4" w:space="0"/>
              <w:right w:val="single" w:color="auto" w:sz="4" w:space="0"/>
            </w:tcBorders>
            <w:vAlign w:val="center"/>
          </w:tcPr>
          <w:p w14:paraId="013D27E8">
            <w:pPr>
              <w:jc w:val="center"/>
              <w:rPr>
                <w:rFonts w:ascii="宋体" w:hAnsi="宋体" w:cs="Arial"/>
                <w:color w:val="000000"/>
                <w:kern w:val="0"/>
                <w:sz w:val="18"/>
                <w:szCs w:val="18"/>
              </w:rPr>
            </w:pPr>
          </w:p>
        </w:tc>
        <w:tc>
          <w:tcPr>
            <w:tcW w:w="1375" w:type="dxa"/>
            <w:gridSpan w:val="2"/>
            <w:tcBorders>
              <w:top w:val="nil"/>
              <w:left w:val="nil"/>
              <w:bottom w:val="single" w:color="auto" w:sz="4" w:space="0"/>
              <w:right w:val="single" w:color="auto" w:sz="4" w:space="0"/>
            </w:tcBorders>
            <w:shd w:val="clear" w:color="auto" w:fill="auto"/>
            <w:vAlign w:val="center"/>
          </w:tcPr>
          <w:p w14:paraId="180685FF">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时效指标</w:t>
            </w:r>
          </w:p>
        </w:tc>
        <w:tc>
          <w:tcPr>
            <w:tcW w:w="1483" w:type="dxa"/>
            <w:gridSpan w:val="3"/>
            <w:tcBorders>
              <w:top w:val="nil"/>
              <w:left w:val="nil"/>
              <w:bottom w:val="single" w:color="auto" w:sz="4" w:space="0"/>
              <w:right w:val="single" w:color="auto" w:sz="4" w:space="0"/>
            </w:tcBorders>
            <w:shd w:val="clear" w:color="auto" w:fill="auto"/>
            <w:vAlign w:val="center"/>
          </w:tcPr>
          <w:p w14:paraId="7CC0AB49">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完成进度</w:t>
            </w:r>
          </w:p>
        </w:tc>
        <w:tc>
          <w:tcPr>
            <w:tcW w:w="1577" w:type="dxa"/>
            <w:tcBorders>
              <w:top w:val="single" w:color="auto" w:sz="4" w:space="0"/>
              <w:left w:val="nil"/>
              <w:bottom w:val="single" w:color="auto" w:sz="4" w:space="0"/>
              <w:right w:val="single" w:color="auto" w:sz="4" w:space="0"/>
            </w:tcBorders>
            <w:shd w:val="clear" w:color="auto" w:fill="auto"/>
            <w:vAlign w:val="center"/>
          </w:tcPr>
          <w:p w14:paraId="2FA1FEA9">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2019年12月</w:t>
            </w:r>
          </w:p>
        </w:tc>
        <w:tc>
          <w:tcPr>
            <w:tcW w:w="1538" w:type="dxa"/>
            <w:tcBorders>
              <w:top w:val="nil"/>
              <w:left w:val="nil"/>
              <w:bottom w:val="single" w:color="auto" w:sz="4" w:space="0"/>
              <w:right w:val="single" w:color="auto" w:sz="4" w:space="0"/>
            </w:tcBorders>
            <w:shd w:val="clear" w:color="auto" w:fill="auto"/>
            <w:vAlign w:val="center"/>
          </w:tcPr>
          <w:p w14:paraId="5D731A86">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2020年12月</w:t>
            </w:r>
          </w:p>
        </w:tc>
        <w:tc>
          <w:tcPr>
            <w:tcW w:w="2219" w:type="dxa"/>
            <w:tcBorders>
              <w:top w:val="single" w:color="auto" w:sz="4" w:space="0"/>
              <w:left w:val="nil"/>
              <w:bottom w:val="single" w:color="auto" w:sz="4" w:space="0"/>
              <w:right w:val="single" w:color="000000" w:sz="4" w:space="0"/>
            </w:tcBorders>
            <w:shd w:val="clear" w:color="auto" w:fill="auto"/>
            <w:vAlign w:val="center"/>
          </w:tcPr>
          <w:p w14:paraId="22CE889E">
            <w:pPr>
              <w:jc w:val="center"/>
              <w:rPr>
                <w:rFonts w:ascii="宋体" w:hAnsi="宋体" w:cs="Arial"/>
                <w:color w:val="000000"/>
                <w:kern w:val="0"/>
                <w:sz w:val="18"/>
                <w:szCs w:val="18"/>
              </w:rPr>
            </w:pPr>
          </w:p>
        </w:tc>
      </w:tr>
      <w:tr w14:paraId="6716AED8">
        <w:tblPrEx>
          <w:tblCellMar>
            <w:top w:w="0" w:type="dxa"/>
            <w:left w:w="108" w:type="dxa"/>
            <w:bottom w:w="0" w:type="dxa"/>
            <w:right w:w="108" w:type="dxa"/>
          </w:tblCellMar>
        </w:tblPrEx>
        <w:trPr>
          <w:gridAfter w:val="1"/>
          <w:wAfter w:w="28" w:type="dxa"/>
          <w:trHeight w:val="920" w:hRule="atLeast"/>
        </w:trPr>
        <w:tc>
          <w:tcPr>
            <w:tcW w:w="760" w:type="dxa"/>
            <w:vMerge w:val="continue"/>
            <w:tcBorders>
              <w:top w:val="nil"/>
              <w:left w:val="single" w:color="auto" w:sz="4" w:space="0"/>
              <w:bottom w:val="single" w:color="auto" w:sz="4" w:space="0"/>
              <w:right w:val="single" w:color="auto" w:sz="4" w:space="0"/>
            </w:tcBorders>
            <w:vAlign w:val="center"/>
          </w:tcPr>
          <w:p w14:paraId="5846DFA0">
            <w:pPr>
              <w:jc w:val="center"/>
              <w:rPr>
                <w:rFonts w:ascii="宋体" w:hAnsi="宋体" w:cs="Arial"/>
                <w:color w:val="000000"/>
                <w:kern w:val="0"/>
                <w:sz w:val="18"/>
                <w:szCs w:val="18"/>
              </w:rPr>
            </w:pPr>
          </w:p>
        </w:tc>
        <w:tc>
          <w:tcPr>
            <w:tcW w:w="944" w:type="dxa"/>
            <w:vMerge w:val="continue"/>
            <w:tcBorders>
              <w:top w:val="nil"/>
              <w:left w:val="single" w:color="auto" w:sz="4" w:space="0"/>
              <w:bottom w:val="single" w:color="auto" w:sz="4" w:space="0"/>
              <w:right w:val="single" w:color="auto" w:sz="4" w:space="0"/>
            </w:tcBorders>
            <w:vAlign w:val="center"/>
          </w:tcPr>
          <w:p w14:paraId="09154595">
            <w:pPr>
              <w:jc w:val="center"/>
              <w:rPr>
                <w:rFonts w:ascii="宋体" w:hAnsi="宋体" w:cs="Arial"/>
                <w:color w:val="000000"/>
                <w:kern w:val="0"/>
                <w:sz w:val="18"/>
                <w:szCs w:val="18"/>
              </w:rPr>
            </w:pPr>
          </w:p>
        </w:tc>
        <w:tc>
          <w:tcPr>
            <w:tcW w:w="1375" w:type="dxa"/>
            <w:gridSpan w:val="2"/>
            <w:tcBorders>
              <w:top w:val="nil"/>
              <w:left w:val="nil"/>
              <w:bottom w:val="single" w:color="auto" w:sz="4" w:space="0"/>
              <w:right w:val="single" w:color="auto" w:sz="4" w:space="0"/>
            </w:tcBorders>
            <w:shd w:val="clear" w:color="auto" w:fill="auto"/>
            <w:vAlign w:val="center"/>
          </w:tcPr>
          <w:p w14:paraId="0D69ECED">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成本指标</w:t>
            </w:r>
          </w:p>
        </w:tc>
        <w:tc>
          <w:tcPr>
            <w:tcW w:w="1483" w:type="dxa"/>
            <w:gridSpan w:val="3"/>
            <w:tcBorders>
              <w:top w:val="nil"/>
              <w:left w:val="nil"/>
              <w:bottom w:val="single" w:color="auto" w:sz="4" w:space="0"/>
              <w:right w:val="single" w:color="auto" w:sz="4" w:space="0"/>
            </w:tcBorders>
            <w:shd w:val="clear" w:color="auto" w:fill="auto"/>
            <w:vAlign w:val="center"/>
          </w:tcPr>
          <w:p w14:paraId="0918B1B0">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成本总额</w:t>
            </w:r>
          </w:p>
        </w:tc>
        <w:tc>
          <w:tcPr>
            <w:tcW w:w="1577" w:type="dxa"/>
            <w:tcBorders>
              <w:top w:val="single" w:color="auto" w:sz="4" w:space="0"/>
              <w:left w:val="nil"/>
              <w:bottom w:val="single" w:color="auto" w:sz="4" w:space="0"/>
              <w:right w:val="single" w:color="auto" w:sz="4" w:space="0"/>
            </w:tcBorders>
            <w:shd w:val="clear" w:color="auto" w:fill="auto"/>
            <w:vAlign w:val="center"/>
          </w:tcPr>
          <w:p w14:paraId="4D97F4AB">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≤232万元</w:t>
            </w:r>
          </w:p>
        </w:tc>
        <w:tc>
          <w:tcPr>
            <w:tcW w:w="1538" w:type="dxa"/>
            <w:tcBorders>
              <w:top w:val="nil"/>
              <w:left w:val="nil"/>
              <w:bottom w:val="single" w:color="auto" w:sz="4" w:space="0"/>
              <w:right w:val="single" w:color="auto" w:sz="4" w:space="0"/>
            </w:tcBorders>
            <w:shd w:val="clear" w:color="auto" w:fill="auto"/>
            <w:vAlign w:val="center"/>
          </w:tcPr>
          <w:p w14:paraId="584C7571">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215.41万元</w:t>
            </w:r>
          </w:p>
        </w:tc>
        <w:tc>
          <w:tcPr>
            <w:tcW w:w="2219" w:type="dxa"/>
            <w:tcBorders>
              <w:top w:val="single" w:color="auto" w:sz="4" w:space="0"/>
              <w:left w:val="nil"/>
              <w:bottom w:val="single" w:color="auto" w:sz="4" w:space="0"/>
              <w:right w:val="single" w:color="000000" w:sz="4" w:space="0"/>
            </w:tcBorders>
            <w:shd w:val="clear" w:color="auto" w:fill="auto"/>
            <w:vAlign w:val="center"/>
          </w:tcPr>
          <w:p w14:paraId="2448545B">
            <w:pPr>
              <w:keepNext w:val="0"/>
              <w:keepLines w:val="0"/>
              <w:widowControl/>
              <w:suppressLineNumbers w:val="0"/>
              <w:jc w:val="left"/>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因两次</w:t>
            </w:r>
            <w:r>
              <w:rPr>
                <w:rFonts w:hint="eastAsia" w:ascii="宋体" w:hAnsi="宋体" w:cs="宋体"/>
                <w:i w:val="0"/>
                <w:color w:val="000000"/>
                <w:kern w:val="0"/>
                <w:sz w:val="18"/>
                <w:szCs w:val="18"/>
                <w:u w:val="none"/>
                <w:lang w:val="en-US" w:eastAsia="zh-CN" w:bidi="ar"/>
              </w:rPr>
              <w:t>传染病</w:t>
            </w:r>
            <w:bookmarkStart w:id="2" w:name="_GoBack"/>
            <w:bookmarkEnd w:id="2"/>
            <w:r>
              <w:rPr>
                <w:rFonts w:hint="eastAsia" w:ascii="宋体" w:hAnsi="宋体" w:eastAsia="宋体" w:cs="宋体"/>
                <w:i w:val="0"/>
                <w:color w:val="000000"/>
                <w:kern w:val="0"/>
                <w:sz w:val="18"/>
                <w:szCs w:val="18"/>
                <w:u w:val="none"/>
                <w:lang w:val="en-US" w:eastAsia="zh-CN" w:bidi="ar"/>
              </w:rPr>
              <w:t>致使项目资金未全部执行完成。</w:t>
            </w:r>
          </w:p>
        </w:tc>
      </w:tr>
      <w:tr w14:paraId="66B437F1">
        <w:tblPrEx>
          <w:tblCellMar>
            <w:top w:w="0" w:type="dxa"/>
            <w:left w:w="108" w:type="dxa"/>
            <w:bottom w:w="0" w:type="dxa"/>
            <w:right w:w="108" w:type="dxa"/>
          </w:tblCellMar>
        </w:tblPrEx>
        <w:trPr>
          <w:gridAfter w:val="1"/>
          <w:wAfter w:w="28" w:type="dxa"/>
          <w:trHeight w:val="920" w:hRule="atLeast"/>
        </w:trPr>
        <w:tc>
          <w:tcPr>
            <w:tcW w:w="760" w:type="dxa"/>
            <w:vMerge w:val="continue"/>
            <w:tcBorders>
              <w:top w:val="nil"/>
              <w:left w:val="single" w:color="auto" w:sz="4" w:space="0"/>
              <w:bottom w:val="single" w:color="auto" w:sz="4" w:space="0"/>
              <w:right w:val="single" w:color="auto" w:sz="4" w:space="0"/>
            </w:tcBorders>
            <w:vAlign w:val="center"/>
          </w:tcPr>
          <w:p w14:paraId="773CE9E0">
            <w:pPr>
              <w:jc w:val="center"/>
              <w:rPr>
                <w:rFonts w:ascii="宋体" w:hAnsi="宋体" w:cs="Arial"/>
                <w:color w:val="000000"/>
                <w:kern w:val="0"/>
                <w:sz w:val="18"/>
                <w:szCs w:val="18"/>
              </w:rPr>
            </w:pPr>
          </w:p>
        </w:tc>
        <w:tc>
          <w:tcPr>
            <w:tcW w:w="944" w:type="dxa"/>
            <w:tcBorders>
              <w:top w:val="nil"/>
              <w:left w:val="nil"/>
              <w:bottom w:val="single" w:color="auto" w:sz="4" w:space="0"/>
              <w:right w:val="single" w:color="auto" w:sz="4" w:space="0"/>
            </w:tcBorders>
            <w:shd w:val="clear" w:color="auto" w:fill="auto"/>
            <w:vAlign w:val="center"/>
          </w:tcPr>
          <w:p w14:paraId="0DC0F307">
            <w:pPr>
              <w:jc w:val="center"/>
              <w:rPr>
                <w:rFonts w:ascii="宋体" w:hAnsi="宋体" w:cs="Arial"/>
                <w:color w:val="000000"/>
                <w:kern w:val="0"/>
                <w:sz w:val="18"/>
                <w:szCs w:val="18"/>
              </w:rPr>
            </w:pPr>
          </w:p>
        </w:tc>
        <w:tc>
          <w:tcPr>
            <w:tcW w:w="1375" w:type="dxa"/>
            <w:gridSpan w:val="2"/>
            <w:tcBorders>
              <w:top w:val="nil"/>
              <w:left w:val="nil"/>
              <w:bottom w:val="single" w:color="auto" w:sz="4" w:space="0"/>
              <w:right w:val="single" w:color="auto" w:sz="4" w:space="0"/>
            </w:tcBorders>
            <w:shd w:val="clear" w:color="auto" w:fill="auto"/>
            <w:vAlign w:val="center"/>
          </w:tcPr>
          <w:p w14:paraId="35B83B77">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社会效益指标</w:t>
            </w:r>
          </w:p>
        </w:tc>
        <w:tc>
          <w:tcPr>
            <w:tcW w:w="1483" w:type="dxa"/>
            <w:gridSpan w:val="3"/>
            <w:tcBorders>
              <w:top w:val="nil"/>
              <w:left w:val="nil"/>
              <w:bottom w:val="single" w:color="auto" w:sz="4" w:space="0"/>
              <w:right w:val="single" w:color="auto" w:sz="4" w:space="0"/>
            </w:tcBorders>
            <w:shd w:val="clear" w:color="auto" w:fill="auto"/>
            <w:vAlign w:val="center"/>
          </w:tcPr>
          <w:p w14:paraId="47EF57D9">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党办业务保障能力</w:t>
            </w:r>
          </w:p>
        </w:tc>
        <w:tc>
          <w:tcPr>
            <w:tcW w:w="1577" w:type="dxa"/>
            <w:tcBorders>
              <w:top w:val="single" w:color="auto" w:sz="4" w:space="0"/>
              <w:left w:val="nil"/>
              <w:bottom w:val="single" w:color="auto" w:sz="4" w:space="0"/>
              <w:right w:val="single" w:color="auto" w:sz="4" w:space="0"/>
            </w:tcBorders>
            <w:shd w:val="clear" w:color="auto" w:fill="auto"/>
            <w:vAlign w:val="center"/>
          </w:tcPr>
          <w:p w14:paraId="255C2DBD">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有所提升</w:t>
            </w:r>
          </w:p>
        </w:tc>
        <w:tc>
          <w:tcPr>
            <w:tcW w:w="1538" w:type="dxa"/>
            <w:tcBorders>
              <w:top w:val="nil"/>
              <w:left w:val="nil"/>
              <w:bottom w:val="single" w:color="auto" w:sz="4" w:space="0"/>
              <w:right w:val="single" w:color="auto" w:sz="4" w:space="0"/>
            </w:tcBorders>
            <w:shd w:val="clear" w:color="auto" w:fill="auto"/>
            <w:vAlign w:val="center"/>
          </w:tcPr>
          <w:p w14:paraId="415C4020">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有所提升</w:t>
            </w:r>
          </w:p>
        </w:tc>
        <w:tc>
          <w:tcPr>
            <w:tcW w:w="2219" w:type="dxa"/>
            <w:tcBorders>
              <w:top w:val="single" w:color="auto" w:sz="4" w:space="0"/>
              <w:left w:val="nil"/>
              <w:bottom w:val="single" w:color="auto" w:sz="4" w:space="0"/>
              <w:right w:val="single" w:color="000000" w:sz="4" w:space="0"/>
            </w:tcBorders>
            <w:shd w:val="clear" w:color="auto" w:fill="auto"/>
            <w:vAlign w:val="center"/>
          </w:tcPr>
          <w:p w14:paraId="32BAE151">
            <w:pPr>
              <w:jc w:val="center"/>
              <w:rPr>
                <w:rFonts w:ascii="宋体" w:hAnsi="宋体" w:cs="Arial"/>
                <w:color w:val="000000"/>
                <w:kern w:val="0"/>
                <w:sz w:val="18"/>
                <w:szCs w:val="18"/>
              </w:rPr>
            </w:pPr>
          </w:p>
        </w:tc>
      </w:tr>
      <w:tr w14:paraId="0FA820BB">
        <w:tblPrEx>
          <w:tblCellMar>
            <w:top w:w="0" w:type="dxa"/>
            <w:left w:w="108" w:type="dxa"/>
            <w:bottom w:w="0" w:type="dxa"/>
            <w:right w:w="108" w:type="dxa"/>
          </w:tblCellMar>
        </w:tblPrEx>
        <w:trPr>
          <w:gridAfter w:val="1"/>
          <w:wAfter w:w="28" w:type="dxa"/>
          <w:trHeight w:val="920" w:hRule="atLeast"/>
        </w:trPr>
        <w:tc>
          <w:tcPr>
            <w:tcW w:w="760" w:type="dxa"/>
            <w:vMerge w:val="continue"/>
            <w:tcBorders>
              <w:top w:val="nil"/>
              <w:left w:val="single" w:color="auto" w:sz="4" w:space="0"/>
              <w:bottom w:val="single" w:color="auto" w:sz="4" w:space="0"/>
              <w:right w:val="single" w:color="auto" w:sz="4" w:space="0"/>
            </w:tcBorders>
            <w:vAlign w:val="center"/>
          </w:tcPr>
          <w:p w14:paraId="7461F0A1">
            <w:pPr>
              <w:jc w:val="center"/>
              <w:rPr>
                <w:rFonts w:ascii="宋体" w:hAnsi="宋体" w:cs="Arial"/>
                <w:color w:val="000000"/>
                <w:kern w:val="0"/>
                <w:sz w:val="18"/>
                <w:szCs w:val="18"/>
              </w:rPr>
            </w:pPr>
          </w:p>
        </w:tc>
        <w:tc>
          <w:tcPr>
            <w:tcW w:w="944" w:type="dxa"/>
            <w:tcBorders>
              <w:top w:val="nil"/>
              <w:left w:val="nil"/>
              <w:bottom w:val="single" w:color="auto" w:sz="4" w:space="0"/>
              <w:right w:val="single" w:color="auto" w:sz="4" w:space="0"/>
            </w:tcBorders>
            <w:shd w:val="clear" w:color="auto" w:fill="auto"/>
            <w:vAlign w:val="center"/>
          </w:tcPr>
          <w:p w14:paraId="6AF5E86E">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满意度指标</w:t>
            </w:r>
          </w:p>
        </w:tc>
        <w:tc>
          <w:tcPr>
            <w:tcW w:w="1375" w:type="dxa"/>
            <w:gridSpan w:val="2"/>
            <w:tcBorders>
              <w:top w:val="nil"/>
              <w:left w:val="nil"/>
              <w:bottom w:val="single" w:color="auto" w:sz="4" w:space="0"/>
              <w:right w:val="single" w:color="auto" w:sz="4" w:space="0"/>
            </w:tcBorders>
            <w:shd w:val="clear" w:color="auto" w:fill="auto"/>
            <w:vAlign w:val="center"/>
          </w:tcPr>
          <w:p w14:paraId="7B5A1EEC">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服务对象满意度指标</w:t>
            </w:r>
          </w:p>
        </w:tc>
        <w:tc>
          <w:tcPr>
            <w:tcW w:w="1483" w:type="dxa"/>
            <w:gridSpan w:val="3"/>
            <w:tcBorders>
              <w:top w:val="nil"/>
              <w:left w:val="nil"/>
              <w:bottom w:val="single" w:color="auto" w:sz="4" w:space="0"/>
              <w:right w:val="single" w:color="auto" w:sz="4" w:space="0"/>
            </w:tcBorders>
            <w:shd w:val="clear" w:color="auto" w:fill="auto"/>
            <w:vAlign w:val="center"/>
          </w:tcPr>
          <w:p w14:paraId="35109078">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干部职工满意率</w:t>
            </w:r>
          </w:p>
        </w:tc>
        <w:tc>
          <w:tcPr>
            <w:tcW w:w="1577" w:type="dxa"/>
            <w:tcBorders>
              <w:top w:val="single" w:color="auto" w:sz="4" w:space="0"/>
              <w:left w:val="nil"/>
              <w:bottom w:val="single" w:color="auto" w:sz="4" w:space="0"/>
              <w:right w:val="single" w:color="auto" w:sz="4" w:space="0"/>
            </w:tcBorders>
            <w:shd w:val="clear" w:color="auto" w:fill="auto"/>
            <w:vAlign w:val="center"/>
          </w:tcPr>
          <w:p w14:paraId="40497EFC">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≥95%</w:t>
            </w:r>
          </w:p>
        </w:tc>
        <w:tc>
          <w:tcPr>
            <w:tcW w:w="1538" w:type="dxa"/>
            <w:tcBorders>
              <w:top w:val="nil"/>
              <w:left w:val="nil"/>
              <w:bottom w:val="single" w:color="auto" w:sz="4" w:space="0"/>
              <w:right w:val="single" w:color="auto" w:sz="4" w:space="0"/>
            </w:tcBorders>
            <w:shd w:val="clear" w:color="auto" w:fill="auto"/>
            <w:vAlign w:val="center"/>
          </w:tcPr>
          <w:p w14:paraId="4AB1F335">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95%</w:t>
            </w:r>
          </w:p>
        </w:tc>
        <w:tc>
          <w:tcPr>
            <w:tcW w:w="2219" w:type="dxa"/>
            <w:tcBorders>
              <w:top w:val="single" w:color="auto" w:sz="4" w:space="0"/>
              <w:left w:val="nil"/>
              <w:bottom w:val="single" w:color="auto" w:sz="4" w:space="0"/>
              <w:right w:val="single" w:color="000000" w:sz="4" w:space="0"/>
            </w:tcBorders>
            <w:shd w:val="clear" w:color="auto" w:fill="auto"/>
            <w:vAlign w:val="center"/>
          </w:tcPr>
          <w:p w14:paraId="44E483C5">
            <w:pPr>
              <w:jc w:val="center"/>
              <w:rPr>
                <w:rFonts w:ascii="宋体" w:hAnsi="宋体" w:cs="Arial"/>
                <w:color w:val="000000"/>
                <w:kern w:val="0"/>
                <w:sz w:val="18"/>
                <w:szCs w:val="18"/>
              </w:rPr>
            </w:pPr>
          </w:p>
        </w:tc>
      </w:tr>
      <w:tr w14:paraId="58280BFE">
        <w:tblPrEx>
          <w:tblCellMar>
            <w:top w:w="0" w:type="dxa"/>
            <w:left w:w="108" w:type="dxa"/>
            <w:bottom w:w="0" w:type="dxa"/>
            <w:right w:w="108" w:type="dxa"/>
          </w:tblCellMar>
        </w:tblPrEx>
        <w:trPr>
          <w:gridAfter w:val="1"/>
          <w:wAfter w:w="28" w:type="dxa"/>
          <w:trHeight w:val="558" w:hRule="atLeast"/>
        </w:trPr>
        <w:tc>
          <w:tcPr>
            <w:tcW w:w="9896" w:type="dxa"/>
            <w:gridSpan w:val="10"/>
            <w:tcBorders>
              <w:top w:val="single" w:color="auto" w:sz="4" w:space="0"/>
              <w:left w:val="nil"/>
              <w:bottom w:val="nil"/>
              <w:right w:val="nil"/>
            </w:tcBorders>
            <w:shd w:val="clear" w:color="auto" w:fill="auto"/>
            <w:vAlign w:val="center"/>
          </w:tcPr>
          <w:p w14:paraId="437EC197">
            <w:pPr>
              <w:keepNext w:val="0"/>
              <w:keepLines w:val="0"/>
              <w:widowControl/>
              <w:suppressLineNumbers w:val="0"/>
              <w:jc w:val="center"/>
              <w:textAlignment w:val="center"/>
              <w:rPr>
                <w:rFonts w:ascii="宋体" w:hAnsi="宋体" w:cs="Arial"/>
                <w:color w:val="000000"/>
                <w:kern w:val="0"/>
                <w:sz w:val="18"/>
                <w:szCs w:val="18"/>
              </w:rPr>
            </w:pPr>
          </w:p>
        </w:tc>
      </w:tr>
    </w:tbl>
    <w:p w14:paraId="3C29DDB4">
      <w:pPr>
        <w:pStyle w:val="2"/>
        <w:rPr>
          <w:rFonts w:ascii="黑体" w:hAnsi="黑体" w:eastAsia="黑体"/>
        </w:rPr>
        <w:sectPr>
          <w:footerReference r:id="rId3" w:type="default"/>
          <w:pgSz w:w="11906" w:h="16838"/>
          <w:pgMar w:top="1440" w:right="1558" w:bottom="1440" w:left="1800" w:header="851" w:footer="992" w:gutter="0"/>
          <w:cols w:space="425" w:num="1"/>
          <w:docGrid w:type="lines" w:linePitch="312" w:charSpace="0"/>
        </w:sectPr>
      </w:pPr>
    </w:p>
    <w:p w14:paraId="3A706968"/>
    <w:p w14:paraId="73F3B973">
      <w:pPr>
        <w:spacing w:line="600" w:lineRule="exact"/>
        <w:rPr>
          <w:rFonts w:ascii="仿宋_GB2312"/>
          <w:bCs/>
          <w:sz w:val="32"/>
          <w:szCs w:val="32"/>
        </w:rPr>
      </w:pPr>
      <w:r>
        <w:rPr>
          <w:rFonts w:hint="eastAsia" w:ascii="仿宋_GB2312"/>
          <w:bCs/>
          <w:sz w:val="32"/>
          <w:szCs w:val="32"/>
        </w:rPr>
        <w:t>附件1</w:t>
      </w:r>
    </w:p>
    <w:tbl>
      <w:tblPr>
        <w:tblStyle w:val="18"/>
        <w:tblW w:w="5230"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14"/>
        <w:gridCol w:w="514"/>
        <w:gridCol w:w="585"/>
        <w:gridCol w:w="4166"/>
        <w:gridCol w:w="7369"/>
        <w:gridCol w:w="827"/>
        <w:gridCol w:w="851"/>
      </w:tblGrid>
      <w:tr w14:paraId="44CFE5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173" w:type="pct"/>
            <w:shd w:val="clear" w:color="auto" w:fill="FFFFFF"/>
            <w:noWrap/>
            <w:vAlign w:val="center"/>
          </w:tcPr>
          <w:p w14:paraId="019A1EF0">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173" w:type="pct"/>
            <w:shd w:val="clear" w:color="auto" w:fill="FFFFFF"/>
            <w:noWrap/>
            <w:vAlign w:val="center"/>
          </w:tcPr>
          <w:p w14:paraId="66252484">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97" w:type="pct"/>
            <w:shd w:val="clear" w:color="auto" w:fill="FFFFFF"/>
            <w:noWrap/>
            <w:vAlign w:val="center"/>
          </w:tcPr>
          <w:p w14:paraId="1F5779FE">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1405" w:type="pct"/>
            <w:shd w:val="clear" w:color="auto" w:fill="FFFFFF"/>
            <w:noWrap/>
            <w:vAlign w:val="center"/>
          </w:tcPr>
          <w:p w14:paraId="09A00ADB">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指标解释</w:t>
            </w:r>
          </w:p>
        </w:tc>
        <w:tc>
          <w:tcPr>
            <w:tcW w:w="2485" w:type="pct"/>
            <w:shd w:val="clear" w:color="auto" w:fill="FFFFFF"/>
            <w:noWrap/>
            <w:vAlign w:val="center"/>
          </w:tcPr>
          <w:p w14:paraId="05A0FE46">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指标说明</w:t>
            </w:r>
          </w:p>
        </w:tc>
        <w:tc>
          <w:tcPr>
            <w:tcW w:w="279" w:type="pct"/>
            <w:shd w:val="clear" w:color="auto" w:fill="FFFFFF"/>
            <w:noWrap/>
            <w:vAlign w:val="center"/>
          </w:tcPr>
          <w:p w14:paraId="58EFF7E6">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287" w:type="pct"/>
            <w:shd w:val="clear" w:color="auto" w:fill="FFFFFF"/>
            <w:noWrap/>
            <w:vAlign w:val="center"/>
          </w:tcPr>
          <w:p w14:paraId="3E9EBDFF">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14:paraId="4A1E1C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173" w:type="pct"/>
            <w:vMerge w:val="restart"/>
            <w:shd w:val="clear" w:color="auto" w:fill="FFFFFF"/>
            <w:noWrap/>
            <w:vAlign w:val="center"/>
          </w:tcPr>
          <w:p w14:paraId="54908A68">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　</w:t>
            </w:r>
          </w:p>
          <w:p w14:paraId="192702A2">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14:paraId="7C6E51B8">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73" w:type="pct"/>
            <w:vMerge w:val="restart"/>
            <w:shd w:val="clear" w:color="auto" w:fill="FFFFFF"/>
            <w:noWrap/>
            <w:vAlign w:val="center"/>
          </w:tcPr>
          <w:p w14:paraId="5D4B4005">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197" w:type="pct"/>
            <w:shd w:val="clear" w:color="auto" w:fill="FFFFFF"/>
            <w:noWrap/>
            <w:vAlign w:val="center"/>
          </w:tcPr>
          <w:p w14:paraId="081017FB">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立项依据</w:t>
            </w:r>
          </w:p>
          <w:p w14:paraId="63DE65E8">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1405" w:type="pct"/>
            <w:shd w:val="clear" w:color="auto" w:fill="FFFFFF"/>
            <w:noWrap/>
            <w:vAlign w:val="center"/>
          </w:tcPr>
          <w:p w14:paraId="7229D849">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项目立项是否符合法律法规、相关政策、发展规划以及部门职责，用以反映和考核项目立项依据情况。</w:t>
            </w:r>
          </w:p>
        </w:tc>
        <w:tc>
          <w:tcPr>
            <w:tcW w:w="2485" w:type="pct"/>
            <w:shd w:val="clear" w:color="auto" w:fill="FFFFFF"/>
            <w:noWrap/>
            <w:vAlign w:val="center"/>
          </w:tcPr>
          <w:p w14:paraId="6D42D14C">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①项目立项是否符合国家法律法规、国民经济发展规划和相关政策；</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②项目立项是否符合行业发展规划和政策要求；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③项目立项是否与部门职责范围相符，属于部门履职所需；</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④项目是否属于公共财政支持范围，是否符合中央、地方事权支出责任划分原则；</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⑤项目是否与相关部门同类项目或部门内部相关项目重复。</w:t>
            </w:r>
          </w:p>
        </w:tc>
        <w:tc>
          <w:tcPr>
            <w:tcW w:w="279" w:type="pct"/>
            <w:shd w:val="clear" w:color="auto" w:fill="FFFFFF"/>
            <w:noWrap/>
            <w:vAlign w:val="center"/>
          </w:tcPr>
          <w:p w14:paraId="16C08BCF">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0.5</w:t>
            </w:r>
          </w:p>
        </w:tc>
        <w:tc>
          <w:tcPr>
            <w:tcW w:w="287" w:type="pct"/>
            <w:shd w:val="clear" w:color="auto" w:fill="FFFFFF"/>
            <w:noWrap/>
            <w:vAlign w:val="center"/>
          </w:tcPr>
          <w:p w14:paraId="4DE50CF3">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0.5</w:t>
            </w:r>
          </w:p>
        </w:tc>
      </w:tr>
      <w:tr w14:paraId="79F9B4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173" w:type="pct"/>
            <w:vMerge w:val="continue"/>
            <w:shd w:val="clear" w:color="auto" w:fill="FFFFFF"/>
            <w:noWrap/>
            <w:vAlign w:val="center"/>
          </w:tcPr>
          <w:p w14:paraId="399D23EF">
            <w:pPr>
              <w:spacing w:line="0" w:lineRule="atLeast"/>
              <w:jc w:val="center"/>
              <w:rPr>
                <w:rFonts w:ascii="宋体" w:hAnsi="宋体" w:cs="宋体"/>
                <w:color w:val="000000"/>
                <w:kern w:val="0"/>
                <w:sz w:val="22"/>
                <w:szCs w:val="22"/>
              </w:rPr>
            </w:pPr>
          </w:p>
        </w:tc>
        <w:tc>
          <w:tcPr>
            <w:tcW w:w="173" w:type="pct"/>
            <w:vMerge w:val="continue"/>
            <w:shd w:val="clear" w:color="auto" w:fill="FFFFFF"/>
            <w:noWrap/>
            <w:vAlign w:val="center"/>
          </w:tcPr>
          <w:p w14:paraId="2D67E6C4">
            <w:pPr>
              <w:widowControl/>
              <w:spacing w:line="0" w:lineRule="atLeast"/>
              <w:jc w:val="center"/>
              <w:rPr>
                <w:rFonts w:ascii="宋体" w:hAnsi="宋体" w:cs="宋体"/>
                <w:color w:val="000000"/>
                <w:kern w:val="0"/>
                <w:sz w:val="22"/>
                <w:szCs w:val="22"/>
              </w:rPr>
            </w:pPr>
          </w:p>
        </w:tc>
        <w:tc>
          <w:tcPr>
            <w:tcW w:w="197" w:type="pct"/>
            <w:shd w:val="clear" w:color="auto" w:fill="FFFFFF"/>
            <w:noWrap/>
            <w:vAlign w:val="center"/>
          </w:tcPr>
          <w:p w14:paraId="6614733D">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立项程序</w:t>
            </w:r>
          </w:p>
          <w:p w14:paraId="2A93FCF2">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1405" w:type="pct"/>
            <w:shd w:val="clear" w:color="auto" w:fill="FFFFFF"/>
            <w:noWrap/>
            <w:vAlign w:val="center"/>
          </w:tcPr>
          <w:p w14:paraId="6A264B82">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项目申请、设立过程是否符合相关要求，用以反映和考核项目立项的规范情况。</w:t>
            </w:r>
          </w:p>
        </w:tc>
        <w:tc>
          <w:tcPr>
            <w:tcW w:w="2485" w:type="pct"/>
            <w:shd w:val="clear" w:color="auto" w:fill="FFFFFF"/>
            <w:noWrap/>
            <w:vAlign w:val="center"/>
          </w:tcPr>
          <w:p w14:paraId="52FA29CE">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①项目是否按照规定的程序申请设立；</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②审批文件、材料是否符合相关要求；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③事前是否已经过必要的可行性研究、专家论证、风险评估、绩效评估、集体决策。</w:t>
            </w:r>
          </w:p>
        </w:tc>
        <w:tc>
          <w:tcPr>
            <w:tcW w:w="279" w:type="pct"/>
            <w:shd w:val="clear" w:color="auto" w:fill="FFFFFF"/>
            <w:noWrap/>
            <w:vAlign w:val="center"/>
          </w:tcPr>
          <w:p w14:paraId="052BCF44">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0.5</w:t>
            </w:r>
          </w:p>
        </w:tc>
        <w:tc>
          <w:tcPr>
            <w:tcW w:w="287" w:type="pct"/>
            <w:shd w:val="clear" w:color="auto" w:fill="FFFFFF"/>
            <w:noWrap/>
            <w:vAlign w:val="center"/>
          </w:tcPr>
          <w:p w14:paraId="65F4B98D">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0.5</w:t>
            </w:r>
          </w:p>
        </w:tc>
      </w:tr>
      <w:tr w14:paraId="4B4B15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173" w:type="pct"/>
            <w:vMerge w:val="continue"/>
            <w:shd w:val="clear" w:color="auto" w:fill="FFFFFF"/>
            <w:noWrap/>
            <w:vAlign w:val="center"/>
          </w:tcPr>
          <w:p w14:paraId="7BAEBC3E">
            <w:pPr>
              <w:spacing w:line="0" w:lineRule="atLeast"/>
              <w:jc w:val="center"/>
              <w:rPr>
                <w:rFonts w:ascii="宋体" w:hAnsi="宋体" w:cs="宋体"/>
                <w:color w:val="000000"/>
                <w:kern w:val="0"/>
                <w:sz w:val="22"/>
                <w:szCs w:val="22"/>
              </w:rPr>
            </w:pPr>
          </w:p>
        </w:tc>
        <w:tc>
          <w:tcPr>
            <w:tcW w:w="173" w:type="pct"/>
            <w:shd w:val="clear" w:color="auto" w:fill="FFFFFF"/>
            <w:noWrap/>
            <w:vAlign w:val="center"/>
          </w:tcPr>
          <w:p w14:paraId="5FF84292">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197" w:type="pct"/>
            <w:shd w:val="clear" w:color="auto" w:fill="FFFFFF"/>
            <w:noWrap/>
            <w:vAlign w:val="center"/>
          </w:tcPr>
          <w:p w14:paraId="29E98F81">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p w14:paraId="3CD92956">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1405" w:type="pct"/>
            <w:shd w:val="clear" w:color="000000" w:fill="FFFFFF"/>
            <w:noWrap/>
            <w:vAlign w:val="center"/>
          </w:tcPr>
          <w:p w14:paraId="0C6DD62E">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项目所设定的绩效目标是否依据充分，是否符合客观实际，用以反映和考核项目绩效目标与项目实施的相符情况。</w:t>
            </w:r>
          </w:p>
        </w:tc>
        <w:tc>
          <w:tcPr>
            <w:tcW w:w="2485" w:type="pct"/>
            <w:shd w:val="clear" w:color="000000" w:fill="FFFFFF"/>
            <w:noWrap/>
            <w:vAlign w:val="center"/>
          </w:tcPr>
          <w:p w14:paraId="6252C4FE">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（如未设定预算绩效目标，也可考核其他工作任务目标）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①项目是否有绩效目标；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②项目绩效目标与实际工作内容是否具有相关性；</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③项目预期产出效益和效果是否符合正常的业绩水平；</w:t>
            </w:r>
          </w:p>
          <w:p w14:paraId="4E75DD15">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④是否与预算确定的项目投资额或资金量相匹配。</w:t>
            </w:r>
          </w:p>
        </w:tc>
        <w:tc>
          <w:tcPr>
            <w:tcW w:w="279" w:type="pct"/>
            <w:shd w:val="clear" w:color="000000" w:fill="FFFFFF"/>
            <w:noWrap/>
            <w:vAlign w:val="center"/>
          </w:tcPr>
          <w:p w14:paraId="615B4386">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1</w:t>
            </w:r>
          </w:p>
        </w:tc>
        <w:tc>
          <w:tcPr>
            <w:tcW w:w="287" w:type="pct"/>
            <w:shd w:val="clear" w:color="000000" w:fill="FFFFFF"/>
            <w:noWrap/>
            <w:vAlign w:val="center"/>
          </w:tcPr>
          <w:p w14:paraId="7F82DC15">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1</w:t>
            </w:r>
          </w:p>
        </w:tc>
      </w:tr>
      <w:tr w14:paraId="5F7EE2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73" w:type="pct"/>
            <w:vMerge w:val="restart"/>
            <w:shd w:val="clear" w:color="auto" w:fill="FFFFFF"/>
            <w:noWrap/>
            <w:vAlign w:val="center"/>
          </w:tcPr>
          <w:p w14:paraId="4AB4848E">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　</w:t>
            </w:r>
          </w:p>
        </w:tc>
        <w:tc>
          <w:tcPr>
            <w:tcW w:w="173" w:type="pct"/>
            <w:shd w:val="clear" w:color="auto" w:fill="FFFFFF"/>
            <w:noWrap/>
            <w:vAlign w:val="center"/>
          </w:tcPr>
          <w:p w14:paraId="048627EA">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tc>
        <w:tc>
          <w:tcPr>
            <w:tcW w:w="197" w:type="pct"/>
            <w:shd w:val="clear" w:color="auto" w:fill="FFFFFF"/>
            <w:noWrap/>
            <w:vAlign w:val="center"/>
          </w:tcPr>
          <w:p w14:paraId="62DD814D">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绩效指标</w:t>
            </w:r>
          </w:p>
          <w:p w14:paraId="6EC79454">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1405" w:type="pct"/>
            <w:shd w:val="clear" w:color="000000" w:fill="FFFFFF"/>
            <w:noWrap/>
            <w:vAlign w:val="center"/>
          </w:tcPr>
          <w:p w14:paraId="0F369020">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依据绩效目标设定的绩效指标是否清晰、细化、可衡量等，用以反映和考核项目绩效目标的明细化情况。</w:t>
            </w:r>
          </w:p>
        </w:tc>
        <w:tc>
          <w:tcPr>
            <w:tcW w:w="2485" w:type="pct"/>
            <w:shd w:val="clear" w:color="000000" w:fill="FFFFFF"/>
            <w:noWrap/>
            <w:vAlign w:val="center"/>
          </w:tcPr>
          <w:p w14:paraId="4D7078E1">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①是否将项目绩效目标细化分解为具体的绩效指标；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②是否通过清晰、可衡量的指标值予以体现；</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③是否与项目目标任务数或计划数相对应。</w:t>
            </w:r>
            <w:r>
              <w:rPr>
                <w:rFonts w:hint="eastAsia" w:ascii="宋体" w:hAnsi="宋体" w:cs="宋体"/>
                <w:color w:val="000000"/>
                <w:kern w:val="0"/>
                <w:sz w:val="22"/>
                <w:szCs w:val="22"/>
              </w:rPr>
              <w:br w:type="textWrapping"/>
            </w:r>
          </w:p>
        </w:tc>
        <w:tc>
          <w:tcPr>
            <w:tcW w:w="279" w:type="pct"/>
            <w:shd w:val="clear" w:color="000000" w:fill="FFFFFF"/>
            <w:noWrap/>
            <w:vAlign w:val="center"/>
          </w:tcPr>
          <w:p w14:paraId="0045C733">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287" w:type="pct"/>
            <w:shd w:val="clear" w:color="000000" w:fill="FFFFFF"/>
            <w:noWrap/>
            <w:vAlign w:val="center"/>
          </w:tcPr>
          <w:p w14:paraId="0EA649EF">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14:paraId="2182F0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73" w:type="pct"/>
            <w:vMerge w:val="continue"/>
            <w:shd w:val="clear" w:color="auto" w:fill="FFFFFF"/>
            <w:noWrap/>
            <w:vAlign w:val="center"/>
          </w:tcPr>
          <w:p w14:paraId="47DACE93">
            <w:pPr>
              <w:spacing w:line="0" w:lineRule="atLeast"/>
              <w:jc w:val="center"/>
              <w:rPr>
                <w:rFonts w:ascii="宋体" w:hAnsi="宋体" w:cs="宋体"/>
                <w:color w:val="000000"/>
                <w:kern w:val="0"/>
                <w:sz w:val="22"/>
                <w:szCs w:val="22"/>
              </w:rPr>
            </w:pPr>
          </w:p>
        </w:tc>
        <w:tc>
          <w:tcPr>
            <w:tcW w:w="173" w:type="pct"/>
            <w:vMerge w:val="restart"/>
            <w:shd w:val="clear" w:color="auto" w:fill="FFFFFF"/>
            <w:noWrap/>
            <w:vAlign w:val="center"/>
          </w:tcPr>
          <w:p w14:paraId="1FBBAEDA">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资金投入</w:t>
            </w:r>
          </w:p>
          <w:p w14:paraId="3807750C">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97" w:type="pct"/>
            <w:shd w:val="clear" w:color="auto" w:fill="FFFFFF"/>
            <w:noWrap/>
            <w:vAlign w:val="center"/>
          </w:tcPr>
          <w:p w14:paraId="6A7AF204">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预算编制</w:t>
            </w:r>
          </w:p>
          <w:p w14:paraId="6AE42CE7">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1405" w:type="pct"/>
            <w:shd w:val="clear" w:color="auto" w:fill="FFFFFF"/>
            <w:noWrap/>
            <w:vAlign w:val="center"/>
          </w:tcPr>
          <w:p w14:paraId="3D756040">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项目预算编制是否经过科学论证、有明确标准，资金额度与年度目标是否相适应，用以反映和考核项目预算编制的科学性、合理性情况。</w:t>
            </w:r>
          </w:p>
        </w:tc>
        <w:tc>
          <w:tcPr>
            <w:tcW w:w="2485" w:type="pct"/>
            <w:shd w:val="clear" w:color="auto" w:fill="FFFFFF"/>
            <w:noWrap/>
            <w:vAlign w:val="center"/>
          </w:tcPr>
          <w:p w14:paraId="2204DEA4">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①预算编制是否经过科学论证；</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②预算内容与项目内容是否匹配；</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③预算额度测算依据是否充分，是否按照标准编制；</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④预算确定的项目投资额或资金量是否与工作任务相匹配。</w:t>
            </w:r>
          </w:p>
        </w:tc>
        <w:tc>
          <w:tcPr>
            <w:tcW w:w="279" w:type="pct"/>
            <w:shd w:val="clear" w:color="auto" w:fill="FFFFFF"/>
            <w:noWrap/>
            <w:vAlign w:val="center"/>
          </w:tcPr>
          <w:p w14:paraId="7D1CEBBD">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287" w:type="pct"/>
            <w:shd w:val="clear" w:color="auto" w:fill="FFFFFF"/>
            <w:noWrap/>
            <w:vAlign w:val="center"/>
          </w:tcPr>
          <w:p w14:paraId="682C6692">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14:paraId="669230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73" w:type="pct"/>
            <w:vMerge w:val="continue"/>
            <w:shd w:val="clear" w:color="auto" w:fill="FFFFFF"/>
            <w:noWrap/>
            <w:vAlign w:val="center"/>
          </w:tcPr>
          <w:p w14:paraId="04C165B1">
            <w:pPr>
              <w:widowControl/>
              <w:spacing w:line="0" w:lineRule="atLeast"/>
              <w:jc w:val="center"/>
              <w:rPr>
                <w:rFonts w:ascii="宋体" w:hAnsi="宋体" w:cs="宋体"/>
                <w:color w:val="000000"/>
                <w:kern w:val="0"/>
                <w:sz w:val="22"/>
                <w:szCs w:val="22"/>
              </w:rPr>
            </w:pPr>
          </w:p>
        </w:tc>
        <w:tc>
          <w:tcPr>
            <w:tcW w:w="173" w:type="pct"/>
            <w:vMerge w:val="continue"/>
            <w:shd w:val="clear" w:color="auto" w:fill="FFFFFF"/>
            <w:noWrap/>
            <w:vAlign w:val="center"/>
          </w:tcPr>
          <w:p w14:paraId="28D18494">
            <w:pPr>
              <w:widowControl/>
              <w:spacing w:line="0" w:lineRule="atLeast"/>
              <w:jc w:val="center"/>
              <w:rPr>
                <w:rFonts w:ascii="宋体" w:hAnsi="宋体" w:cs="宋体"/>
                <w:color w:val="000000"/>
                <w:kern w:val="0"/>
                <w:sz w:val="22"/>
                <w:szCs w:val="22"/>
              </w:rPr>
            </w:pPr>
          </w:p>
        </w:tc>
        <w:tc>
          <w:tcPr>
            <w:tcW w:w="197" w:type="pct"/>
            <w:shd w:val="clear" w:color="auto" w:fill="FFFFFF"/>
            <w:noWrap/>
            <w:vAlign w:val="center"/>
          </w:tcPr>
          <w:p w14:paraId="3662DEE6">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资金分配</w:t>
            </w:r>
          </w:p>
          <w:p w14:paraId="4B8C32AC">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1405" w:type="pct"/>
            <w:shd w:val="clear" w:color="auto" w:fill="FFFFFF"/>
            <w:noWrap/>
            <w:vAlign w:val="center"/>
          </w:tcPr>
          <w:p w14:paraId="270253A5">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项目预算资金分配是否有测算依据，与补助单位或地方实际是否相适应，用以反映和考核项目预算资金分配的科学性、合理性情况。</w:t>
            </w:r>
          </w:p>
        </w:tc>
        <w:tc>
          <w:tcPr>
            <w:tcW w:w="2485" w:type="pct"/>
            <w:shd w:val="clear" w:color="auto" w:fill="FFFFFF"/>
            <w:noWrap/>
            <w:vAlign w:val="center"/>
          </w:tcPr>
          <w:p w14:paraId="34805666">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①预算资金分配依据是否充分；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②资金分配额度是否合理，与项目单位或地方实际是否相适应。</w:t>
            </w:r>
          </w:p>
        </w:tc>
        <w:tc>
          <w:tcPr>
            <w:tcW w:w="279" w:type="pct"/>
            <w:shd w:val="clear" w:color="auto" w:fill="FFFFFF"/>
            <w:noWrap/>
            <w:vAlign w:val="center"/>
          </w:tcPr>
          <w:p w14:paraId="3E93CCC3">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287" w:type="pct"/>
            <w:shd w:val="clear" w:color="auto" w:fill="FFFFFF"/>
            <w:noWrap/>
            <w:vAlign w:val="center"/>
          </w:tcPr>
          <w:p w14:paraId="7B168CA5">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14:paraId="627168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73" w:type="pct"/>
            <w:vMerge w:val="restart"/>
            <w:shd w:val="clear" w:color="auto" w:fill="FFFFFF"/>
            <w:noWrap/>
            <w:vAlign w:val="center"/>
          </w:tcPr>
          <w:p w14:paraId="6062EA9B">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w:t>
            </w:r>
          </w:p>
        </w:tc>
        <w:tc>
          <w:tcPr>
            <w:tcW w:w="173" w:type="pct"/>
            <w:vMerge w:val="restart"/>
            <w:shd w:val="clear" w:color="auto" w:fill="FFFFFF"/>
            <w:noWrap/>
            <w:vAlign w:val="center"/>
          </w:tcPr>
          <w:p w14:paraId="5F86A1EA">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97" w:type="pct"/>
            <w:shd w:val="clear" w:color="auto" w:fill="FFFFFF"/>
            <w:noWrap/>
            <w:vAlign w:val="center"/>
          </w:tcPr>
          <w:p w14:paraId="364F36EA">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1405" w:type="pct"/>
            <w:shd w:val="clear" w:color="000000" w:fill="FFFFFF"/>
            <w:noWrap/>
            <w:vAlign w:val="center"/>
          </w:tcPr>
          <w:p w14:paraId="20ED0FEE">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实际到位资金与预算资金的比率，用以反映和考核资金落实情况对项目实施的总体保障程度。</w:t>
            </w:r>
          </w:p>
        </w:tc>
        <w:tc>
          <w:tcPr>
            <w:tcW w:w="2485" w:type="pct"/>
            <w:shd w:val="clear" w:color="000000" w:fill="FFFFFF"/>
            <w:noWrap/>
            <w:vAlign w:val="center"/>
          </w:tcPr>
          <w:p w14:paraId="367D256D">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资金到位率=（实际到位资金/预算资金）×100%。</w:t>
            </w:r>
          </w:p>
          <w:p w14:paraId="3E67103B">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实际到位资金：一定时期（本年度或项目期）内落实到具体项目的资金。</w:t>
            </w:r>
          </w:p>
          <w:p w14:paraId="2758D245">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预算资金：一定时期（本年度或项目期）内预算安排到具体项目的资金。</w:t>
            </w:r>
          </w:p>
        </w:tc>
        <w:tc>
          <w:tcPr>
            <w:tcW w:w="279" w:type="pct"/>
            <w:shd w:val="clear" w:color="000000" w:fill="FFFFFF"/>
            <w:noWrap/>
            <w:vAlign w:val="center"/>
          </w:tcPr>
          <w:p w14:paraId="4FFCB95C">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287" w:type="pct"/>
            <w:shd w:val="clear" w:color="000000" w:fill="FFFFFF"/>
            <w:noWrap/>
            <w:vAlign w:val="center"/>
          </w:tcPr>
          <w:p w14:paraId="19248220">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14:paraId="6DEAA5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73" w:type="pct"/>
            <w:vMerge w:val="continue"/>
            <w:shd w:val="clear" w:color="auto" w:fill="FFFFFF"/>
            <w:noWrap/>
            <w:vAlign w:val="center"/>
          </w:tcPr>
          <w:p w14:paraId="04F42AA3">
            <w:pPr>
              <w:spacing w:line="0" w:lineRule="atLeast"/>
              <w:jc w:val="center"/>
              <w:rPr>
                <w:rFonts w:ascii="宋体" w:hAnsi="宋体" w:cs="宋体"/>
                <w:color w:val="000000"/>
                <w:kern w:val="0"/>
                <w:sz w:val="22"/>
                <w:szCs w:val="22"/>
              </w:rPr>
            </w:pPr>
          </w:p>
        </w:tc>
        <w:tc>
          <w:tcPr>
            <w:tcW w:w="173" w:type="pct"/>
            <w:vMerge w:val="continue"/>
            <w:shd w:val="clear" w:color="auto" w:fill="FFFFFF"/>
            <w:noWrap/>
            <w:vAlign w:val="center"/>
          </w:tcPr>
          <w:p w14:paraId="5C476058">
            <w:pPr>
              <w:spacing w:line="0" w:lineRule="atLeast"/>
              <w:jc w:val="center"/>
              <w:rPr>
                <w:rFonts w:ascii="宋体" w:hAnsi="宋体" w:cs="宋体"/>
                <w:color w:val="000000"/>
                <w:kern w:val="0"/>
                <w:sz w:val="22"/>
                <w:szCs w:val="22"/>
              </w:rPr>
            </w:pPr>
          </w:p>
        </w:tc>
        <w:tc>
          <w:tcPr>
            <w:tcW w:w="197" w:type="pct"/>
            <w:shd w:val="clear" w:color="auto" w:fill="FFFFFF"/>
            <w:noWrap/>
            <w:vAlign w:val="center"/>
          </w:tcPr>
          <w:p w14:paraId="2B29C05C">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1405" w:type="pct"/>
            <w:shd w:val="clear" w:color="auto" w:fill="FFFFFF"/>
            <w:noWrap/>
            <w:vAlign w:val="center"/>
          </w:tcPr>
          <w:p w14:paraId="08D4E928">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项目预算资金是否按照计划执行，用以反映或考核项目预算执行情况。</w:t>
            </w:r>
          </w:p>
        </w:tc>
        <w:tc>
          <w:tcPr>
            <w:tcW w:w="2485" w:type="pct"/>
            <w:shd w:val="clear" w:color="auto" w:fill="FFFFFF"/>
            <w:noWrap/>
            <w:vAlign w:val="center"/>
          </w:tcPr>
          <w:p w14:paraId="0C60267A">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预算执行率=（实际支出资金/实际到位资金）×100%。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实际支出资金：一定时期（本年度或项目期）内项目实际拨付的资金。</w:t>
            </w:r>
          </w:p>
        </w:tc>
        <w:tc>
          <w:tcPr>
            <w:tcW w:w="279" w:type="pct"/>
            <w:shd w:val="clear" w:color="auto" w:fill="FFFFFF"/>
            <w:noWrap/>
            <w:vAlign w:val="center"/>
          </w:tcPr>
          <w:p w14:paraId="30599B9D">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287" w:type="pct"/>
            <w:shd w:val="clear" w:color="auto" w:fill="FFFFFF"/>
            <w:noWrap/>
            <w:vAlign w:val="center"/>
          </w:tcPr>
          <w:p w14:paraId="19250E14">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0.92</w:t>
            </w:r>
          </w:p>
        </w:tc>
      </w:tr>
      <w:tr w14:paraId="53D0CD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73" w:type="pct"/>
            <w:vMerge w:val="restart"/>
            <w:shd w:val="clear" w:color="auto" w:fill="FFFFFF"/>
            <w:noWrap/>
            <w:vAlign w:val="center"/>
          </w:tcPr>
          <w:p w14:paraId="418C59EE">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14:paraId="5B145F96">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　</w:t>
            </w:r>
          </w:p>
        </w:tc>
        <w:tc>
          <w:tcPr>
            <w:tcW w:w="173" w:type="pct"/>
            <w:shd w:val="clear" w:color="auto" w:fill="FFFFFF"/>
            <w:noWrap/>
            <w:vAlign w:val="center"/>
          </w:tcPr>
          <w:p w14:paraId="27962797">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97" w:type="pct"/>
            <w:shd w:val="clear" w:color="auto" w:fill="FFFFFF"/>
            <w:noWrap/>
            <w:vAlign w:val="center"/>
          </w:tcPr>
          <w:p w14:paraId="59DB8D65">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资金使用</w:t>
            </w:r>
          </w:p>
          <w:p w14:paraId="2A4061FC">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1405" w:type="pct"/>
            <w:shd w:val="clear" w:color="000000" w:fill="FFFFFF"/>
            <w:noWrap/>
            <w:vAlign w:val="center"/>
          </w:tcPr>
          <w:p w14:paraId="05BF8B61">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项目资金使用是否符合相关的财务管理制度规定，用以反映和考核项目资金的规范运行情况。</w:t>
            </w:r>
          </w:p>
        </w:tc>
        <w:tc>
          <w:tcPr>
            <w:tcW w:w="2485" w:type="pct"/>
            <w:shd w:val="clear" w:color="000000" w:fill="FFFFFF"/>
            <w:noWrap/>
            <w:vAlign w:val="center"/>
          </w:tcPr>
          <w:p w14:paraId="37220133">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①是否符合国家财经法规和财务管理制度以及有关专项资金管理办法的规定；</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②资金的拨付是否有完整的审批程序和手续；</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③是否符合项目预算批复或合同规定的用途；</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④是否存在截留、挤占、挪用、虚列支出等情况。</w:t>
            </w:r>
          </w:p>
        </w:tc>
        <w:tc>
          <w:tcPr>
            <w:tcW w:w="279" w:type="pct"/>
            <w:shd w:val="clear" w:color="000000" w:fill="FFFFFF"/>
            <w:noWrap/>
            <w:vAlign w:val="center"/>
          </w:tcPr>
          <w:p w14:paraId="45F4C867">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287" w:type="pct"/>
            <w:shd w:val="clear" w:color="000000" w:fill="FFFFFF"/>
            <w:noWrap/>
            <w:vAlign w:val="center"/>
          </w:tcPr>
          <w:p w14:paraId="245E2BCE">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14:paraId="1E8277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73" w:type="pct"/>
            <w:vMerge w:val="continue"/>
            <w:shd w:val="clear" w:color="auto" w:fill="FFFFFF"/>
            <w:noWrap/>
            <w:vAlign w:val="center"/>
          </w:tcPr>
          <w:p w14:paraId="24D0D244">
            <w:pPr>
              <w:spacing w:line="0" w:lineRule="atLeast"/>
              <w:jc w:val="center"/>
              <w:rPr>
                <w:rFonts w:ascii="宋体" w:hAnsi="宋体" w:cs="宋体"/>
                <w:color w:val="000000"/>
                <w:kern w:val="0"/>
                <w:sz w:val="22"/>
                <w:szCs w:val="22"/>
              </w:rPr>
            </w:pPr>
          </w:p>
        </w:tc>
        <w:tc>
          <w:tcPr>
            <w:tcW w:w="173" w:type="pct"/>
            <w:vMerge w:val="restart"/>
            <w:shd w:val="clear" w:color="auto" w:fill="FFFFFF"/>
            <w:noWrap/>
            <w:vAlign w:val="center"/>
          </w:tcPr>
          <w:p w14:paraId="726F2C0F">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组织实施</w:t>
            </w:r>
          </w:p>
          <w:p w14:paraId="389894AC">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97" w:type="pct"/>
            <w:shd w:val="clear" w:color="auto" w:fill="FFFFFF"/>
            <w:noWrap/>
            <w:vAlign w:val="center"/>
          </w:tcPr>
          <w:p w14:paraId="78396A05">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管理制度</w:t>
            </w:r>
          </w:p>
          <w:p w14:paraId="0B7E4E7B">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1405" w:type="pct"/>
            <w:shd w:val="clear" w:color="000000" w:fill="FFFFFF"/>
            <w:noWrap/>
            <w:vAlign w:val="center"/>
          </w:tcPr>
          <w:p w14:paraId="4A301697">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项目实施单位的财务和业务管理制度是否健全，用以反映和考核财务和业务管理制度对项目顺利实施的保障情况。</w:t>
            </w:r>
          </w:p>
        </w:tc>
        <w:tc>
          <w:tcPr>
            <w:tcW w:w="2485" w:type="pct"/>
            <w:shd w:val="clear" w:color="000000" w:fill="FFFFFF"/>
            <w:noWrap/>
            <w:vAlign w:val="center"/>
          </w:tcPr>
          <w:p w14:paraId="732884A4">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①是否已制定或具有相应的财务和业务管理制度；</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②财务和业务管理制度是否合法、合规、完整。</w:t>
            </w:r>
          </w:p>
        </w:tc>
        <w:tc>
          <w:tcPr>
            <w:tcW w:w="279" w:type="pct"/>
            <w:shd w:val="clear" w:color="000000" w:fill="FFFFFF"/>
            <w:noWrap/>
            <w:vAlign w:val="center"/>
          </w:tcPr>
          <w:p w14:paraId="7DBA0CF5">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287" w:type="pct"/>
            <w:shd w:val="clear" w:color="000000" w:fill="FFFFFF"/>
            <w:noWrap/>
            <w:vAlign w:val="center"/>
          </w:tcPr>
          <w:p w14:paraId="62D62B93">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14:paraId="7A7D8E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73" w:type="pct"/>
            <w:vMerge w:val="continue"/>
            <w:shd w:val="clear" w:color="auto" w:fill="FFFFFF"/>
            <w:noWrap/>
            <w:vAlign w:val="center"/>
          </w:tcPr>
          <w:p w14:paraId="483828A4">
            <w:pPr>
              <w:widowControl/>
              <w:spacing w:line="0" w:lineRule="atLeast"/>
              <w:jc w:val="center"/>
              <w:rPr>
                <w:rFonts w:ascii="宋体" w:hAnsi="宋体" w:cs="宋体"/>
                <w:color w:val="000000"/>
                <w:kern w:val="0"/>
                <w:sz w:val="22"/>
                <w:szCs w:val="22"/>
              </w:rPr>
            </w:pPr>
          </w:p>
        </w:tc>
        <w:tc>
          <w:tcPr>
            <w:tcW w:w="173" w:type="pct"/>
            <w:vMerge w:val="continue"/>
            <w:shd w:val="clear" w:color="auto" w:fill="FFFFFF"/>
            <w:noWrap/>
            <w:vAlign w:val="center"/>
          </w:tcPr>
          <w:p w14:paraId="4675DE6A">
            <w:pPr>
              <w:widowControl/>
              <w:spacing w:line="0" w:lineRule="atLeast"/>
              <w:jc w:val="center"/>
              <w:rPr>
                <w:rFonts w:ascii="宋体" w:hAnsi="宋体" w:cs="宋体"/>
                <w:color w:val="000000"/>
                <w:kern w:val="0"/>
                <w:sz w:val="22"/>
                <w:szCs w:val="22"/>
              </w:rPr>
            </w:pPr>
          </w:p>
        </w:tc>
        <w:tc>
          <w:tcPr>
            <w:tcW w:w="197" w:type="pct"/>
            <w:shd w:val="clear" w:color="auto" w:fill="FFFFFF"/>
            <w:noWrap/>
            <w:vAlign w:val="center"/>
          </w:tcPr>
          <w:p w14:paraId="392CE6A1">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制度执行</w:t>
            </w:r>
          </w:p>
          <w:p w14:paraId="5F25B9F6">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1405" w:type="pct"/>
            <w:shd w:val="clear" w:color="000000" w:fill="FFFFFF"/>
            <w:noWrap/>
            <w:vAlign w:val="center"/>
          </w:tcPr>
          <w:p w14:paraId="4BC81A00">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项目实施是否符合相关管理规定，用以反映和考核相关管理制度的有效执行情况。</w:t>
            </w:r>
          </w:p>
        </w:tc>
        <w:tc>
          <w:tcPr>
            <w:tcW w:w="2485" w:type="pct"/>
            <w:shd w:val="clear" w:color="000000" w:fill="FFFFFF"/>
            <w:noWrap/>
            <w:vAlign w:val="center"/>
          </w:tcPr>
          <w:p w14:paraId="2FA17908">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①是否遵守相关法律法规和相关管理规定；</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②项目调整及支出调整手续是否完备；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③项目合同书、验收报告、技术鉴定等资料是否齐全并及时归档；</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④项目实施的人员条件、场地设备、信息支撑等是否落实到位。</w:t>
            </w:r>
          </w:p>
        </w:tc>
        <w:tc>
          <w:tcPr>
            <w:tcW w:w="279" w:type="pct"/>
            <w:shd w:val="clear" w:color="000000" w:fill="FFFFFF"/>
            <w:noWrap/>
            <w:vAlign w:val="center"/>
          </w:tcPr>
          <w:p w14:paraId="4E856E5C">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287" w:type="pct"/>
            <w:shd w:val="clear" w:color="000000" w:fill="FFFFFF"/>
            <w:noWrap/>
            <w:vAlign w:val="center"/>
          </w:tcPr>
          <w:p w14:paraId="2D642E52">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14:paraId="2F2B6D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73" w:type="pct"/>
            <w:shd w:val="clear" w:color="auto" w:fill="FFFFFF"/>
            <w:noWrap/>
            <w:vAlign w:val="center"/>
          </w:tcPr>
          <w:p w14:paraId="07942702">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173" w:type="pct"/>
            <w:shd w:val="clear" w:color="auto" w:fill="FFFFFF"/>
            <w:noWrap/>
            <w:vAlign w:val="center"/>
          </w:tcPr>
          <w:p w14:paraId="25601D11">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197" w:type="pct"/>
            <w:shd w:val="clear" w:color="auto" w:fill="FFFFFF"/>
            <w:noWrap/>
            <w:vAlign w:val="center"/>
          </w:tcPr>
          <w:p w14:paraId="64994B10">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1405" w:type="pct"/>
            <w:shd w:val="clear" w:color="000000" w:fill="FFFFFF"/>
            <w:noWrap/>
            <w:vAlign w:val="center"/>
          </w:tcPr>
          <w:p w14:paraId="555936E2">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项目实施的实际产出数与计划产出数的比率，用以反映和考核项目产出数量目标的实现程度。</w:t>
            </w:r>
          </w:p>
        </w:tc>
        <w:tc>
          <w:tcPr>
            <w:tcW w:w="2485" w:type="pct"/>
            <w:shd w:val="clear" w:color="000000" w:fill="FFFFFF"/>
            <w:noWrap/>
            <w:vAlign w:val="center"/>
          </w:tcPr>
          <w:p w14:paraId="79539396">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实际完成率=（实际产出数/计划产出数）×100%。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实际产出数：一定时期（本年度或项目期）内项目实际产出的产品或提供的服务数量。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计划产出数：项目绩效目标确定的在一定时期（本年度或项目期）内计划产出的产品或提供的服务数量。</w:t>
            </w:r>
          </w:p>
        </w:tc>
        <w:tc>
          <w:tcPr>
            <w:tcW w:w="279" w:type="pct"/>
            <w:shd w:val="clear" w:color="000000" w:fill="FFFFFF"/>
            <w:noWrap/>
            <w:vAlign w:val="center"/>
          </w:tcPr>
          <w:p w14:paraId="5B71EFCE">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15</w:t>
            </w:r>
          </w:p>
        </w:tc>
        <w:tc>
          <w:tcPr>
            <w:tcW w:w="287" w:type="pct"/>
            <w:shd w:val="clear" w:color="000000" w:fill="FFFFFF"/>
            <w:noWrap/>
            <w:vAlign w:val="center"/>
          </w:tcPr>
          <w:p w14:paraId="1C409AA6">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15</w:t>
            </w:r>
          </w:p>
        </w:tc>
      </w:tr>
      <w:tr w14:paraId="295144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173" w:type="pct"/>
            <w:vMerge w:val="restart"/>
            <w:shd w:val="clear" w:color="auto" w:fill="FFFFFF"/>
            <w:noWrap/>
            <w:vAlign w:val="center"/>
          </w:tcPr>
          <w:p w14:paraId="2CEE6F6F">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173" w:type="pct"/>
            <w:shd w:val="clear" w:color="auto" w:fill="FFFFFF"/>
            <w:noWrap/>
            <w:vAlign w:val="center"/>
          </w:tcPr>
          <w:p w14:paraId="2F4F07C1">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197" w:type="pct"/>
            <w:shd w:val="clear" w:color="auto" w:fill="FFFFFF"/>
            <w:noWrap/>
            <w:vAlign w:val="center"/>
          </w:tcPr>
          <w:p w14:paraId="5B43ECC3">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1405" w:type="pct"/>
            <w:shd w:val="clear" w:color="000000" w:fill="FFFFFF"/>
            <w:noWrap/>
            <w:vAlign w:val="center"/>
          </w:tcPr>
          <w:p w14:paraId="33E15B79">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项目完成的质量达标产出数与实际产出数的比率，用以反映和考核项目产出质量目标的实现程度。</w:t>
            </w:r>
          </w:p>
        </w:tc>
        <w:tc>
          <w:tcPr>
            <w:tcW w:w="2485" w:type="pct"/>
            <w:shd w:val="clear" w:color="000000" w:fill="FFFFFF"/>
            <w:noWrap/>
            <w:vAlign w:val="center"/>
          </w:tcPr>
          <w:p w14:paraId="62A95486">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质量达标率=（质量达标产出数/实际产出数）×100%。</w:t>
            </w:r>
          </w:p>
          <w:p w14:paraId="5C0D91BC">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279" w:type="pct"/>
            <w:shd w:val="clear" w:color="000000" w:fill="FFFFFF"/>
            <w:noWrap/>
            <w:vAlign w:val="center"/>
          </w:tcPr>
          <w:p w14:paraId="48E82CBF">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10</w:t>
            </w:r>
          </w:p>
        </w:tc>
        <w:tc>
          <w:tcPr>
            <w:tcW w:w="287" w:type="pct"/>
            <w:shd w:val="clear" w:color="000000" w:fill="FFFFFF"/>
            <w:noWrap/>
            <w:vAlign w:val="center"/>
          </w:tcPr>
          <w:p w14:paraId="740525BF">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10</w:t>
            </w:r>
          </w:p>
        </w:tc>
      </w:tr>
      <w:tr w14:paraId="180BFF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73" w:type="pct"/>
            <w:vMerge w:val="continue"/>
            <w:shd w:val="clear" w:color="auto" w:fill="FFFFFF"/>
            <w:noWrap/>
            <w:vAlign w:val="center"/>
          </w:tcPr>
          <w:p w14:paraId="1448F279">
            <w:pPr>
              <w:spacing w:line="0" w:lineRule="atLeast"/>
              <w:jc w:val="center"/>
              <w:rPr>
                <w:rFonts w:ascii="宋体" w:hAnsi="宋体" w:cs="宋体"/>
                <w:color w:val="000000"/>
                <w:kern w:val="0"/>
                <w:sz w:val="22"/>
                <w:szCs w:val="22"/>
              </w:rPr>
            </w:pPr>
          </w:p>
        </w:tc>
        <w:tc>
          <w:tcPr>
            <w:tcW w:w="173" w:type="pct"/>
            <w:shd w:val="clear" w:color="auto" w:fill="FFFFFF"/>
            <w:noWrap/>
            <w:vAlign w:val="center"/>
          </w:tcPr>
          <w:p w14:paraId="4FA050D4">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197" w:type="pct"/>
            <w:shd w:val="clear" w:color="auto" w:fill="FFFFFF"/>
            <w:noWrap/>
            <w:vAlign w:val="center"/>
          </w:tcPr>
          <w:p w14:paraId="389117E1">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1405" w:type="pct"/>
            <w:shd w:val="clear" w:color="000000" w:fill="FFFFFF"/>
            <w:noWrap/>
            <w:vAlign w:val="center"/>
          </w:tcPr>
          <w:p w14:paraId="6122B796">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项目实际完成时间与计划完成时间的比较，用以反映和考核项目产出时效目标的实现程度。</w:t>
            </w:r>
          </w:p>
        </w:tc>
        <w:tc>
          <w:tcPr>
            <w:tcW w:w="2485" w:type="pct"/>
            <w:shd w:val="clear" w:color="000000" w:fill="FFFFFF"/>
            <w:noWrap/>
            <w:vAlign w:val="center"/>
          </w:tcPr>
          <w:p w14:paraId="750A452F">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实际完成时间：项目实施单位完成该项目实际所耗用的时间。</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计划完成时间：按照项目实施计划或相关规定完成该项目所需的时间。</w:t>
            </w:r>
          </w:p>
        </w:tc>
        <w:tc>
          <w:tcPr>
            <w:tcW w:w="279" w:type="pct"/>
            <w:shd w:val="clear" w:color="000000" w:fill="FFFFFF"/>
            <w:noWrap/>
            <w:vAlign w:val="center"/>
          </w:tcPr>
          <w:p w14:paraId="4D12D342">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15</w:t>
            </w:r>
          </w:p>
        </w:tc>
        <w:tc>
          <w:tcPr>
            <w:tcW w:w="287" w:type="pct"/>
            <w:shd w:val="clear" w:color="000000" w:fill="FFFFFF"/>
            <w:noWrap/>
            <w:vAlign w:val="center"/>
          </w:tcPr>
          <w:p w14:paraId="7382549C">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15</w:t>
            </w:r>
          </w:p>
        </w:tc>
      </w:tr>
      <w:tr w14:paraId="23C599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73" w:type="pct"/>
            <w:vMerge w:val="continue"/>
            <w:shd w:val="clear" w:color="auto" w:fill="FFFFFF"/>
            <w:noWrap/>
            <w:vAlign w:val="center"/>
          </w:tcPr>
          <w:p w14:paraId="18D9C0E6">
            <w:pPr>
              <w:widowControl/>
              <w:spacing w:line="0" w:lineRule="atLeast"/>
              <w:jc w:val="center"/>
              <w:rPr>
                <w:rFonts w:ascii="宋体" w:hAnsi="宋体" w:cs="宋体"/>
                <w:color w:val="000000"/>
                <w:kern w:val="0"/>
                <w:sz w:val="22"/>
                <w:szCs w:val="22"/>
              </w:rPr>
            </w:pPr>
          </w:p>
        </w:tc>
        <w:tc>
          <w:tcPr>
            <w:tcW w:w="173" w:type="pct"/>
            <w:shd w:val="clear" w:color="auto" w:fill="FFFFFF"/>
            <w:noWrap/>
            <w:vAlign w:val="center"/>
          </w:tcPr>
          <w:p w14:paraId="0C6BC6C2">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197" w:type="pct"/>
            <w:shd w:val="clear" w:color="auto" w:fill="FFFFFF"/>
            <w:noWrap/>
            <w:vAlign w:val="center"/>
          </w:tcPr>
          <w:p w14:paraId="723C596C">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1405" w:type="pct"/>
            <w:shd w:val="clear" w:color="000000" w:fill="FFFFFF"/>
            <w:noWrap/>
            <w:vAlign w:val="center"/>
          </w:tcPr>
          <w:p w14:paraId="40A78808">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完成项目计划工作目标的实际节约成本与计划成本的比率，用以反映和考核项目的成本节约程度。</w:t>
            </w:r>
          </w:p>
        </w:tc>
        <w:tc>
          <w:tcPr>
            <w:tcW w:w="2485" w:type="pct"/>
            <w:shd w:val="clear" w:color="000000" w:fill="FFFFFF"/>
            <w:noWrap/>
            <w:vAlign w:val="center"/>
          </w:tcPr>
          <w:p w14:paraId="0691019F">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成本节约率=[（计划成本-实际成本）/计划成本]×100%。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实际成本：项目实施单位如期、保质、保量完成既定工作目标实际所耗费的支出。</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计划成本：项目实施单位为完成工作目标计划安排的支出，一般以项目预算为参考。</w:t>
            </w:r>
          </w:p>
        </w:tc>
        <w:tc>
          <w:tcPr>
            <w:tcW w:w="279" w:type="pct"/>
            <w:shd w:val="clear" w:color="000000" w:fill="FFFFFF"/>
            <w:noWrap/>
            <w:vAlign w:val="center"/>
          </w:tcPr>
          <w:p w14:paraId="5E0BE784">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10</w:t>
            </w:r>
          </w:p>
        </w:tc>
        <w:tc>
          <w:tcPr>
            <w:tcW w:w="287" w:type="pct"/>
            <w:shd w:val="clear" w:color="000000" w:fill="FFFFFF"/>
            <w:noWrap/>
            <w:vAlign w:val="center"/>
          </w:tcPr>
          <w:p w14:paraId="58309383">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9.28</w:t>
            </w:r>
          </w:p>
        </w:tc>
      </w:tr>
      <w:tr w14:paraId="762EE9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73" w:type="pct"/>
            <w:vMerge w:val="restart"/>
            <w:shd w:val="clear" w:color="auto" w:fill="FFFFFF"/>
            <w:noWrap/>
            <w:vAlign w:val="center"/>
          </w:tcPr>
          <w:p w14:paraId="4C8F19F2">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效益　</w:t>
            </w:r>
          </w:p>
        </w:tc>
        <w:tc>
          <w:tcPr>
            <w:tcW w:w="173" w:type="pct"/>
            <w:vMerge w:val="restart"/>
            <w:shd w:val="clear" w:color="auto" w:fill="FFFFFF"/>
            <w:noWrap/>
            <w:vAlign w:val="center"/>
          </w:tcPr>
          <w:p w14:paraId="7BE48848">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197" w:type="pct"/>
            <w:shd w:val="clear" w:color="auto" w:fill="FFFFFF"/>
            <w:noWrap/>
            <w:vAlign w:val="center"/>
          </w:tcPr>
          <w:p w14:paraId="12515688">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实施效益</w:t>
            </w:r>
          </w:p>
        </w:tc>
        <w:tc>
          <w:tcPr>
            <w:tcW w:w="1405" w:type="pct"/>
            <w:shd w:val="clear" w:color="auto" w:fill="FFFFFF"/>
            <w:noWrap/>
            <w:vAlign w:val="center"/>
          </w:tcPr>
          <w:p w14:paraId="0E5A1656">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项目实施所产生的效益。</w:t>
            </w:r>
          </w:p>
        </w:tc>
        <w:tc>
          <w:tcPr>
            <w:tcW w:w="2485" w:type="pct"/>
            <w:shd w:val="clear" w:color="auto" w:fill="FFFFFF"/>
            <w:noWrap/>
            <w:vAlign w:val="center"/>
          </w:tcPr>
          <w:p w14:paraId="4D731270">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项目实施所产生的社会效益、经济效益、生态效益、可持续影响等。可根据项目实际情况有选择地设置和细化。</w:t>
            </w:r>
          </w:p>
        </w:tc>
        <w:tc>
          <w:tcPr>
            <w:tcW w:w="279" w:type="pct"/>
            <w:shd w:val="clear" w:color="auto" w:fill="FFFFFF"/>
            <w:noWrap/>
            <w:vAlign w:val="center"/>
          </w:tcPr>
          <w:p w14:paraId="027FA03E">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30</w:t>
            </w:r>
          </w:p>
        </w:tc>
        <w:tc>
          <w:tcPr>
            <w:tcW w:w="287" w:type="pct"/>
            <w:shd w:val="clear" w:color="auto" w:fill="FFFFFF"/>
            <w:noWrap/>
            <w:vAlign w:val="center"/>
          </w:tcPr>
          <w:p w14:paraId="78A539F3">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30</w:t>
            </w:r>
          </w:p>
        </w:tc>
      </w:tr>
      <w:tr w14:paraId="778258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73" w:type="pct"/>
            <w:vMerge w:val="continue"/>
            <w:shd w:val="clear" w:color="auto" w:fill="FFFFFF"/>
            <w:noWrap/>
            <w:vAlign w:val="center"/>
          </w:tcPr>
          <w:p w14:paraId="6226FB7B">
            <w:pPr>
              <w:widowControl/>
              <w:spacing w:line="0" w:lineRule="atLeast"/>
              <w:jc w:val="center"/>
              <w:rPr>
                <w:rFonts w:ascii="宋体" w:hAnsi="宋体" w:cs="宋体"/>
                <w:color w:val="000000"/>
                <w:kern w:val="0"/>
                <w:sz w:val="22"/>
                <w:szCs w:val="22"/>
              </w:rPr>
            </w:pPr>
          </w:p>
        </w:tc>
        <w:tc>
          <w:tcPr>
            <w:tcW w:w="173" w:type="pct"/>
            <w:vMerge w:val="continue"/>
            <w:shd w:val="clear" w:color="auto" w:fill="FFFFFF"/>
            <w:noWrap/>
            <w:vAlign w:val="center"/>
          </w:tcPr>
          <w:p w14:paraId="3DB38585">
            <w:pPr>
              <w:widowControl/>
              <w:spacing w:line="0" w:lineRule="atLeast"/>
              <w:jc w:val="center"/>
              <w:rPr>
                <w:rFonts w:ascii="宋体" w:hAnsi="宋体" w:cs="宋体"/>
                <w:color w:val="000000"/>
                <w:kern w:val="0"/>
                <w:sz w:val="22"/>
                <w:szCs w:val="22"/>
              </w:rPr>
            </w:pPr>
          </w:p>
        </w:tc>
        <w:tc>
          <w:tcPr>
            <w:tcW w:w="197" w:type="pct"/>
            <w:shd w:val="clear" w:color="auto" w:fill="FFFFFF"/>
            <w:noWrap/>
            <w:vAlign w:val="center"/>
          </w:tcPr>
          <w:p w14:paraId="120BE7B0">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1405" w:type="pct"/>
            <w:shd w:val="clear" w:color="000000" w:fill="FFFFFF"/>
            <w:noWrap/>
            <w:vAlign w:val="center"/>
          </w:tcPr>
          <w:p w14:paraId="7259F811">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社会公众或服务对象对项目实施效果的满意程度。</w:t>
            </w:r>
          </w:p>
        </w:tc>
        <w:tc>
          <w:tcPr>
            <w:tcW w:w="2485" w:type="pct"/>
            <w:shd w:val="clear" w:color="000000" w:fill="FFFFFF"/>
            <w:noWrap/>
            <w:vAlign w:val="center"/>
          </w:tcPr>
          <w:p w14:paraId="754122CD">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社会公众或服务对象是指因该项目实施而受到影响的部门（单位）、群体或个人。一般采取社会调查的方式。</w:t>
            </w:r>
          </w:p>
        </w:tc>
        <w:tc>
          <w:tcPr>
            <w:tcW w:w="279" w:type="pct"/>
            <w:shd w:val="clear" w:color="000000" w:fill="FFFFFF"/>
            <w:noWrap/>
            <w:vAlign w:val="center"/>
          </w:tcPr>
          <w:p w14:paraId="426E9DAD">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10</w:t>
            </w:r>
          </w:p>
        </w:tc>
        <w:tc>
          <w:tcPr>
            <w:tcW w:w="287" w:type="pct"/>
            <w:shd w:val="clear" w:color="000000" w:fill="FFFFFF"/>
            <w:noWrap/>
            <w:vAlign w:val="center"/>
          </w:tcPr>
          <w:p w14:paraId="6D70163E">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10</w:t>
            </w:r>
          </w:p>
        </w:tc>
      </w:tr>
    </w:tbl>
    <w:p w14:paraId="4FE6674A">
      <w:pPr>
        <w:pStyle w:val="2"/>
      </w:pPr>
    </w:p>
    <w:p w14:paraId="2E8CE50C"/>
    <w:p w14:paraId="59F01A72">
      <w:pPr>
        <w:spacing w:line="540" w:lineRule="exact"/>
        <w:ind w:firstLine="640"/>
        <w:rPr>
          <w:rStyle w:val="20"/>
          <w:rFonts w:ascii="黑体" w:hAnsi="黑体" w:eastAsia="黑体"/>
          <w:bCs w:val="0"/>
          <w:spacing w:val="-4"/>
          <w:sz w:val="32"/>
          <w:szCs w:val="32"/>
        </w:rPr>
      </w:pPr>
    </w:p>
    <w:p w14:paraId="5DF6F264">
      <w:pPr>
        <w:spacing w:line="540" w:lineRule="exact"/>
        <w:ind w:firstLine="640"/>
        <w:rPr>
          <w:rStyle w:val="20"/>
          <w:rFonts w:ascii="黑体" w:hAnsi="黑体" w:eastAsia="黑体"/>
          <w:bCs w:val="0"/>
          <w:spacing w:val="-4"/>
          <w:sz w:val="32"/>
          <w:szCs w:val="32"/>
        </w:rPr>
      </w:pPr>
    </w:p>
    <w:p w14:paraId="55D716A6">
      <w:pPr>
        <w:spacing w:line="540" w:lineRule="exact"/>
        <w:ind w:firstLine="640"/>
        <w:rPr>
          <w:rStyle w:val="20"/>
          <w:rFonts w:ascii="黑体" w:hAnsi="黑体" w:eastAsia="黑体"/>
          <w:bCs w:val="0"/>
          <w:spacing w:val="-4"/>
          <w:sz w:val="32"/>
          <w:szCs w:val="32"/>
        </w:rPr>
      </w:pPr>
    </w:p>
    <w:p w14:paraId="40A9D134">
      <w:pPr>
        <w:spacing w:line="540" w:lineRule="exact"/>
        <w:ind w:firstLine="640"/>
        <w:rPr>
          <w:rStyle w:val="20"/>
          <w:rFonts w:ascii="黑体" w:hAnsi="黑体" w:eastAsia="黑体"/>
          <w:bCs w:val="0"/>
          <w:spacing w:val="-4"/>
          <w:sz w:val="32"/>
          <w:szCs w:val="32"/>
        </w:rPr>
      </w:pPr>
    </w:p>
    <w:p w14:paraId="037C0488">
      <w:pPr>
        <w:spacing w:line="540" w:lineRule="exact"/>
        <w:ind w:firstLine="640"/>
        <w:rPr>
          <w:rStyle w:val="20"/>
          <w:rFonts w:ascii="黑体" w:hAnsi="黑体" w:eastAsia="黑体"/>
          <w:bCs w:val="0"/>
          <w:spacing w:val="-4"/>
          <w:sz w:val="32"/>
          <w:szCs w:val="32"/>
        </w:rPr>
      </w:pPr>
    </w:p>
    <w:p w14:paraId="44AD37EF">
      <w:pPr>
        <w:spacing w:line="540" w:lineRule="exact"/>
        <w:ind w:firstLine="640"/>
        <w:rPr>
          <w:rStyle w:val="20"/>
          <w:rFonts w:ascii="黑体" w:hAnsi="黑体" w:eastAsia="黑体"/>
          <w:bCs w:val="0"/>
          <w:spacing w:val="-4"/>
          <w:sz w:val="32"/>
          <w:szCs w:val="32"/>
        </w:rPr>
      </w:pPr>
    </w:p>
    <w:p w14:paraId="57930ABE">
      <w:pPr>
        <w:spacing w:line="540" w:lineRule="exact"/>
        <w:rPr>
          <w:rStyle w:val="20"/>
          <w:rFonts w:ascii="仿宋" w:hAnsi="仿宋"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8EC5FF7-FEC0-4946-A308-5E4AF9C1EE67}"/>
  </w:font>
  <w:font w:name="黑体">
    <w:panose1 w:val="02010609060101010101"/>
    <w:charset w:val="86"/>
    <w:family w:val="auto"/>
    <w:pitch w:val="default"/>
    <w:sig w:usb0="800002BF" w:usb1="38CF7CFA" w:usb2="00000016" w:usb3="00000000" w:csb0="00040001" w:csb1="00000000"/>
    <w:embedRegular r:id="rId2" w:fontKey="{892DE9C9-B090-428C-8F9D-962A836C2B0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82EEABFD-0BA5-445A-9D03-54F901D738F5}"/>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4" w:fontKey="{D00337A7-34B3-49C7-93CB-D9BB878626BB}"/>
  </w:font>
  <w:font w:name="仿宋">
    <w:panose1 w:val="02010609060101010101"/>
    <w:charset w:val="86"/>
    <w:family w:val="modern"/>
    <w:pitch w:val="default"/>
    <w:sig w:usb0="800002BF" w:usb1="38CF7CFA" w:usb2="00000016" w:usb3="00000000" w:csb0="00040001" w:csb1="00000000"/>
    <w:embedRegular r:id="rId5" w:fontKey="{FC0395A5-2A62-4AB1-9996-AADB52C7F397}"/>
  </w:font>
  <w:font w:name="华文中宋">
    <w:panose1 w:val="02010600040101010101"/>
    <w:charset w:val="86"/>
    <w:family w:val="auto"/>
    <w:pitch w:val="default"/>
    <w:sig w:usb0="00000287" w:usb1="080F0000" w:usb2="00000000" w:usb3="00000000" w:csb0="0004009F" w:csb1="DFD70000"/>
    <w:embedRegular r:id="rId6" w:fontKey="{31B49952-7B37-4F8A-92B2-F57464C7042F}"/>
  </w:font>
  <w:font w:name="方正小标宋简体">
    <w:panose1 w:val="02000000000000000000"/>
    <w:charset w:val="86"/>
    <w:family w:val="auto"/>
    <w:pitch w:val="default"/>
    <w:sig w:usb0="00000001" w:usb1="08000000" w:usb2="00000000" w:usb3="00000000" w:csb0="00040000" w:csb1="00000000"/>
    <w:embedRegular r:id="rId7" w:fontKey="{0B3D7E05-352F-4C97-959C-81ADA7573314}"/>
  </w:font>
  <w:font w:name="楷体_GB2312">
    <w:altName w:val="楷体"/>
    <w:panose1 w:val="00000000000000000000"/>
    <w:charset w:val="86"/>
    <w:family w:val="modern"/>
    <w:pitch w:val="default"/>
    <w:sig w:usb0="00000000" w:usb1="00000000" w:usb2="00000010" w:usb3="00000000" w:csb0="00040000" w:csb1="00000000"/>
    <w:embedRegular r:id="rId8" w:fontKey="{D8EEA78F-6D3B-4788-A5F0-B6AAFBB5797E}"/>
  </w:font>
  <w:font w:name="楷体">
    <w:panose1 w:val="02010609060101010101"/>
    <w:charset w:val="86"/>
    <w:family w:val="modern"/>
    <w:pitch w:val="default"/>
    <w:sig w:usb0="800002BF" w:usb1="38CF7CFA" w:usb2="00000016" w:usb3="00000000" w:csb0="00040001" w:csb1="00000000"/>
    <w:embedRegular r:id="rId9" w:fontKey="{E66E1E96-4220-414B-A9F9-03D0DC5248C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AC63CAB">
        <w:pPr>
          <w:pStyle w:val="14"/>
          <w:jc w:val="center"/>
        </w:pPr>
        <w:r>
          <w:fldChar w:fldCharType="begin"/>
        </w:r>
        <w:r>
          <w:instrText xml:space="preserve">PAGE   \* MERGEFORMAT</w:instrText>
        </w:r>
        <w:r>
          <w:fldChar w:fldCharType="separate"/>
        </w:r>
        <w:r>
          <w:rPr>
            <w:lang w:val="zh-CN"/>
          </w:rPr>
          <w:t>15</w:t>
        </w:r>
        <w:r>
          <w:rPr>
            <w:lang w:val="zh-CN"/>
          </w:rPr>
          <w:fldChar w:fldCharType="end"/>
        </w:r>
      </w:p>
    </w:sdtContent>
  </w:sdt>
  <w:p w14:paraId="756E72AA">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E5C6BF8"/>
    <w:multiLevelType w:val="singleLevel"/>
    <w:tmpl w:val="EE5C6BF8"/>
    <w:lvl w:ilvl="0" w:tentative="0">
      <w:start w:val="2"/>
      <w:numFmt w:val="decimal"/>
      <w:suff w:val="nothing"/>
      <w:lvlText w:val="%1、"/>
      <w:lvlJc w:val="left"/>
    </w:lvl>
  </w:abstractNum>
  <w:abstractNum w:abstractNumId="3">
    <w:nsid w:val="FF4BB6DE"/>
    <w:multiLevelType w:val="singleLevel"/>
    <w:tmpl w:val="FF4BB6DE"/>
    <w:lvl w:ilvl="0" w:tentative="0">
      <w:start w:val="1"/>
      <w:numFmt w:val="decimal"/>
      <w:suff w:val="nothing"/>
      <w:lvlText w:val="%1、"/>
      <w:lvlJc w:val="left"/>
    </w:lvl>
  </w:abstractNum>
  <w:abstractNum w:abstractNumId="4">
    <w:nsid w:val="FF9379A8"/>
    <w:multiLevelType w:val="singleLevel"/>
    <w:tmpl w:val="FF9379A8"/>
    <w:lvl w:ilvl="0" w:tentative="0">
      <w:start w:val="2"/>
      <w:numFmt w:val="chineseCounting"/>
      <w:suff w:val="nothing"/>
      <w:lvlText w:val="（%1）"/>
      <w:lvlJc w:val="left"/>
      <w:rPr>
        <w:rFonts w:hint="eastAsia"/>
      </w:rPr>
    </w:lvl>
  </w:abstractNum>
  <w:abstractNum w:abstractNumId="5">
    <w:nsid w:val="116B29BF"/>
    <w:multiLevelType w:val="singleLevel"/>
    <w:tmpl w:val="116B29BF"/>
    <w:lvl w:ilvl="0" w:tentative="0">
      <w:start w:val="3"/>
      <w:numFmt w:val="chineseCounting"/>
      <w:suff w:val="nothing"/>
      <w:lvlText w:val="%1、"/>
      <w:lvlJc w:val="left"/>
      <w:rPr>
        <w:rFonts w:hint="eastAsia"/>
      </w:rPr>
    </w:lvl>
  </w:abstractNum>
  <w:abstractNum w:abstractNumId="6">
    <w:nsid w:val="27813159"/>
    <w:multiLevelType w:val="singleLevel"/>
    <w:tmpl w:val="27813159"/>
    <w:lvl w:ilvl="0" w:tentative="0">
      <w:start w:val="3"/>
      <w:numFmt w:val="chineseCounting"/>
      <w:suff w:val="nothing"/>
      <w:lvlText w:val="（%1）"/>
      <w:lvlJc w:val="left"/>
      <w:rPr>
        <w:rFonts w:hint="eastAsia"/>
      </w:rPr>
    </w:lvl>
  </w:abstractNum>
  <w:abstractNum w:abstractNumId="7">
    <w:nsid w:val="3730CCE4"/>
    <w:multiLevelType w:val="singleLevel"/>
    <w:tmpl w:val="3730CCE4"/>
    <w:lvl w:ilvl="0" w:tentative="0">
      <w:start w:val="2"/>
      <w:numFmt w:val="decimal"/>
      <w:suff w:val="nothing"/>
      <w:lvlText w:val="（%1）"/>
      <w:lvlJc w:val="left"/>
    </w:lvl>
  </w:abstractNum>
  <w:abstractNum w:abstractNumId="8">
    <w:nsid w:val="39582232"/>
    <w:multiLevelType w:val="multilevel"/>
    <w:tmpl w:val="39582232"/>
    <w:lvl w:ilvl="0" w:tentative="0">
      <w:start w:val="1"/>
      <w:numFmt w:val="decimal"/>
      <w:lvlText w:val="%1、"/>
      <w:lvlJc w:val="left"/>
      <w:pPr>
        <w:ind w:left="1135" w:hanging="495"/>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9">
    <w:nsid w:val="6FAA0AB1"/>
    <w:multiLevelType w:val="singleLevel"/>
    <w:tmpl w:val="6FAA0AB1"/>
    <w:lvl w:ilvl="0" w:tentative="0">
      <w:start w:val="2"/>
      <w:numFmt w:val="chineseCounting"/>
      <w:suff w:val="nothing"/>
      <w:lvlText w:val="（%1）"/>
      <w:lvlJc w:val="left"/>
      <w:rPr>
        <w:rFonts w:hint="eastAsia"/>
      </w:rPr>
    </w:lvl>
  </w:abstractNum>
  <w:num w:numId="1">
    <w:abstractNumId w:val="7"/>
  </w:num>
  <w:num w:numId="2">
    <w:abstractNumId w:val="2"/>
  </w:num>
  <w:num w:numId="3">
    <w:abstractNumId w:val="1"/>
  </w:num>
  <w:num w:numId="4">
    <w:abstractNumId w:val="6"/>
  </w:num>
  <w:num w:numId="5">
    <w:abstractNumId w:val="5"/>
  </w:num>
  <w:num w:numId="6">
    <w:abstractNumId w:val="9"/>
  </w:num>
  <w:num w:numId="7">
    <w:abstractNumId w:val="4"/>
  </w:num>
  <w:num w:numId="8">
    <w:abstractNumId w:val="8"/>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371C9"/>
    <w:rsid w:val="00056465"/>
    <w:rsid w:val="00074CEE"/>
    <w:rsid w:val="000C64C2"/>
    <w:rsid w:val="000E50F0"/>
    <w:rsid w:val="000E586C"/>
    <w:rsid w:val="00106506"/>
    <w:rsid w:val="00121AE4"/>
    <w:rsid w:val="00146AAD"/>
    <w:rsid w:val="00162FBE"/>
    <w:rsid w:val="001908F3"/>
    <w:rsid w:val="001B3A40"/>
    <w:rsid w:val="0021262C"/>
    <w:rsid w:val="00287EF7"/>
    <w:rsid w:val="002C6E53"/>
    <w:rsid w:val="00352682"/>
    <w:rsid w:val="00371141"/>
    <w:rsid w:val="00396AB6"/>
    <w:rsid w:val="003B0119"/>
    <w:rsid w:val="003C18BC"/>
    <w:rsid w:val="004366A8"/>
    <w:rsid w:val="00464900"/>
    <w:rsid w:val="004D38A9"/>
    <w:rsid w:val="004E0FFE"/>
    <w:rsid w:val="004F5D9A"/>
    <w:rsid w:val="00502BA7"/>
    <w:rsid w:val="005162F1"/>
    <w:rsid w:val="00535153"/>
    <w:rsid w:val="00554F82"/>
    <w:rsid w:val="0056390D"/>
    <w:rsid w:val="005663B9"/>
    <w:rsid w:val="005719B0"/>
    <w:rsid w:val="005911A6"/>
    <w:rsid w:val="00591CCC"/>
    <w:rsid w:val="005A3BBC"/>
    <w:rsid w:val="005D10D6"/>
    <w:rsid w:val="00610BB7"/>
    <w:rsid w:val="006217F2"/>
    <w:rsid w:val="00636424"/>
    <w:rsid w:val="006C7809"/>
    <w:rsid w:val="006E53AC"/>
    <w:rsid w:val="007061AC"/>
    <w:rsid w:val="00712100"/>
    <w:rsid w:val="007806A5"/>
    <w:rsid w:val="007A680E"/>
    <w:rsid w:val="00832CF2"/>
    <w:rsid w:val="00855E3A"/>
    <w:rsid w:val="008916EE"/>
    <w:rsid w:val="0089553C"/>
    <w:rsid w:val="008D2AAD"/>
    <w:rsid w:val="00922CB9"/>
    <w:rsid w:val="00936152"/>
    <w:rsid w:val="009979A9"/>
    <w:rsid w:val="009C0FEC"/>
    <w:rsid w:val="009E5CD9"/>
    <w:rsid w:val="00A12D1B"/>
    <w:rsid w:val="00A26421"/>
    <w:rsid w:val="00A4293B"/>
    <w:rsid w:val="00A67D50"/>
    <w:rsid w:val="00A8691A"/>
    <w:rsid w:val="00A86D35"/>
    <w:rsid w:val="00A9616F"/>
    <w:rsid w:val="00AC1946"/>
    <w:rsid w:val="00B22247"/>
    <w:rsid w:val="00B40063"/>
    <w:rsid w:val="00B41F61"/>
    <w:rsid w:val="00B50567"/>
    <w:rsid w:val="00B77767"/>
    <w:rsid w:val="00B82D15"/>
    <w:rsid w:val="00BA46E6"/>
    <w:rsid w:val="00BC7C2E"/>
    <w:rsid w:val="00C56C72"/>
    <w:rsid w:val="00CA6457"/>
    <w:rsid w:val="00CB66DA"/>
    <w:rsid w:val="00CC2770"/>
    <w:rsid w:val="00CD452B"/>
    <w:rsid w:val="00D17F2E"/>
    <w:rsid w:val="00D30354"/>
    <w:rsid w:val="00D65584"/>
    <w:rsid w:val="00DB2274"/>
    <w:rsid w:val="00DD6662"/>
    <w:rsid w:val="00DF42A0"/>
    <w:rsid w:val="00DF7C45"/>
    <w:rsid w:val="00E31565"/>
    <w:rsid w:val="00E367C4"/>
    <w:rsid w:val="00E46C51"/>
    <w:rsid w:val="00E769FE"/>
    <w:rsid w:val="00EA2CBE"/>
    <w:rsid w:val="00EA7293"/>
    <w:rsid w:val="00F263D7"/>
    <w:rsid w:val="00F32FEE"/>
    <w:rsid w:val="00F71278"/>
    <w:rsid w:val="00F712F7"/>
    <w:rsid w:val="00FB10BB"/>
    <w:rsid w:val="00FE0976"/>
    <w:rsid w:val="051A56F5"/>
    <w:rsid w:val="066D6EAA"/>
    <w:rsid w:val="08C662D4"/>
    <w:rsid w:val="09BD4D95"/>
    <w:rsid w:val="0F8D41CB"/>
    <w:rsid w:val="11C75270"/>
    <w:rsid w:val="12637CC3"/>
    <w:rsid w:val="12E657C5"/>
    <w:rsid w:val="167C7687"/>
    <w:rsid w:val="168B3546"/>
    <w:rsid w:val="1A2374E0"/>
    <w:rsid w:val="1C317CE2"/>
    <w:rsid w:val="1DD45808"/>
    <w:rsid w:val="1DED42AC"/>
    <w:rsid w:val="20005763"/>
    <w:rsid w:val="20FB313D"/>
    <w:rsid w:val="220B4804"/>
    <w:rsid w:val="25902A37"/>
    <w:rsid w:val="282475E3"/>
    <w:rsid w:val="2C6100C1"/>
    <w:rsid w:val="3264220D"/>
    <w:rsid w:val="35891A32"/>
    <w:rsid w:val="35DC62F5"/>
    <w:rsid w:val="3963178C"/>
    <w:rsid w:val="3E4B345B"/>
    <w:rsid w:val="41CC2676"/>
    <w:rsid w:val="43F7678D"/>
    <w:rsid w:val="46B21672"/>
    <w:rsid w:val="4CD0184F"/>
    <w:rsid w:val="4F552460"/>
    <w:rsid w:val="4FCC6863"/>
    <w:rsid w:val="500A214A"/>
    <w:rsid w:val="522D604D"/>
    <w:rsid w:val="5297585E"/>
    <w:rsid w:val="52AD7D6F"/>
    <w:rsid w:val="5549519D"/>
    <w:rsid w:val="5557596B"/>
    <w:rsid w:val="578C2F93"/>
    <w:rsid w:val="5B596DFC"/>
    <w:rsid w:val="5DF03945"/>
    <w:rsid w:val="637C2815"/>
    <w:rsid w:val="70C2651E"/>
    <w:rsid w:val="7A353D0B"/>
    <w:rsid w:val="7B5D5230"/>
    <w:rsid w:val="7C4C2B39"/>
    <w:rsid w:val="7D3A5E2F"/>
    <w:rsid w:val="7DDE32D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3"/>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4"/>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5"/>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6"/>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7"/>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8"/>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29"/>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0"/>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w:basedOn w:val="1"/>
    <w:qFormat/>
    <w:uiPriority w:val="0"/>
    <w:pPr>
      <w:spacing w:after="120"/>
    </w:pPr>
  </w:style>
  <w:style w:type="paragraph" w:styleId="13">
    <w:name w:val="Balloon Text"/>
    <w:basedOn w:val="1"/>
    <w:link w:val="47"/>
    <w:semiHidden/>
    <w:unhideWhenUsed/>
    <w:qFormat/>
    <w:uiPriority w:val="99"/>
    <w:rPr>
      <w:sz w:val="18"/>
      <w:szCs w:val="18"/>
    </w:rPr>
  </w:style>
  <w:style w:type="paragraph" w:styleId="14">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7">
    <w:name w:val="Body Text First Indent"/>
    <w:basedOn w:val="12"/>
    <w:qFormat/>
    <w:uiPriority w:val="0"/>
    <w:pPr>
      <w:spacing w:after="0"/>
      <w:ind w:firstLine="200" w:firstLineChars="200"/>
    </w:pPr>
  </w:style>
  <w:style w:type="character" w:styleId="20">
    <w:name w:val="Strong"/>
    <w:basedOn w:val="19"/>
    <w:qFormat/>
    <w:uiPriority w:val="0"/>
    <w:rPr>
      <w:b/>
      <w:bCs/>
    </w:rPr>
  </w:style>
  <w:style w:type="character" w:styleId="21">
    <w:name w:val="Emphasis"/>
    <w:basedOn w:val="19"/>
    <w:qFormat/>
    <w:uiPriority w:val="20"/>
    <w:rPr>
      <w:rFonts w:asciiTheme="minorHAnsi" w:hAnsiTheme="minorHAnsi"/>
      <w:b/>
      <w:i/>
      <w:iCs/>
    </w:rPr>
  </w:style>
  <w:style w:type="character" w:customStyle="1" w:styleId="22">
    <w:name w:val="标题 1 字符"/>
    <w:basedOn w:val="19"/>
    <w:link w:val="3"/>
    <w:qFormat/>
    <w:uiPriority w:val="9"/>
    <w:rPr>
      <w:rFonts w:asciiTheme="majorHAnsi" w:hAnsiTheme="majorHAnsi" w:eastAsiaTheme="majorEastAsia"/>
      <w:b/>
      <w:bCs/>
      <w:kern w:val="32"/>
      <w:sz w:val="32"/>
      <w:szCs w:val="32"/>
    </w:rPr>
  </w:style>
  <w:style w:type="character" w:customStyle="1" w:styleId="23">
    <w:name w:val="标题 2 字符"/>
    <w:basedOn w:val="19"/>
    <w:link w:val="4"/>
    <w:semiHidden/>
    <w:qFormat/>
    <w:uiPriority w:val="9"/>
    <w:rPr>
      <w:rFonts w:asciiTheme="majorHAnsi" w:hAnsiTheme="majorHAnsi" w:eastAsiaTheme="majorEastAsia"/>
      <w:b/>
      <w:bCs/>
      <w:i/>
      <w:iCs/>
      <w:sz w:val="28"/>
      <w:szCs w:val="28"/>
    </w:rPr>
  </w:style>
  <w:style w:type="character" w:customStyle="1" w:styleId="24">
    <w:name w:val="标题 3 字符"/>
    <w:basedOn w:val="19"/>
    <w:link w:val="5"/>
    <w:qFormat/>
    <w:uiPriority w:val="9"/>
    <w:rPr>
      <w:rFonts w:asciiTheme="majorHAnsi" w:hAnsiTheme="majorHAnsi" w:eastAsiaTheme="majorEastAsia"/>
      <w:b/>
      <w:bCs/>
      <w:sz w:val="26"/>
      <w:szCs w:val="26"/>
    </w:rPr>
  </w:style>
  <w:style w:type="character" w:customStyle="1" w:styleId="25">
    <w:name w:val="标题 4 字符"/>
    <w:basedOn w:val="19"/>
    <w:link w:val="6"/>
    <w:semiHidden/>
    <w:qFormat/>
    <w:uiPriority w:val="9"/>
    <w:rPr>
      <w:b/>
      <w:bCs/>
      <w:sz w:val="28"/>
      <w:szCs w:val="28"/>
    </w:rPr>
  </w:style>
  <w:style w:type="character" w:customStyle="1" w:styleId="26">
    <w:name w:val="标题 5 字符"/>
    <w:basedOn w:val="19"/>
    <w:link w:val="7"/>
    <w:semiHidden/>
    <w:qFormat/>
    <w:uiPriority w:val="9"/>
    <w:rPr>
      <w:b/>
      <w:bCs/>
      <w:i/>
      <w:iCs/>
      <w:sz w:val="26"/>
      <w:szCs w:val="26"/>
    </w:rPr>
  </w:style>
  <w:style w:type="character" w:customStyle="1" w:styleId="27">
    <w:name w:val="标题 6 字符"/>
    <w:basedOn w:val="19"/>
    <w:link w:val="8"/>
    <w:semiHidden/>
    <w:qFormat/>
    <w:uiPriority w:val="9"/>
    <w:rPr>
      <w:b/>
      <w:bCs/>
    </w:rPr>
  </w:style>
  <w:style w:type="character" w:customStyle="1" w:styleId="28">
    <w:name w:val="标题 7 字符"/>
    <w:basedOn w:val="19"/>
    <w:link w:val="9"/>
    <w:semiHidden/>
    <w:qFormat/>
    <w:uiPriority w:val="9"/>
    <w:rPr>
      <w:sz w:val="24"/>
      <w:szCs w:val="24"/>
    </w:rPr>
  </w:style>
  <w:style w:type="character" w:customStyle="1" w:styleId="29">
    <w:name w:val="标题 8 字符"/>
    <w:basedOn w:val="19"/>
    <w:link w:val="10"/>
    <w:semiHidden/>
    <w:qFormat/>
    <w:uiPriority w:val="9"/>
    <w:rPr>
      <w:i/>
      <w:iCs/>
      <w:sz w:val="24"/>
      <w:szCs w:val="24"/>
    </w:rPr>
  </w:style>
  <w:style w:type="character" w:customStyle="1" w:styleId="30">
    <w:name w:val="标题 9 字符"/>
    <w:basedOn w:val="19"/>
    <w:link w:val="11"/>
    <w:semiHidden/>
    <w:qFormat/>
    <w:uiPriority w:val="9"/>
    <w:rPr>
      <w:rFonts w:asciiTheme="majorHAnsi" w:hAnsiTheme="majorHAnsi" w:eastAsiaTheme="majorEastAsia"/>
    </w:rPr>
  </w:style>
  <w:style w:type="character" w:customStyle="1" w:styleId="31">
    <w:name w:val="标题 字符"/>
    <w:basedOn w:val="19"/>
    <w:link w:val="2"/>
    <w:qFormat/>
    <w:uiPriority w:val="10"/>
    <w:rPr>
      <w:rFonts w:asciiTheme="majorHAnsi" w:hAnsiTheme="majorHAnsi" w:eastAsiaTheme="majorEastAsia"/>
      <w:b/>
      <w:bCs/>
      <w:kern w:val="28"/>
      <w:sz w:val="32"/>
      <w:szCs w:val="32"/>
    </w:rPr>
  </w:style>
  <w:style w:type="character" w:customStyle="1" w:styleId="32">
    <w:name w:val="副标题 字符"/>
    <w:basedOn w:val="19"/>
    <w:link w:val="16"/>
    <w:qFormat/>
    <w:uiPriority w:val="11"/>
    <w:rPr>
      <w:rFonts w:asciiTheme="majorHAnsi" w:hAnsiTheme="majorHAnsi" w:eastAsiaTheme="majorEastAsia"/>
      <w:sz w:val="24"/>
      <w:szCs w:val="24"/>
    </w:rPr>
  </w:style>
  <w:style w:type="paragraph"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字符"/>
    <w:basedOn w:val="19"/>
    <w:link w:val="35"/>
    <w:qFormat/>
    <w:uiPriority w:val="29"/>
    <w:rPr>
      <w:i/>
      <w:sz w:val="24"/>
      <w:szCs w:val="24"/>
    </w:rPr>
  </w:style>
  <w:style w:type="paragraph"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字符"/>
    <w:basedOn w:val="19"/>
    <w:link w:val="37"/>
    <w:qFormat/>
    <w:uiPriority w:val="30"/>
    <w:rPr>
      <w:b/>
      <w:i/>
      <w:sz w:val="24"/>
    </w:rPr>
  </w:style>
  <w:style w:type="character" w:customStyle="1" w:styleId="39">
    <w:name w:val="不明显强调1"/>
    <w:qFormat/>
    <w:uiPriority w:val="19"/>
    <w:rPr>
      <w:i/>
      <w:color w:val="585858" w:themeColor="text1" w:themeTint="A6"/>
    </w:rPr>
  </w:style>
  <w:style w:type="character" w:customStyle="1" w:styleId="40">
    <w:name w:val="明显强调1"/>
    <w:basedOn w:val="19"/>
    <w:qFormat/>
    <w:uiPriority w:val="21"/>
    <w:rPr>
      <w:b/>
      <w:i/>
      <w:sz w:val="24"/>
      <w:szCs w:val="24"/>
      <w:u w:val="single"/>
    </w:rPr>
  </w:style>
  <w:style w:type="character" w:customStyle="1" w:styleId="41">
    <w:name w:val="不明显参考1"/>
    <w:basedOn w:val="19"/>
    <w:qFormat/>
    <w:uiPriority w:val="31"/>
    <w:rPr>
      <w:sz w:val="24"/>
      <w:szCs w:val="24"/>
      <w:u w:val="single"/>
    </w:rPr>
  </w:style>
  <w:style w:type="character" w:customStyle="1" w:styleId="42">
    <w:name w:val="明显参考1"/>
    <w:basedOn w:val="19"/>
    <w:qFormat/>
    <w:uiPriority w:val="32"/>
    <w:rPr>
      <w:b/>
      <w:sz w:val="24"/>
      <w:u w:val="single"/>
    </w:rPr>
  </w:style>
  <w:style w:type="character" w:customStyle="1" w:styleId="43">
    <w:name w:val="书籍标题1"/>
    <w:basedOn w:val="19"/>
    <w:qFormat/>
    <w:uiPriority w:val="33"/>
    <w:rPr>
      <w:rFonts w:asciiTheme="majorHAnsi" w:hAnsiTheme="majorHAnsi" w:eastAsiaTheme="majorEastAsia"/>
      <w:b/>
      <w:i/>
      <w:sz w:val="24"/>
      <w:szCs w:val="24"/>
    </w:rPr>
  </w:style>
  <w:style w:type="paragraph" w:customStyle="1" w:styleId="44">
    <w:name w:val="TOC 标题1"/>
    <w:basedOn w:val="3"/>
    <w:next w:val="1"/>
    <w:semiHidden/>
    <w:unhideWhenUsed/>
    <w:qFormat/>
    <w:uiPriority w:val="39"/>
    <w:pPr>
      <w:outlineLvl w:val="9"/>
    </w:pPr>
    <w:rPr>
      <w:lang w:eastAsia="en-US" w:bidi="en-US"/>
    </w:rPr>
  </w:style>
  <w:style w:type="character" w:customStyle="1" w:styleId="45">
    <w:name w:val="页眉 字符"/>
    <w:basedOn w:val="19"/>
    <w:link w:val="15"/>
    <w:qFormat/>
    <w:uiPriority w:val="99"/>
    <w:rPr>
      <w:rFonts w:ascii="Calibri" w:hAnsi="Calibri" w:eastAsia="宋体"/>
      <w:kern w:val="2"/>
      <w:sz w:val="18"/>
      <w:szCs w:val="18"/>
    </w:rPr>
  </w:style>
  <w:style w:type="character" w:customStyle="1" w:styleId="46">
    <w:name w:val="页脚 字符"/>
    <w:basedOn w:val="19"/>
    <w:link w:val="14"/>
    <w:qFormat/>
    <w:uiPriority w:val="99"/>
    <w:rPr>
      <w:rFonts w:ascii="Calibri" w:hAnsi="Calibri" w:eastAsia="宋体"/>
      <w:kern w:val="2"/>
      <w:sz w:val="18"/>
      <w:szCs w:val="18"/>
    </w:rPr>
  </w:style>
  <w:style w:type="character" w:customStyle="1" w:styleId="47">
    <w:name w:val="批注框文本 字符"/>
    <w:basedOn w:val="19"/>
    <w:link w:val="13"/>
    <w:semiHidden/>
    <w:qFormat/>
    <w:uiPriority w:val="99"/>
    <w:rPr>
      <w:rFonts w:ascii="Times New Roman" w:hAnsi="Times New Roman" w:eastAsia="宋体"/>
      <w:kern w:val="2"/>
      <w:sz w:val="18"/>
      <w:szCs w:val="18"/>
    </w:rPr>
  </w:style>
  <w:style w:type="paragraph" w:customStyle="1" w:styleId="48">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49">
    <w:name w:val="fontstyle01"/>
    <w:qFormat/>
    <w:uiPriority w:val="0"/>
    <w:rPr>
      <w:rFonts w:ascii="仿宋_GB2312" w:hAnsi="仿宋_GB2312" w:eastAsia="仿宋_GB2312" w:cs="仿宋_GB2312"/>
      <w:color w:val="000000"/>
      <w:sz w:val="32"/>
      <w:szCs w:val="32"/>
    </w:rPr>
  </w:style>
  <w:style w:type="paragraph" w:customStyle="1" w:styleId="50">
    <w:name w:val="闻政-正文段落文字"/>
    <w:basedOn w:val="1"/>
    <w:link w:val="51"/>
    <w:qFormat/>
    <w:uiPriority w:val="3"/>
    <w:pPr>
      <w:spacing w:line="500" w:lineRule="exact"/>
      <w:ind w:firstLine="200" w:firstLineChars="200"/>
    </w:pPr>
    <w:rPr>
      <w:rFonts w:eastAsia="仿宋_GB2312"/>
      <w:kern w:val="0"/>
      <w:sz w:val="28"/>
      <w:szCs w:val="28"/>
    </w:rPr>
  </w:style>
  <w:style w:type="character" w:customStyle="1" w:styleId="51">
    <w:name w:val="闻政-正文段落文字 Char"/>
    <w:link w:val="50"/>
    <w:qFormat/>
    <w:uiPriority w:val="3"/>
    <w:rPr>
      <w:rFonts w:eastAsia="仿宋_GB2312"/>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22</Pages>
  <Words>5979</Words>
  <Characters>6414</Characters>
  <Lines>66</Lines>
  <Paragraphs>18</Paragraphs>
  <TotalTime>6</TotalTime>
  <ScaleCrop>false</ScaleCrop>
  <LinksUpToDate>false</LinksUpToDate>
  <CharactersWithSpaces>6441</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周而</cp:lastModifiedBy>
  <cp:lastPrinted>2019-12-31T08:02:00Z</cp:lastPrinted>
  <dcterms:modified xsi:type="dcterms:W3CDTF">2025-09-03T09:20:37Z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16D68A28FB5A4C79850CAA7674F4E9D5</vt:lpwstr>
  </property>
  <property fmtid="{D5CDD505-2E9C-101B-9397-08002B2CF9AE}" pid="4" name="KSOTemplateDocerSaveRecord">
    <vt:lpwstr>eyJoZGlkIjoiN2VjMGM4YTNmZTY1NDFjMWFjNmVmZmU0NDA2ZTk0ZmMiLCJ1c2VySWQiOiI4NjI1NDMxNDkifQ==</vt:lpwstr>
  </property>
</Properties>
</file>