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0"/>
          <w:tab w:val="center" w:pos="4535"/>
        </w:tabs>
        <w:spacing w:line="640" w:lineRule="exact"/>
        <w:jc w:val="center"/>
        <w:rPr>
          <w:rFonts w:ascii="宋体" w:hAnsi="宋体"/>
          <w:b/>
          <w:sz w:val="36"/>
          <w:szCs w:val="36"/>
        </w:rPr>
      </w:pPr>
    </w:p>
    <w:p>
      <w:pPr>
        <w:tabs>
          <w:tab w:val="left" w:pos="330"/>
          <w:tab w:val="center" w:pos="4535"/>
        </w:tabs>
        <w:spacing w:line="640" w:lineRule="exact"/>
        <w:jc w:val="center"/>
        <w:rPr>
          <w:rFonts w:ascii="宋体" w:hAnsi="宋体"/>
          <w:b/>
          <w:sz w:val="36"/>
          <w:szCs w:val="36"/>
        </w:rPr>
      </w:pPr>
    </w:p>
    <w:p>
      <w:pPr>
        <w:tabs>
          <w:tab w:val="left" w:pos="330"/>
          <w:tab w:val="center" w:pos="4535"/>
        </w:tabs>
        <w:spacing w:line="640" w:lineRule="exact"/>
        <w:jc w:val="center"/>
        <w:rPr>
          <w:rFonts w:ascii="宋体" w:hAnsi="宋体"/>
          <w:b/>
          <w:sz w:val="36"/>
          <w:szCs w:val="36"/>
        </w:rPr>
      </w:pPr>
    </w:p>
    <w:p>
      <w:pPr>
        <w:tabs>
          <w:tab w:val="left" w:pos="330"/>
          <w:tab w:val="center" w:pos="4535"/>
        </w:tabs>
        <w:spacing w:line="640" w:lineRule="exact"/>
        <w:jc w:val="center"/>
        <w:rPr>
          <w:rFonts w:ascii="宋体" w:hAnsi="宋体"/>
          <w:b w:val="0"/>
          <w:bCs/>
          <w:sz w:val="36"/>
          <w:szCs w:val="36"/>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塔城地区团委西部计划</w:t>
      </w:r>
      <w:r>
        <w:rPr>
          <w:rFonts w:hint="eastAsia" w:ascii="方正小标宋简体" w:hAnsi="方正小标宋简体" w:eastAsia="方正小标宋简体" w:cs="方正小标宋简体"/>
          <w:b w:val="0"/>
          <w:bCs/>
          <w:sz w:val="44"/>
          <w:szCs w:val="44"/>
          <w:lang w:val="en-US" w:eastAsia="zh-CN"/>
        </w:rPr>
        <w:t>项目办管理工作、志愿者社会保险、生活补贴项目</w:t>
      </w:r>
      <w:r>
        <w:rPr>
          <w:rFonts w:hint="eastAsia" w:ascii="方正小标宋简体" w:hAnsi="方正小标宋简体" w:eastAsia="方正小标宋简体" w:cs="方正小标宋简体"/>
          <w:b w:val="0"/>
          <w:bCs/>
          <w:sz w:val="44"/>
          <w:szCs w:val="44"/>
        </w:rPr>
        <w:t>支出绩效评价报告</w:t>
      </w:r>
    </w:p>
    <w:p>
      <w:pPr>
        <w:pStyle w:val="2"/>
      </w:pPr>
    </w:p>
    <w:p>
      <w:pPr>
        <w:spacing w:line="540" w:lineRule="exact"/>
        <w:jc w:val="center"/>
        <w:rPr>
          <w:rFonts w:hint="eastAsia" w:ascii="仿宋" w:hAnsi="仿宋" w:eastAsia="仿宋" w:cs="仿宋"/>
          <w:kern w:val="0"/>
          <w:sz w:val="36"/>
          <w:szCs w:val="36"/>
        </w:rPr>
      </w:pPr>
      <w:r>
        <w:rPr>
          <w:rFonts w:hint="eastAsia" w:ascii="仿宋" w:hAnsi="仿宋" w:eastAsia="仿宋" w:cs="仿宋"/>
          <w:kern w:val="0"/>
          <w:sz w:val="36"/>
          <w:szCs w:val="36"/>
        </w:rPr>
        <w:t>（ 20</w:t>
      </w:r>
      <w:r>
        <w:rPr>
          <w:rFonts w:hint="eastAsia" w:ascii="仿宋" w:hAnsi="仿宋" w:eastAsia="仿宋" w:cs="仿宋"/>
          <w:kern w:val="0"/>
          <w:sz w:val="36"/>
          <w:szCs w:val="36"/>
          <w:lang w:val="en-US" w:eastAsia="zh-CN"/>
        </w:rPr>
        <w:t>20</w:t>
      </w:r>
      <w:r>
        <w:rPr>
          <w:rFonts w:hint="eastAsia" w:ascii="仿宋" w:hAnsi="仿宋" w:eastAsia="仿宋" w:cs="仿宋"/>
          <w:kern w:val="0"/>
          <w:sz w:val="36"/>
          <w:szCs w:val="36"/>
        </w:rPr>
        <w:t>年度）</w:t>
      </w:r>
    </w:p>
    <w:p>
      <w:pPr>
        <w:rPr>
          <w:rFonts w:ascii="方正仿宋_GBK" w:hAnsi="Arial Narrow" w:eastAsia="方正仿宋_GBK"/>
          <w:b/>
          <w:sz w:val="32"/>
          <w:szCs w:val="32"/>
        </w:rPr>
      </w:pPr>
    </w:p>
    <w:p>
      <w:pPr>
        <w:rPr>
          <w:rFonts w:ascii="宋体" w:hAnsi="宋体"/>
          <w:sz w:val="32"/>
          <w:szCs w:val="32"/>
        </w:rPr>
      </w:pPr>
    </w:p>
    <w:p>
      <w:pPr>
        <w:spacing w:line="640" w:lineRule="exact"/>
        <w:rPr>
          <w:rFonts w:ascii="宋体" w:hAnsi="宋体"/>
          <w:sz w:val="32"/>
          <w:szCs w:val="32"/>
        </w:rPr>
      </w:pPr>
    </w:p>
    <w:p>
      <w:pPr>
        <w:spacing w:line="640" w:lineRule="exact"/>
        <w:rPr>
          <w:rFonts w:ascii="宋体" w:hAnsi="宋体"/>
          <w:sz w:val="32"/>
          <w:szCs w:val="32"/>
        </w:rPr>
      </w:pPr>
    </w:p>
    <w:p>
      <w:pPr>
        <w:spacing w:line="640" w:lineRule="exact"/>
        <w:rPr>
          <w:rFonts w:ascii="宋体" w:hAnsi="宋体"/>
          <w:sz w:val="28"/>
        </w:rPr>
      </w:pPr>
    </w:p>
    <w:p>
      <w:pPr>
        <w:spacing w:line="640" w:lineRule="exact"/>
        <w:rPr>
          <w:rFonts w:ascii="宋体" w:hAnsi="宋体"/>
          <w:sz w:val="28"/>
        </w:rPr>
      </w:pPr>
    </w:p>
    <w:p>
      <w:pPr>
        <w:contextualSpacing/>
        <w:jc w:val="center"/>
        <w:rPr>
          <w:rFonts w:hint="eastAsia" w:ascii="仿宋" w:hAnsi="仿宋" w:eastAsia="仿宋" w:cs="仿宋"/>
          <w:spacing w:val="0"/>
          <w:sz w:val="32"/>
          <w:szCs w:val="32"/>
          <w:lang w:val="en-US"/>
        </w:rPr>
      </w:pPr>
      <w:r>
        <w:rPr>
          <w:rFonts w:hint="eastAsia" w:ascii="方正小标宋_GBK" w:hAnsi="宋体" w:eastAsia="方正小标宋_GBK" w:cs="Arial"/>
          <w:sz w:val="32"/>
          <w:szCs w:val="32"/>
        </w:rPr>
        <w:t xml:space="preserve"> </w:t>
      </w:r>
      <w:r>
        <w:rPr>
          <w:rFonts w:hint="eastAsia" w:ascii="方正小标宋_GBK" w:hAnsi="宋体" w:eastAsia="方正小标宋_GBK" w:cs="Arial"/>
          <w:sz w:val="32"/>
          <w:szCs w:val="32"/>
          <w:lang w:val="en-US" w:eastAsia="zh-CN"/>
        </w:rPr>
        <w:t xml:space="preserve">             </w:t>
      </w:r>
      <w:r>
        <w:rPr>
          <w:rFonts w:hint="eastAsia" w:ascii="仿宋" w:hAnsi="仿宋" w:eastAsia="仿宋" w:cs="仿宋"/>
          <w:sz w:val="32"/>
          <w:szCs w:val="32"/>
        </w:rPr>
        <w:t>项目名称：西部计划</w:t>
      </w:r>
      <w:r>
        <w:rPr>
          <w:rFonts w:hint="eastAsia" w:ascii="仿宋" w:hAnsi="仿宋" w:eastAsia="仿宋" w:cs="仿宋"/>
          <w:sz w:val="32"/>
          <w:szCs w:val="32"/>
          <w:lang w:val="en-US" w:eastAsia="zh-CN"/>
        </w:rPr>
        <w:t>项目办管理工作、志愿者社会保险、生活补贴项目</w:t>
      </w:r>
    </w:p>
    <w:p>
      <w:pPr>
        <w:ind w:firstLine="1120" w:firstLineChars="350"/>
        <w:contextualSpacing/>
        <w:jc w:val="center"/>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项目实施单位：共青团塔城地区委员会</w:t>
      </w:r>
    </w:p>
    <w:p>
      <w:pPr>
        <w:ind w:firstLine="2240" w:firstLineChars="700"/>
        <w:contextualSpacing/>
        <w:jc w:val="both"/>
        <w:rPr>
          <w:rFonts w:hint="eastAsia" w:ascii="仿宋" w:hAnsi="仿宋" w:eastAsia="仿宋" w:cs="仿宋"/>
          <w:sz w:val="32"/>
          <w:szCs w:val="32"/>
        </w:rPr>
      </w:pPr>
      <w:r>
        <w:rPr>
          <w:rFonts w:hint="eastAsia" w:ascii="仿宋" w:hAnsi="仿宋" w:eastAsia="仿宋" w:cs="仿宋"/>
          <w:sz w:val="32"/>
          <w:szCs w:val="32"/>
        </w:rPr>
        <w:t>单位负责人：张蟒</w:t>
      </w:r>
    </w:p>
    <w:p>
      <w:pPr>
        <w:ind w:firstLine="2240" w:firstLineChars="700"/>
        <w:contextualSpacing/>
        <w:jc w:val="both"/>
        <w:rPr>
          <w:rFonts w:hint="eastAsia" w:ascii="仿宋" w:hAnsi="仿宋" w:eastAsia="仿宋" w:cs="仿宋"/>
          <w:sz w:val="32"/>
          <w:szCs w:val="32"/>
        </w:rPr>
      </w:pPr>
      <w:r>
        <w:rPr>
          <w:rFonts w:hint="eastAsia" w:ascii="仿宋" w:hAnsi="仿宋" w:eastAsia="仿宋" w:cs="仿宋"/>
          <w:sz w:val="32"/>
          <w:szCs w:val="32"/>
        </w:rPr>
        <w:t>项目负责人：徐慧</w:t>
      </w:r>
    </w:p>
    <w:p>
      <w:pPr>
        <w:ind w:firstLine="2240" w:firstLineChars="700"/>
        <w:contextualSpacing/>
        <w:jc w:val="both"/>
        <w:rPr>
          <w:rFonts w:hint="eastAsia" w:ascii="仿宋" w:hAnsi="仿宋" w:eastAsia="仿宋" w:cs="仿宋"/>
          <w:sz w:val="32"/>
          <w:szCs w:val="32"/>
        </w:rPr>
      </w:pPr>
      <w:r>
        <w:rPr>
          <w:rFonts w:hint="eastAsia" w:ascii="仿宋" w:hAnsi="仿宋" w:eastAsia="仿宋" w:cs="仿宋"/>
          <w:sz w:val="32"/>
          <w:szCs w:val="32"/>
        </w:rPr>
        <w:t>二〇二</w:t>
      </w:r>
      <w:r>
        <w:rPr>
          <w:rFonts w:hint="eastAsia" w:ascii="仿宋" w:hAnsi="仿宋" w:eastAsia="仿宋" w:cs="仿宋"/>
          <w:sz w:val="32"/>
          <w:szCs w:val="32"/>
          <w:lang w:val="en-US" w:eastAsia="zh-CN"/>
        </w:rPr>
        <w:t>一</w:t>
      </w:r>
      <w:r>
        <w:rPr>
          <w:rFonts w:hint="eastAsia" w:ascii="仿宋" w:hAnsi="仿宋" w:eastAsia="仿宋" w:cs="仿宋"/>
          <w:sz w:val="32"/>
          <w:szCs w:val="32"/>
        </w:rPr>
        <w:t>年四月</w:t>
      </w:r>
    </w:p>
    <w:p>
      <w:pPr>
        <w:widowControl/>
        <w:ind w:firstLine="640" w:firstLineChars="200"/>
        <w:jc w:val="left"/>
        <w:rPr>
          <w:rFonts w:ascii="宋体" w:hAnsi="宋体"/>
          <w:bCs/>
          <w:sz w:val="32"/>
          <w:szCs w:val="32"/>
        </w:rPr>
        <w:sectPr>
          <w:headerReference r:id="rId3" w:type="default"/>
          <w:footerReference r:id="rId5" w:type="default"/>
          <w:headerReference r:id="rId4" w:type="even"/>
          <w:footerReference r:id="rId6" w:type="even"/>
          <w:pgSz w:w="11906" w:h="16838"/>
          <w:pgMar w:top="1440" w:right="1800" w:bottom="1440" w:left="1800" w:header="851" w:footer="992" w:gutter="0"/>
          <w:pgNumType w:start="0"/>
          <w:cols w:space="425" w:num="1"/>
          <w:titlePg/>
          <w:docGrid w:type="lines" w:linePitch="312" w:charSpace="0"/>
        </w:sectPr>
      </w:pPr>
      <w:r>
        <w:rPr>
          <w:rFonts w:ascii="宋体" w:hAnsi="宋体"/>
          <w:bCs/>
          <w:sz w:val="32"/>
          <w:szCs w:val="32"/>
        </w:rPr>
        <w:br w:type="page"/>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一、基本情况</w:t>
      </w:r>
      <w:bookmarkStart w:id="0" w:name="_Toc15273"/>
      <w:bookmarkStart w:id="1" w:name="_Toc30152829"/>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w:t>
      </w:r>
      <w:bookmarkEnd w:id="0"/>
      <w:bookmarkEnd w:id="1"/>
      <w:r>
        <w:rPr>
          <w:rFonts w:hint="eastAsia" w:ascii="楷体" w:hAnsi="楷体" w:eastAsia="楷体" w:cs="楷体"/>
          <w:b/>
          <w:bCs/>
          <w:sz w:val="32"/>
          <w:szCs w:val="32"/>
        </w:rPr>
        <w:t>项目概况</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仿宋_GB2312" w:hAnsi="仿宋_GB2312" w:eastAsia="仿宋_GB2312" w:cs="仿宋_GB2312"/>
          <w:b/>
          <w:bCs/>
          <w:sz w:val="32"/>
          <w:szCs w:val="32"/>
        </w:rPr>
      </w:pPr>
      <w:bookmarkStart w:id="2" w:name="_Toc30152830"/>
      <w:r>
        <w:rPr>
          <w:rFonts w:hint="eastAsia" w:ascii="仿宋_GB2312" w:hAnsi="仿宋_GB2312" w:eastAsia="仿宋_GB2312" w:cs="仿宋_GB2312"/>
          <w:b/>
          <w:bCs/>
          <w:sz w:val="32"/>
          <w:szCs w:val="32"/>
        </w:rPr>
        <w:t>1、立项背景及目的</w:t>
      </w:r>
      <w:bookmarkEnd w:id="2"/>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大学生志愿服务西部计划”（简称西部计划）是经国务院常务会议决定，由共青团中央、教育部、财政部、人力资源社会保障部共同组织实施的一项重大人才工程，项目自2003年实施以来，在广大青年中产生了较强示范性和影响力，一批批青年学生踊跃报名西部计划，投身西部地区基层工作，在全社会尤其是青年中唱响了到西部去，到基层去，到祖国和人民最需要的地方去建功立业的时代旋律。</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西部计划按照“围绕中心、服务大局、优化结构、科学管理、强化保障、提质增效”的思路，紧紧围绕乡村振兴战略和打赢脱贫攻坚战的战略部署，实施基础教育、服务三农、医疗卫生、基层青年工作、基层社会管理、服务新疆、服务西藏7个专项。进一步体现支持民族地区、边疆地区、贫困地区、革命老区，保持和扩大相关地区实施规模，岗位设置进一步向深度贫困地区调整。进一步深化研究生支教团工作和扩大基础教育专项规模，提升支教扶贫实效。进一步发挥推动优秀人才从东、中部地区向西部地区流动的示范作用，加强东、中部地区青年学生招募选拔，鼓励和支持期满志愿者扎根当地，深化优秀人才跟踪培养。进一步凸显西部计划实践育人的功能，突出弘扬和培育志愿服务精神，搭建助力志愿者在实践中坚定理想信念、锤炼意志品格、提高综合素质的平台。</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依据共青团中央、教育部、财政部、人力资源和社会保障部共同印发的《关于印发&lt;20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大学生志愿服务西部计划实施方案&gt;的通知》文件，明确了项目的实施步骤具体为：每年4月初按照全国项目办已部署的西部计划年度招募宣传工作要求，用好各类宣传产品，抓好校园宣传、新媒体宣传、主流媒体宣传等多种方式进行宣传，使广大高校应届毕业生和在读研究生全方位了解西部计划，踊跃报名参加；4-6月高校毕业生可登录西部计划官网，在西部计划报名系统进行注册、报名；6月底前与志愿者签订招募意向书并发放《确认通知书》；7月底前一周组织志愿者集中报道和培训；培训结束后，由服务县项目办将本县志愿者集中接到服务县，8月20日前签订三方服务协议并上岗。</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关于进一步加强大学生志愿服务西部计划工作的意见》《关于确定大学生志愿服务西部计划服务新疆专项志愿者补贴标准及调整实施方式的通知》《关于印发&lt;2016-2017年度大学生志愿服务西部计划服务新疆专项实施方案&gt;的通知》，自2016年1月1日起，西部计划项目将由中央部门直接组织实施调整为中央部门和地方政府共同组织实施，西部计划所需经费由中央和地方财政共同承担，中央财政按照年人均2.5万元标准，给予西部计划志愿者工作生活补贴以及参加社会保险等费用补助，地方财政负担组织实施西部计划必要的工作经费、培训费用以及工作生活补贴和社会保险补贴不足部分。塔城地区团委西部计划志愿者社保补助项目是</w:t>
      </w:r>
      <w:bookmarkStart w:id="3" w:name="_Toc30152831"/>
      <w:r>
        <w:rPr>
          <w:rFonts w:hint="eastAsia" w:ascii="仿宋_GB2312" w:hAnsi="仿宋_GB2312" w:eastAsia="仿宋_GB2312" w:cs="仿宋_GB2312"/>
          <w:sz w:val="32"/>
          <w:szCs w:val="32"/>
        </w:rPr>
        <w:t>地区本级财政配套补充地区本级在岗志愿者社会保险补贴不足部分资金。</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《关于印发&lt;20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年度大学生志愿服务西部计划实施方案&gt;的通知》</w:t>
      </w:r>
      <w:r>
        <w:rPr>
          <w:rFonts w:hint="eastAsia" w:ascii="仿宋_GB2312" w:hAnsi="仿宋_GB2312" w:eastAsia="仿宋_GB2312" w:cs="仿宋_GB2312"/>
          <w:sz w:val="32"/>
          <w:szCs w:val="32"/>
          <w:lang w:val="en-US" w:eastAsia="zh-CN"/>
        </w:rPr>
        <w:t>等明确规定：开展西部计划志愿者培训、慰问、宣传、联谊活动和“八个一”关心关爱活动,志愿者例会、志愿者活动。前往对口省市各高校，开展西部计划宣传招募，招募更多大学生来塔服务工作。选派工作人员前往农大参加西部计划派遣分配，并将地区西部计划按时带回塔城。为地区本级西部计划志愿者（含研究生支教团志愿者）落实社会保险每月1000元、生活补贴每月300元等。</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textAlignment w:val="auto"/>
      </w:pPr>
      <w:r>
        <w:rPr>
          <w:rFonts w:hint="eastAsia" w:ascii="仿宋_GB2312" w:hAnsi="仿宋_GB2312" w:eastAsia="仿宋_GB2312" w:cs="仿宋_GB2312"/>
          <w:b w:val="0"/>
          <w:bCs w:val="0"/>
          <w:kern w:val="2"/>
          <w:lang w:val="en-US" w:eastAsia="zh-CN"/>
        </w:rPr>
        <w:t>项目实施情况：</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hint="eastAsia"/>
          <w:lang w:val="en-US" w:eastAsia="zh-CN"/>
        </w:rPr>
      </w:pPr>
      <w:r>
        <w:rPr>
          <w:rFonts w:hint="eastAsia" w:ascii="仿宋_GB2312" w:hAnsi="仿宋_GB2312" w:eastAsia="仿宋_GB2312" w:cs="仿宋_GB2312"/>
          <w:sz w:val="32"/>
          <w:szCs w:val="32"/>
          <w:lang w:val="en-US" w:eastAsia="zh-CN"/>
        </w:rPr>
        <w:t>2020年西部计划项目已全面实施完成，地区团委西部计划项目办按照全国、自治区项目办的统一部署，认真做好西部计划志愿者生活补助发放、社保缴费工作。按照志愿者每月在岗情况，及时为志愿者发放生活补贴、缴纳基本养老、基本医疗费用、组织志愿者例会等活动，通过规范管理、及时缴纳、足额缴纳，营造良好的服务环境，解决广大志愿者后顾之忧，确保志愿者安心在志愿服务岗位工作，更好适应志愿服务生活，进而扎根新疆基层。</w:t>
      </w:r>
    </w:p>
    <w:p>
      <w:pPr>
        <w:keepNext w:val="0"/>
        <w:keepLines w:val="0"/>
        <w:pageBreakBefore w:val="0"/>
        <w:kinsoku/>
        <w:wordWrap/>
        <w:overflowPunct/>
        <w:topLinePunct w:val="0"/>
        <w:autoSpaceDE/>
        <w:autoSpaceDN/>
        <w:bidi w:val="0"/>
        <w:adjustRightInd/>
        <w:snapToGrid/>
        <w:spacing w:line="560" w:lineRule="atLeast"/>
        <w:ind w:firstLine="602" w:firstLineChars="200"/>
        <w:jc w:val="left"/>
        <w:textAlignment w:val="auto"/>
        <w:rPr>
          <w:rFonts w:ascii="仿宋_GB2312" w:hAnsi="仿宋_GB2312" w:eastAsia="仿宋_GB2312" w:cs="仿宋_GB2312"/>
          <w:b/>
          <w:bCs/>
          <w:sz w:val="30"/>
          <w:szCs w:val="30"/>
        </w:rPr>
      </w:pPr>
      <w:r>
        <w:rPr>
          <w:rFonts w:hint="eastAsia" w:ascii="仿宋_GB2312" w:hAnsi="仿宋_GB2312" w:eastAsia="仿宋_GB2312" w:cs="仿宋_GB2312"/>
          <w:b/>
          <w:bCs/>
          <w:sz w:val="30"/>
          <w:szCs w:val="30"/>
          <w:lang w:val="en-US" w:eastAsia="zh-CN"/>
        </w:rPr>
        <w:t>3</w:t>
      </w:r>
      <w:r>
        <w:rPr>
          <w:rFonts w:hint="eastAsia" w:ascii="仿宋_GB2312" w:hAnsi="仿宋_GB2312" w:eastAsia="仿宋_GB2312" w:cs="仿宋_GB2312"/>
          <w:b/>
          <w:bCs/>
          <w:sz w:val="30"/>
          <w:szCs w:val="30"/>
        </w:rPr>
        <w:t>、资金投入及使用情况</w:t>
      </w:r>
      <w:bookmarkEnd w:id="3"/>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近年来，地委、行署高度重视西部计划志愿者工作，在自治区团委的支持下，西部计划实施规模逐年扩大，为进一步做好西部计划塔城专项工作，更多的留住优秀青年人才，为塔城社会稳定和长治久安总目标的实现贡献青春力量，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年塔城地区团委申请西部计划志愿者社保补助经费，经批准后项目经费达到</w:t>
      </w: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加强项目专项资金的管理，确保资金使用的依法依规，地区团委印发了《地区团委财务管理制度》，编制了《内部控制管理手册》，明确了经费支出的内容和标准，规范了资金保障制度、资金奖惩办法及资金监管措施。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年西部计划项目财政拨款到位资金</w:t>
      </w:r>
      <w:r>
        <w:rPr>
          <w:rFonts w:hint="eastAsia" w:ascii="仿宋_GB2312" w:hAnsi="仿宋_GB2312" w:eastAsia="仿宋_GB2312" w:cs="仿宋_GB2312"/>
          <w:sz w:val="32"/>
          <w:szCs w:val="32"/>
          <w:lang w:val="en-US" w:eastAsia="zh-CN"/>
        </w:rPr>
        <w:t>38.3</w:t>
      </w:r>
      <w:r>
        <w:rPr>
          <w:rFonts w:hint="eastAsia" w:ascii="仿宋_GB2312" w:hAnsi="仿宋_GB2312" w:eastAsia="仿宋_GB2312" w:cs="仿宋_GB2312"/>
          <w:sz w:val="32"/>
          <w:szCs w:val="32"/>
        </w:rPr>
        <w:t>万元，实际使用</w:t>
      </w:r>
      <w:r>
        <w:rPr>
          <w:rFonts w:hint="eastAsia" w:ascii="仿宋_GB2312" w:hAnsi="仿宋_GB2312" w:eastAsia="仿宋_GB2312" w:cs="仿宋_GB2312"/>
          <w:sz w:val="32"/>
          <w:szCs w:val="32"/>
          <w:lang w:val="en-US" w:eastAsia="zh-CN"/>
        </w:rPr>
        <w:t>38.3</w:t>
      </w:r>
      <w:r>
        <w:rPr>
          <w:rFonts w:hint="eastAsia" w:ascii="仿宋_GB2312" w:hAnsi="仿宋_GB2312" w:eastAsia="仿宋_GB2312" w:cs="仿宋_GB2312"/>
          <w:sz w:val="32"/>
          <w:szCs w:val="32"/>
        </w:rPr>
        <w:t>万元，结余资金</w:t>
      </w:r>
      <w:r>
        <w:rPr>
          <w:rFonts w:hint="eastAsia" w:ascii="仿宋_GB2312" w:hAnsi="仿宋_GB2312" w:eastAsia="仿宋_GB2312" w:cs="仿宋_GB2312"/>
          <w:sz w:val="32"/>
          <w:szCs w:val="32"/>
          <w:lang w:val="en-US" w:eastAsia="zh-CN"/>
        </w:rPr>
        <w:t>0.003024</w:t>
      </w:r>
      <w:r>
        <w:rPr>
          <w:rFonts w:hint="eastAsia" w:ascii="仿宋_GB2312" w:hAnsi="仿宋_GB2312" w:eastAsia="仿宋_GB2312" w:cs="仿宋_GB2312"/>
          <w:sz w:val="32"/>
          <w:szCs w:val="32"/>
        </w:rPr>
        <w:t>万元，项目资金执行率</w:t>
      </w:r>
      <w:r>
        <w:rPr>
          <w:rFonts w:hint="eastAsia" w:ascii="仿宋_GB2312" w:hAnsi="仿宋_GB2312" w:eastAsia="仿宋_GB2312" w:cs="仿宋_GB2312"/>
          <w:sz w:val="32"/>
          <w:szCs w:val="32"/>
          <w:lang w:val="en-US" w:eastAsia="zh-CN"/>
        </w:rPr>
        <w:t>99.99</w:t>
      </w:r>
      <w:r>
        <w:rPr>
          <w:rFonts w:hint="eastAsia" w:ascii="仿宋_GB2312" w:hAnsi="仿宋_GB2312" w:eastAsia="仿宋_GB2312" w:cs="仿宋_GB2312"/>
          <w:sz w:val="32"/>
          <w:szCs w:val="32"/>
        </w:rPr>
        <w:t>%。项目费用执行情况如表所示：</w:t>
      </w:r>
    </w:p>
    <w:p>
      <w:pPr>
        <w:pStyle w:val="29"/>
        <w:keepNext w:val="0"/>
        <w:keepLines w:val="0"/>
        <w:pageBreakBefore w:val="0"/>
        <w:kinsoku/>
        <w:wordWrap/>
        <w:overflowPunct/>
        <w:topLinePunct w:val="0"/>
        <w:autoSpaceDE/>
        <w:autoSpaceDN/>
        <w:bidi w:val="0"/>
        <w:adjustRightInd/>
        <w:snapToGrid/>
        <w:spacing w:line="560" w:lineRule="atLeast"/>
        <w:ind w:firstLine="710" w:firstLineChars="221"/>
        <w:jc w:val="center"/>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西部计划志愿者社保补助专项经费使用情况统计表</w:t>
      </w:r>
    </w:p>
    <w:p>
      <w:pPr>
        <w:pStyle w:val="29"/>
        <w:spacing w:line="600" w:lineRule="exact"/>
        <w:ind w:firstLine="618" w:firstLineChars="221"/>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单位：万元</w:t>
      </w:r>
    </w:p>
    <w:tbl>
      <w:tblPr>
        <w:tblStyle w:val="23"/>
        <w:tblW w:w="5000" w:type="pct"/>
        <w:tblInd w:w="0" w:type="dxa"/>
        <w:tblLayout w:type="fixed"/>
        <w:tblCellMar>
          <w:top w:w="0" w:type="dxa"/>
          <w:left w:w="108" w:type="dxa"/>
          <w:bottom w:w="0" w:type="dxa"/>
          <w:right w:w="108" w:type="dxa"/>
        </w:tblCellMar>
      </w:tblPr>
      <w:tblGrid>
        <w:gridCol w:w="1445"/>
        <w:gridCol w:w="1605"/>
        <w:gridCol w:w="1605"/>
        <w:gridCol w:w="1605"/>
        <w:gridCol w:w="2648"/>
      </w:tblGrid>
      <w:tr>
        <w:tblPrEx>
          <w:tblCellMar>
            <w:top w:w="0" w:type="dxa"/>
            <w:left w:w="108" w:type="dxa"/>
            <w:bottom w:w="0" w:type="dxa"/>
            <w:right w:w="108" w:type="dxa"/>
          </w:tblCellMar>
        </w:tblPrEx>
        <w:trPr>
          <w:trHeight w:val="510" w:hRule="exact"/>
        </w:trPr>
        <w:tc>
          <w:tcPr>
            <w:tcW w:w="14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rPr>
              <w:t>年初预算数</w:t>
            </w:r>
          </w:p>
        </w:tc>
        <w:tc>
          <w:tcPr>
            <w:tcW w:w="160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rPr>
              <w:t>全年预算数</w:t>
            </w:r>
          </w:p>
        </w:tc>
        <w:tc>
          <w:tcPr>
            <w:tcW w:w="160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rPr>
              <w:t>全年执行数</w:t>
            </w:r>
          </w:p>
        </w:tc>
        <w:tc>
          <w:tcPr>
            <w:tcW w:w="1605"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rPr>
              <w:t>结余资金</w:t>
            </w:r>
          </w:p>
        </w:tc>
        <w:tc>
          <w:tcPr>
            <w:tcW w:w="264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rPr>
              <w:t>执行率（%）</w:t>
            </w:r>
          </w:p>
        </w:tc>
      </w:tr>
      <w:tr>
        <w:tblPrEx>
          <w:tblCellMar>
            <w:top w:w="0" w:type="dxa"/>
            <w:left w:w="108" w:type="dxa"/>
            <w:bottom w:w="0" w:type="dxa"/>
            <w:right w:w="108" w:type="dxa"/>
          </w:tblCellMar>
        </w:tblPrEx>
        <w:trPr>
          <w:trHeight w:val="510" w:hRule="exact"/>
        </w:trPr>
        <w:tc>
          <w:tcPr>
            <w:tcW w:w="144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38.3</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38.3</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38.296976</w:t>
            </w:r>
          </w:p>
        </w:tc>
        <w:tc>
          <w:tcPr>
            <w:tcW w:w="160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0.003024</w:t>
            </w:r>
          </w:p>
        </w:tc>
        <w:tc>
          <w:tcPr>
            <w:tcW w:w="2648"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99.99</w:t>
            </w:r>
            <w:r>
              <w:rPr>
                <w:rFonts w:hint="eastAsia" w:ascii="仿宋" w:hAnsi="仿宋" w:eastAsia="仿宋" w:cs="仿宋"/>
                <w:color w:val="000000"/>
                <w:kern w:val="0"/>
                <w:sz w:val="24"/>
              </w:rPr>
              <w:t>%</w:t>
            </w:r>
          </w:p>
        </w:tc>
      </w:tr>
    </w:tbl>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黑体" w:hAnsi="黑体" w:eastAsia="黑体" w:cs="黑体"/>
          <w:b/>
          <w:bCs/>
          <w:sz w:val="32"/>
          <w:szCs w:val="32"/>
        </w:rPr>
      </w:pPr>
      <w:bookmarkStart w:id="4" w:name="_Toc30152832"/>
      <w:bookmarkStart w:id="5" w:name="_Toc16171"/>
      <w:r>
        <w:rPr>
          <w:rFonts w:hint="eastAsia" w:ascii="黑体" w:hAnsi="黑体" w:eastAsia="黑体" w:cs="黑体"/>
          <w:b/>
          <w:bCs/>
          <w:sz w:val="32"/>
          <w:szCs w:val="32"/>
        </w:rPr>
        <w:t>（二）项目绩效目标</w:t>
      </w:r>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bookmarkStart w:id="6" w:name="_Toc30152833"/>
      <w:r>
        <w:rPr>
          <w:rFonts w:hint="eastAsia" w:ascii="仿宋_GB2312" w:hAnsi="仿宋_GB2312" w:eastAsia="仿宋_GB2312" w:cs="仿宋_GB2312"/>
          <w:b/>
          <w:bCs/>
          <w:sz w:val="32"/>
          <w:szCs w:val="32"/>
        </w:rPr>
        <w:t>1、总目标</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大学生志愿服务西部计划由共青团中央、教育部、财政部、人力资源和社会保障部共同组织实施，每年招募一定数量的普通高等学校应届毕业生或在读研究生，到西部基层开展为期1-3年的志愿服务工作。塔城地区于2003年启动西部计划项目，服务内容分为基础教育、服务三农、医疗卫生、基层青年工作、基层社会管理。按照自治区项目办工作要求，做好西部计划塔城专项志愿者宣传动员、报名招募、培训派遣、日常管理、关心关爱等相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highlight w:val="none"/>
        </w:rPr>
        <w:t>2020年</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塔城地区西部计划项目总规模为239人，其中中央项目168人，地方项目71人。2020年新招募西部计划中央项目志愿者107人，地方项目志愿者70人，续签西部计划志愿者62人。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按照每月志愿者在岗情况，逐月拨付志愿者</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社保补助费用，</w:t>
      </w:r>
      <w:r>
        <w:rPr>
          <w:rFonts w:hint="eastAsia" w:ascii="仿宋_GB2312" w:hAnsi="仿宋_GB2312" w:eastAsia="仿宋_GB2312" w:cs="仿宋_GB2312"/>
          <w:sz w:val="32"/>
          <w:szCs w:val="32"/>
          <w:lang w:val="en-US" w:eastAsia="zh-CN"/>
        </w:rPr>
        <w:t>开展志愿者例会等活动</w:t>
      </w:r>
      <w:r>
        <w:rPr>
          <w:rFonts w:hint="eastAsia" w:ascii="仿宋_GB2312" w:hAnsi="仿宋_GB2312" w:eastAsia="仿宋_GB2312" w:cs="仿宋_GB2312"/>
          <w:sz w:val="32"/>
          <w:szCs w:val="32"/>
        </w:rPr>
        <w:t>确保费用支出及时、准确、足额。</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bookmarkStart w:id="7" w:name="_Toc30152834"/>
      <w:r>
        <w:rPr>
          <w:rFonts w:hint="eastAsia" w:ascii="仿宋_GB2312" w:hAnsi="仿宋_GB2312" w:eastAsia="仿宋_GB2312" w:cs="仿宋_GB2312"/>
          <w:b/>
          <w:bCs/>
          <w:sz w:val="32"/>
          <w:szCs w:val="32"/>
        </w:rPr>
        <w:t>2、阶段性目标</w:t>
      </w:r>
      <w:bookmarkEnd w:id="7"/>
      <w:bookmarkStart w:id="8" w:name="_Toc30152835"/>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w:t>
      </w:r>
      <w:bookmarkEnd w:id="8"/>
      <w:r>
        <w:rPr>
          <w:rFonts w:hint="eastAsia" w:ascii="仿宋_GB2312" w:hAnsi="仿宋_GB2312" w:eastAsia="仿宋_GB2312" w:cs="仿宋_GB2312"/>
          <w:b/>
          <w:bCs/>
          <w:sz w:val="32"/>
          <w:szCs w:val="32"/>
        </w:rPr>
        <w:t>人数核定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根据志愿者续签和新招录情况，动态核实每月志愿者在岗情况，对在岗志愿者给与发放</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社保补助，对已经结束服务期志愿者，停止发放</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社保补助。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bookmarkStart w:id="9" w:name="_Toc30152836"/>
      <w:r>
        <w:rPr>
          <w:rFonts w:hint="eastAsia" w:ascii="仿宋_GB2312" w:hAnsi="仿宋_GB2312" w:eastAsia="仿宋_GB2312" w:cs="仿宋_GB2312"/>
          <w:b/>
          <w:bCs/>
          <w:sz w:val="32"/>
          <w:szCs w:val="32"/>
        </w:rPr>
        <w:t>（2）</w:t>
      </w:r>
      <w:bookmarkEnd w:id="9"/>
      <w:r>
        <w:rPr>
          <w:rFonts w:hint="eastAsia" w:ascii="仿宋_GB2312" w:hAnsi="仿宋_GB2312" w:eastAsia="仿宋_GB2312" w:cs="仿宋_GB2312"/>
          <w:b/>
          <w:bCs/>
          <w:sz w:val="32"/>
          <w:szCs w:val="32"/>
        </w:rPr>
        <w:t>资金测算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每月根据志愿者在岗情况，结合自治区印发的城乡居民最低生活标准，测算志愿者每月应发放基本医疗、基本养老资金额度</w:t>
      </w:r>
      <w:r>
        <w:rPr>
          <w:rFonts w:hint="eastAsia" w:ascii="仿宋_GB2312" w:hAnsi="仿宋_GB2312" w:eastAsia="仿宋_GB2312" w:cs="仿宋_GB2312"/>
          <w:sz w:val="32"/>
          <w:szCs w:val="32"/>
          <w:lang w:val="en-US" w:eastAsia="zh-CN"/>
        </w:rPr>
        <w:t>以及每人每月300元生活补助</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bookmarkStart w:id="10" w:name="_Toc30152837"/>
      <w:r>
        <w:rPr>
          <w:rFonts w:hint="eastAsia" w:ascii="仿宋_GB2312" w:hAnsi="仿宋_GB2312" w:eastAsia="仿宋_GB2312" w:cs="仿宋_GB2312"/>
          <w:b/>
          <w:bCs/>
          <w:sz w:val="32"/>
          <w:szCs w:val="32"/>
        </w:rPr>
        <w:t>（3）</w:t>
      </w:r>
      <w:bookmarkEnd w:id="10"/>
      <w:r>
        <w:rPr>
          <w:rFonts w:hint="eastAsia" w:ascii="仿宋_GB2312" w:hAnsi="仿宋_GB2312" w:eastAsia="仿宋_GB2312" w:cs="仿宋_GB2312"/>
          <w:b/>
          <w:bCs/>
          <w:sz w:val="32"/>
          <w:szCs w:val="32"/>
        </w:rPr>
        <w:t>资金拨付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bookmarkStart w:id="11" w:name="_Toc30152838"/>
      <w:bookmarkStart w:id="12" w:name="_Toc14913"/>
      <w:r>
        <w:rPr>
          <w:rFonts w:hint="eastAsia" w:ascii="仿宋_GB2312" w:hAnsi="仿宋_GB2312" w:eastAsia="仿宋_GB2312" w:cs="仿宋_GB2312"/>
          <w:sz w:val="32"/>
          <w:szCs w:val="32"/>
        </w:rPr>
        <w:t>根据每月志愿者在岗情况、</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社保补助额度测算情况，及时缴纳志愿者社保费用，</w:t>
      </w:r>
      <w:r>
        <w:rPr>
          <w:rFonts w:hint="eastAsia" w:ascii="仿宋_GB2312" w:hAnsi="仿宋_GB2312" w:eastAsia="仿宋_GB2312" w:cs="仿宋_GB2312"/>
          <w:sz w:val="32"/>
          <w:szCs w:val="32"/>
          <w:lang w:val="en-US" w:eastAsia="zh-CN"/>
        </w:rPr>
        <w:t>发放生活补助</w:t>
      </w:r>
      <w:r>
        <w:rPr>
          <w:rFonts w:hint="eastAsia" w:ascii="仿宋_GB2312" w:hAnsi="仿宋_GB2312" w:eastAsia="仿宋_GB2312" w:cs="仿宋_GB2312"/>
          <w:sz w:val="32"/>
          <w:szCs w:val="32"/>
        </w:rPr>
        <w:t>保障志愿者权益。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二、评价工作</w:t>
      </w:r>
      <w:bookmarkEnd w:id="11"/>
      <w:bookmarkEnd w:id="12"/>
      <w:r>
        <w:rPr>
          <w:rFonts w:hint="eastAsia" w:ascii="黑体" w:hAnsi="黑体" w:eastAsia="黑体" w:cs="黑体"/>
          <w:b/>
          <w:bCs/>
          <w:sz w:val="32"/>
          <w:szCs w:val="32"/>
        </w:rPr>
        <w:t>开展情况</w:t>
      </w:r>
      <w:bookmarkStart w:id="13" w:name="_Toc9625"/>
      <w:bookmarkStart w:id="14" w:name="_Toc3015283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（一）绩效评价目的</w:t>
      </w:r>
      <w:bookmarkEnd w:id="13"/>
      <w:bookmarkEnd w:id="14"/>
      <w:r>
        <w:rPr>
          <w:rFonts w:hint="eastAsia" w:ascii="楷体" w:hAnsi="楷体" w:eastAsia="楷体" w:cs="楷体"/>
          <w:b/>
          <w:bCs/>
          <w:sz w:val="32"/>
          <w:szCs w:val="32"/>
        </w:rPr>
        <w:t>、对象和范围</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旨在通过评价改善预算部门的财政支出管理，优化资源配置及提高公共服务水平。本次绩效评价遵循自治区财政厅《自治区本级财政支出绩效评价管理暂行办法》和《关于印发&lt;自治区全面实施预算绩效管理的工作方案&gt;的通知》</w:t>
      </w:r>
      <w:r>
        <w:rPr>
          <w:rFonts w:hint="eastAsia" w:ascii="仿宋_GB2312" w:hAnsi="仿宋_GB2312" w:eastAsia="仿宋_GB2312" w:cs="仿宋_GB2312"/>
          <w:sz w:val="32"/>
          <w:szCs w:val="32"/>
          <w:lang w:val="en-US" w:eastAsia="zh-CN"/>
        </w:rPr>
        <w:t>以及</w:t>
      </w:r>
      <w:r>
        <w:rPr>
          <w:rFonts w:hint="eastAsia" w:ascii="仿宋_GB2312" w:hAnsi="仿宋_GB2312" w:eastAsia="仿宋_GB2312" w:cs="仿宋_GB2312"/>
          <w:sz w:val="32"/>
          <w:szCs w:val="32"/>
        </w:rPr>
        <w:t>《关于印发&lt;</w:t>
      </w:r>
      <w:r>
        <w:rPr>
          <w:rFonts w:hint="eastAsia" w:ascii="仿宋_GB2312" w:hAnsi="仿宋_GB2312" w:eastAsia="仿宋_GB2312" w:cs="仿宋_GB2312"/>
          <w:sz w:val="32"/>
          <w:szCs w:val="32"/>
          <w:lang w:val="en-US" w:eastAsia="zh-CN"/>
        </w:rPr>
        <w:t>塔城地区项目支出绩效评价管理办法</w:t>
      </w:r>
      <w:r>
        <w:rPr>
          <w:rFonts w:hint="eastAsia" w:ascii="仿宋_GB2312" w:hAnsi="仿宋_GB2312" w:eastAsia="仿宋_GB2312" w:cs="仿宋_GB2312"/>
          <w:sz w:val="32"/>
          <w:szCs w:val="32"/>
        </w:rPr>
        <w:t>&gt;的通知》等文件精神，对地区团委20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年度西部计划志愿者社保补助项目进行绩效评价，参照《地区团委财务管理制度》等相关政策文件与规定，从政府专项资金补贴的角度探寻地区团委20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年度西部计划志愿者</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社保补助的效率和效益，提出有针对性的建议，提高对西部计划志愿者社保补助的有效利用度，进一步提升西部计划志愿者社保工作的水平。</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r>
        <w:rPr>
          <w:rFonts w:hint="eastAsia" w:ascii="仿宋_GB2312" w:hAnsi="仿宋_GB2312" w:eastAsia="仿宋_GB2312" w:cs="仿宋_GB2312"/>
          <w:b/>
          <w:bCs/>
          <w:sz w:val="32"/>
          <w:szCs w:val="32"/>
          <w:lang w:val="en-US" w:eastAsia="zh-CN"/>
        </w:rPr>
        <w:t>及</w:t>
      </w:r>
      <w:r>
        <w:rPr>
          <w:rFonts w:hint="eastAsia" w:ascii="仿宋_GB2312" w:hAnsi="仿宋_GB2312" w:eastAsia="仿宋_GB2312" w:cs="仿宋_GB2312"/>
          <w:b/>
          <w:bCs/>
          <w:sz w:val="32"/>
          <w:szCs w:val="32"/>
        </w:rPr>
        <w:t>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评价对象为西部计划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，评价核心为专项资金的支出完成情况和效果。</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评价范围为</w:t>
      </w: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本次评价从项目决策（包括绩效目标、决策过程）、项目管理（包括项目资金、项目实施）、项目产出（包括项目产出数量、产出质量、产出时效和产出成本）项目效益四个维度进行评价</w:t>
      </w:r>
      <w:bookmarkStart w:id="15" w:name="_Toc6448"/>
      <w:bookmarkStart w:id="16" w:name="_Toc30152841"/>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（二）绩效评价原则、</w:t>
      </w:r>
      <w:bookmarkEnd w:id="15"/>
      <w:bookmarkEnd w:id="16"/>
      <w:r>
        <w:rPr>
          <w:rFonts w:hint="eastAsia" w:ascii="黑体" w:hAnsi="黑体" w:eastAsia="黑体" w:cs="黑体"/>
          <w:b/>
          <w:bCs/>
          <w:sz w:val="32"/>
          <w:szCs w:val="32"/>
        </w:rPr>
        <w:t>绩效评价指标体系、评价方法、评价标准</w:t>
      </w:r>
      <w:bookmarkStart w:id="17" w:name="_Toc402181873"/>
      <w:bookmarkStart w:id="18" w:name="_Toc407184396"/>
      <w:bookmarkStart w:id="19" w:name="_Toc30152846"/>
      <w:bookmarkStart w:id="20" w:name="_Toc1466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1、本次绩效评价主要遵循以下原则：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（4）公开透明。绩效评价结果依法依规公开，并自觉接受社会监督。</w:t>
      </w:r>
      <w:bookmarkEnd w:id="17"/>
      <w:bookmarkEnd w:id="18"/>
      <w:bookmarkEnd w:id="19"/>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2、绩效评价指标体系</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本次绩效评价指标体系主要分为共性指标和个性指标两大类。共性指标下设决策与</w:t>
      </w:r>
      <w:r>
        <w:rPr>
          <w:rFonts w:hint="eastAsia" w:ascii="仿宋_GB2312" w:hAnsi="仿宋_GB2312" w:eastAsia="仿宋_GB2312" w:cs="仿宋_GB2312"/>
          <w:sz w:val="32"/>
          <w:szCs w:val="32"/>
          <w:lang w:val="en-US" w:eastAsia="zh-CN"/>
        </w:rPr>
        <w:t>过程</w:t>
      </w:r>
      <w:r>
        <w:rPr>
          <w:rFonts w:hint="eastAsia" w:ascii="仿宋_GB2312" w:hAnsi="仿宋_GB2312" w:eastAsia="仿宋_GB2312" w:cs="仿宋_GB2312"/>
          <w:sz w:val="32"/>
          <w:szCs w:val="32"/>
        </w:rPr>
        <w:t>管理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指标体系详见下表：</w:t>
      </w:r>
    </w:p>
    <w:tbl>
      <w:tblPr>
        <w:tblStyle w:val="23"/>
        <w:tblW w:w="4998" w:type="pct"/>
        <w:tblInd w:w="0" w:type="dxa"/>
        <w:tblLayout w:type="autofit"/>
        <w:tblCellMar>
          <w:top w:w="0" w:type="dxa"/>
          <w:left w:w="0" w:type="dxa"/>
          <w:bottom w:w="0" w:type="dxa"/>
          <w:right w:w="0" w:type="dxa"/>
        </w:tblCellMar>
      </w:tblPr>
      <w:tblGrid>
        <w:gridCol w:w="1435"/>
        <w:gridCol w:w="1058"/>
        <w:gridCol w:w="1436"/>
        <w:gridCol w:w="3649"/>
        <w:gridCol w:w="1131"/>
      </w:tblGrid>
      <w:tr>
        <w:tblPrEx>
          <w:tblCellMar>
            <w:top w:w="0" w:type="dxa"/>
            <w:left w:w="0" w:type="dxa"/>
            <w:bottom w:w="0" w:type="dxa"/>
            <w:right w:w="0" w:type="dxa"/>
          </w:tblCellMar>
        </w:tblPrEx>
        <w:trPr>
          <w:trHeight w:val="590" w:hRule="atLeast"/>
        </w:trPr>
        <w:tc>
          <w:tcPr>
            <w:tcW w:w="82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kern w:val="0"/>
                <w:sz w:val="21"/>
                <w:szCs w:val="21"/>
              </w:rPr>
              <w:t>一级指标</w:t>
            </w:r>
          </w:p>
        </w:tc>
        <w:tc>
          <w:tcPr>
            <w:tcW w:w="607"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kern w:val="0"/>
                <w:sz w:val="21"/>
                <w:szCs w:val="21"/>
              </w:rPr>
              <w:t>二级指标</w:t>
            </w:r>
          </w:p>
        </w:tc>
        <w:tc>
          <w:tcPr>
            <w:tcW w:w="82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kern w:val="0"/>
                <w:sz w:val="21"/>
                <w:szCs w:val="21"/>
              </w:rPr>
              <w:t>三级指标</w:t>
            </w:r>
          </w:p>
        </w:tc>
        <w:tc>
          <w:tcPr>
            <w:tcW w:w="209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kern w:val="0"/>
                <w:sz w:val="21"/>
                <w:szCs w:val="21"/>
              </w:rPr>
              <w:t>指标解释</w:t>
            </w:r>
          </w:p>
        </w:tc>
        <w:tc>
          <w:tcPr>
            <w:tcW w:w="6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b/>
                <w:color w:val="000000"/>
                <w:sz w:val="21"/>
                <w:szCs w:val="21"/>
              </w:rPr>
            </w:pPr>
            <w:r>
              <w:rPr>
                <w:rFonts w:hint="eastAsia" w:asciiTheme="minorEastAsia" w:hAnsiTheme="minorEastAsia" w:eastAsiaTheme="minorEastAsia" w:cstheme="minorEastAsia"/>
                <w:b/>
                <w:color w:val="000000"/>
                <w:kern w:val="0"/>
                <w:sz w:val="21"/>
                <w:szCs w:val="21"/>
              </w:rPr>
              <w:t>分值</w:t>
            </w:r>
          </w:p>
        </w:tc>
      </w:tr>
      <w:tr>
        <w:tblPrEx>
          <w:tblCellMar>
            <w:top w:w="0" w:type="dxa"/>
            <w:left w:w="0" w:type="dxa"/>
            <w:bottom w:w="0" w:type="dxa"/>
            <w:right w:w="0" w:type="dxa"/>
          </w:tblCellMar>
        </w:tblPrEx>
        <w:trPr>
          <w:trHeight w:val="312" w:hRule="atLeast"/>
        </w:trPr>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widowControl/>
              <w:kinsoku/>
              <w:wordWrap/>
              <w:overflowPunct/>
              <w:topLinePunct w:val="0"/>
              <w:autoSpaceDE/>
              <w:autoSpaceDN/>
              <w:bidi w:val="0"/>
              <w:adjustRightInd/>
              <w:snapToGrid w:val="0"/>
              <w:spacing w:line="240" w:lineRule="exact"/>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决策（20）</w:t>
            </w: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项目立项（10）</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立项依据充分性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（5）</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项目立项是否符合法律法规、相关政策、发展规划以及部门职责，用以反映和考核项目立项依据情况。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立项程序规范性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（5）</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项目申请、设立过程是否符合相关要求，用以反映和考核项目立项的规范情况。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5</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val="0"/>
              <w:spacing w:line="240" w:lineRule="exact"/>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绩效目标</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（5）</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绩效目标合理性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lang w:val="en-US" w:eastAsia="zh-CN"/>
              </w:rPr>
              <w:t>3</w:t>
            </w:r>
            <w:r>
              <w:rPr>
                <w:rFonts w:hint="eastAsia" w:asciiTheme="minorEastAsia" w:hAnsiTheme="minorEastAsia" w:eastAsiaTheme="minorEastAsia" w:cstheme="minorEastAsia"/>
                <w:color w:val="000000"/>
                <w:kern w:val="0"/>
                <w:sz w:val="21"/>
                <w:szCs w:val="21"/>
              </w:rPr>
              <w:t>）</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both"/>
              <w:textAlignment w:val="center"/>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项目所设定的绩效目标是否依据充分，是否符合客观实际，用以反映和考核项目绩效目标与项目实施的相符情况。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kern w:val="0"/>
                <w:sz w:val="21"/>
                <w:szCs w:val="21"/>
                <w:lang w:eastAsia="zh-CN"/>
              </w:rPr>
            </w:pPr>
            <w:r>
              <w:rPr>
                <w:rFonts w:hint="eastAsia" w:asciiTheme="minorEastAsia" w:hAnsiTheme="minorEastAsia" w:eastAsiaTheme="minorEastAsia" w:cstheme="minorEastAsia"/>
                <w:color w:val="000000"/>
                <w:kern w:val="0"/>
                <w:sz w:val="21"/>
                <w:szCs w:val="21"/>
                <w:lang w:val="en-US" w:eastAsia="zh-CN"/>
              </w:rPr>
              <w:t>3</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绩效指标明确性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lang w:val="en-US" w:eastAsia="zh-CN"/>
              </w:rPr>
              <w:t>2</w:t>
            </w:r>
            <w:r>
              <w:rPr>
                <w:rFonts w:hint="eastAsia" w:asciiTheme="minorEastAsia" w:hAnsiTheme="minorEastAsia" w:eastAsiaTheme="minorEastAsia" w:cstheme="minorEastAsia"/>
                <w:color w:val="000000"/>
                <w:kern w:val="0"/>
                <w:sz w:val="21"/>
                <w:szCs w:val="21"/>
              </w:rPr>
              <w:t>）</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依据绩效目标设定的绩效指标是否清晰、细化、可衡量等，用以反映和考核项目绩效目标的明细化情况。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kern w:val="0"/>
                <w:sz w:val="21"/>
                <w:szCs w:val="21"/>
                <w:lang w:val="en-US" w:eastAsia="zh-CN"/>
              </w:rPr>
              <w:t>2</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资金投入</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（5）　　</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预算编制科学性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lang w:val="en-US" w:eastAsia="zh-CN"/>
              </w:rPr>
              <w:t>2</w:t>
            </w:r>
            <w:r>
              <w:rPr>
                <w:rFonts w:hint="eastAsia" w:asciiTheme="minorEastAsia" w:hAnsiTheme="minorEastAsia" w:eastAsiaTheme="minorEastAsia" w:cstheme="minorEastAsia"/>
                <w:color w:val="000000"/>
                <w:kern w:val="0"/>
                <w:sz w:val="21"/>
                <w:szCs w:val="21"/>
              </w:rPr>
              <w:t>）</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项目预算编制是否经过科学论证、有明确标准，资金额度与年度目标是否相适应，用以反映和考核项目预算编制的科学性、合理性情况。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kern w:val="0"/>
                <w:sz w:val="21"/>
                <w:szCs w:val="21"/>
                <w:lang w:val="en-US" w:eastAsia="zh-CN"/>
              </w:rPr>
              <w:t>2</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资金分配合理性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w:t>
            </w:r>
            <w:r>
              <w:rPr>
                <w:rFonts w:hint="eastAsia" w:asciiTheme="minorEastAsia" w:hAnsiTheme="minorEastAsia" w:eastAsiaTheme="minorEastAsia" w:cstheme="minorEastAsia"/>
                <w:color w:val="000000"/>
                <w:kern w:val="0"/>
                <w:sz w:val="21"/>
                <w:szCs w:val="21"/>
                <w:lang w:val="en-US" w:eastAsia="zh-CN"/>
              </w:rPr>
              <w:t>3</w:t>
            </w:r>
            <w:r>
              <w:rPr>
                <w:rFonts w:hint="eastAsia" w:asciiTheme="minorEastAsia" w:hAnsiTheme="minorEastAsia" w:eastAsiaTheme="minorEastAsia" w:cstheme="minorEastAsia"/>
                <w:color w:val="000000"/>
                <w:kern w:val="0"/>
                <w:sz w:val="21"/>
                <w:szCs w:val="21"/>
              </w:rPr>
              <w:t>）</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项目预算资金分配是否有测算依据，与补助单位或地方实际是否相适应，用以反映和考核项目预算资金分配的科学性、合理性情况。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kern w:val="0"/>
                <w:sz w:val="21"/>
                <w:szCs w:val="21"/>
                <w:lang w:val="en-US" w:eastAsia="zh-CN"/>
              </w:rPr>
              <w:t>3</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过程（20）</w:t>
            </w:r>
          </w:p>
        </w:tc>
        <w:tc>
          <w:tcPr>
            <w:tcW w:w="607" w:type="pct"/>
            <w:vMerge w:val="restart"/>
            <w:tcBorders>
              <w:top w:val="single" w:color="000000" w:sz="4" w:space="0"/>
              <w:left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资金管理（</w:t>
            </w:r>
            <w:r>
              <w:rPr>
                <w:rFonts w:hint="eastAsia" w:asciiTheme="minorEastAsia" w:hAnsiTheme="minorEastAsia" w:eastAsiaTheme="minorEastAsia" w:cstheme="minorEastAsia"/>
                <w:color w:val="000000"/>
                <w:kern w:val="0"/>
                <w:sz w:val="21"/>
                <w:szCs w:val="21"/>
                <w:lang w:val="en-US" w:eastAsia="zh-CN"/>
              </w:rPr>
              <w:t>12</w:t>
            </w:r>
            <w:r>
              <w:rPr>
                <w:rFonts w:hint="eastAsia" w:asciiTheme="minorEastAsia" w:hAnsiTheme="minorEastAsia" w:eastAsiaTheme="minorEastAsia" w:cstheme="minorEastAsia"/>
                <w:color w:val="000000"/>
                <w:kern w:val="0"/>
                <w:sz w:val="21"/>
                <w:szCs w:val="21"/>
              </w:rPr>
              <w:t>）</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资金到位率（4）</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实际到位资金与预算资金的比率，用以反映和考核资金落实情况对项目实施的总体保障程度。</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4</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left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预算执行率（4）</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项目预算资金是否按照计划执行，用以反映或考核项目预算执行情况。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4</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left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资金使用合规性（4）</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项目资金使用是否符合相关的财务管理制度规定，用以反映和考核项目资金的规范运行情况。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4</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组织实施</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（8）</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管理制度健全性（4）</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项目实施单位的财务和业务管理制度是否健全，用以反映和考核财务和业务管理制度对项目顺利实施的保障情况。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4</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制度执行有效性（4）</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项目实施是否符合相关管理规定，用以反映和考核相关管理制度的有效执行情况。</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4</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产出（40）</w:t>
            </w: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产出数量（10）</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实际完成率</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（10）</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项目实施的实际产出数与计划产出数的比率，用以反映和考核项目产出数量目标的实现程度。</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产出质量（10）</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质量达标率</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（10）</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项目完成的质量达标产出数与实际产出数的比率，用以反映和考核项目产出质量目标的实现程度。</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w:t>
            </w:r>
          </w:p>
        </w:tc>
      </w:tr>
      <w:tr>
        <w:tblPrEx>
          <w:tblCellMar>
            <w:top w:w="0" w:type="dxa"/>
            <w:left w:w="0" w:type="dxa"/>
            <w:bottom w:w="0" w:type="dxa"/>
            <w:right w:w="0" w:type="dxa"/>
          </w:tblCellMar>
        </w:tblPrEx>
        <w:trPr>
          <w:trHeight w:val="590"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产出时效（10）</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完成及时性</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（10）</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项目实际完成时间与计划完成时间的比较，用以反映和考核项目产出时效目标的实现程度。</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产出成本（10）</w:t>
            </w:r>
          </w:p>
        </w:tc>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成本节约率</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（10）</w:t>
            </w:r>
          </w:p>
        </w:tc>
        <w:tc>
          <w:tcPr>
            <w:tcW w:w="209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完成项目计划工作目标的实际节约成本与计划成本的比率，用以反映和考核项目的成本节约程度。</w:t>
            </w:r>
          </w:p>
        </w:tc>
        <w:tc>
          <w:tcPr>
            <w:tcW w:w="6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w:t>
            </w: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312"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209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rPr>
                <w:rFonts w:hint="eastAsia" w:asciiTheme="minorEastAsia" w:hAnsiTheme="minorEastAsia" w:eastAsiaTheme="minorEastAsia" w:cstheme="minorEastAsia"/>
                <w:color w:val="000000"/>
                <w:sz w:val="21"/>
                <w:szCs w:val="21"/>
              </w:rPr>
            </w:pPr>
          </w:p>
        </w:tc>
        <w:tc>
          <w:tcPr>
            <w:tcW w:w="6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r>
      <w:tr>
        <w:tblPrEx>
          <w:tblCellMar>
            <w:top w:w="0" w:type="dxa"/>
            <w:left w:w="0" w:type="dxa"/>
            <w:bottom w:w="0" w:type="dxa"/>
            <w:right w:w="0" w:type="dxa"/>
          </w:tblCellMar>
        </w:tblPrEx>
        <w:trPr>
          <w:trHeight w:val="575" w:hRule="atLeast"/>
        </w:trPr>
        <w:tc>
          <w:tcPr>
            <w:tcW w:w="82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效益（20）</w:t>
            </w:r>
          </w:p>
        </w:tc>
        <w:tc>
          <w:tcPr>
            <w:tcW w:w="60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项目效益　</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（20）</w:t>
            </w:r>
          </w:p>
        </w:tc>
        <w:tc>
          <w:tcPr>
            <w:tcW w:w="82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实施效益</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（15）</w:t>
            </w:r>
          </w:p>
        </w:tc>
        <w:tc>
          <w:tcPr>
            <w:tcW w:w="209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left"/>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项目实施所产生的效益。</w:t>
            </w:r>
          </w:p>
        </w:tc>
        <w:tc>
          <w:tcPr>
            <w:tcW w:w="6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15</w:t>
            </w:r>
          </w:p>
        </w:tc>
      </w:tr>
      <w:tr>
        <w:tblPrEx>
          <w:tblCellMar>
            <w:top w:w="0" w:type="dxa"/>
            <w:left w:w="0" w:type="dxa"/>
            <w:bottom w:w="0" w:type="dxa"/>
            <w:right w:w="0" w:type="dxa"/>
          </w:tblCellMar>
        </w:tblPrEx>
        <w:trPr>
          <w:trHeight w:val="575" w:hRule="atLeast"/>
        </w:trPr>
        <w:tc>
          <w:tcPr>
            <w:tcW w:w="82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60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jc w:val="center"/>
              <w:rPr>
                <w:rFonts w:hint="eastAsia" w:asciiTheme="minorEastAsia" w:hAnsiTheme="minorEastAsia" w:eastAsiaTheme="minorEastAsia" w:cstheme="minorEastAsia"/>
                <w:color w:val="000000"/>
                <w:sz w:val="21"/>
                <w:szCs w:val="21"/>
              </w:rPr>
            </w:pPr>
          </w:p>
        </w:tc>
        <w:tc>
          <w:tcPr>
            <w:tcW w:w="82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满意度</w:t>
            </w:r>
            <w:r>
              <w:rPr>
                <w:rFonts w:hint="eastAsia" w:asciiTheme="minorEastAsia" w:hAnsiTheme="minorEastAsia" w:eastAsiaTheme="minorEastAsia" w:cstheme="minorEastAsia"/>
                <w:color w:val="000000"/>
                <w:kern w:val="0"/>
                <w:sz w:val="21"/>
                <w:szCs w:val="21"/>
              </w:rPr>
              <w:br w:type="textWrapping"/>
            </w:r>
            <w:r>
              <w:rPr>
                <w:rFonts w:hint="eastAsia" w:asciiTheme="minorEastAsia" w:hAnsiTheme="minorEastAsia" w:eastAsiaTheme="minorEastAsia" w:cstheme="minorEastAsia"/>
                <w:color w:val="000000"/>
                <w:kern w:val="0"/>
                <w:sz w:val="21"/>
                <w:szCs w:val="21"/>
              </w:rPr>
              <w:t>（5）</w:t>
            </w:r>
          </w:p>
        </w:tc>
        <w:tc>
          <w:tcPr>
            <w:tcW w:w="209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社会公众或服务对象对项目实施效果的满意程度。</w:t>
            </w:r>
          </w:p>
        </w:tc>
        <w:tc>
          <w:tcPr>
            <w:tcW w:w="6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widowControl/>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r>
    </w:tbl>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仿宋_GB2312" w:hAnsi="仿宋_GB2312" w:eastAsia="仿宋_GB2312" w:cs="仿宋_GB2312"/>
          <w:b/>
          <w:bCs/>
          <w:sz w:val="32"/>
          <w:szCs w:val="32"/>
        </w:rPr>
      </w:pPr>
      <w:bookmarkStart w:id="21" w:name="_Toc30152847"/>
      <w:r>
        <w:rPr>
          <w:rFonts w:hint="eastAsia" w:ascii="仿宋_GB2312" w:hAnsi="仿宋_GB2312" w:eastAsia="仿宋_GB2312" w:cs="仿宋_GB2312"/>
          <w:b/>
          <w:bCs/>
          <w:sz w:val="32"/>
          <w:szCs w:val="32"/>
        </w:rPr>
        <w:t>3、绩效评价标准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绩效评价标准通常包括计划标准、行业标准、历史标准等，用于对绩效指标完成情况进行比较。本次评价主要采用了计划标准和行业标准。</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4、评价方法</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绩效评价方法主要包括成本效益分析法、比较法、因素分析法、最低成本法、公众评判法、标杆管理法等。针对本项目，在评价过程中主要采用了成本效益分析法、最低成本法。</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（三）绩效评价工作过程</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自评价项目启动以来，项目组充分准备，了解项目的实施情况、资金使用情况以及志愿者对该项目的满意情况做出相应的解答，完成了项目绩效评价工作方案，明确了评价的目的、方法、原则、指标、标准、社会调查方案等。项目评价期间，项目组严格按照工作方案，经过数据采集、问卷调查及数据复核、数据分析和报告撰写等环节，顺利完成了塔城地区团委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年度西部计划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的绩效评价工作。</w:t>
      </w:r>
      <w:bookmarkEnd w:id="21"/>
      <w:bookmarkStart w:id="22" w:name="_Toc30152850"/>
      <w:bookmarkStart w:id="23" w:name="_Toc10119"/>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三、</w:t>
      </w:r>
      <w:bookmarkEnd w:id="22"/>
      <w:bookmarkEnd w:id="23"/>
      <w:r>
        <w:rPr>
          <w:rFonts w:hint="eastAsia" w:ascii="黑体" w:hAnsi="黑体" w:eastAsia="黑体" w:cs="黑体"/>
          <w:b/>
          <w:bCs/>
          <w:sz w:val="32"/>
          <w:szCs w:val="32"/>
        </w:rPr>
        <w:t>综合评价情况及评价结论</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大学生志愿服务西部计划从2003年开始，按照公开招募、自愿报名、组织选拔、集中派遣的方式，每年招募一定数量的普通高等学校应届毕业生，到西部贫困县的乡镇从事志愿服务工作，对贯彻落实中央人才强国战略，进一步推进西部大开发，改善新疆、塔城人才队伍结构，促进自治区、地区经济发展和社会进步具有重要意义。从项目的完成情况看，项目工作能按照实施方案的各时间节点完成，项目资金预算执行率为</w:t>
      </w:r>
      <w:r>
        <w:rPr>
          <w:rFonts w:hint="eastAsia" w:ascii="仿宋_GB2312" w:hAnsi="仿宋_GB2312" w:eastAsia="仿宋_GB2312" w:cs="仿宋_GB2312"/>
          <w:sz w:val="32"/>
          <w:szCs w:val="32"/>
          <w:lang w:val="en-US" w:eastAsia="zh-CN"/>
        </w:rPr>
        <w:t>99.99</w:t>
      </w:r>
      <w:r>
        <w:rPr>
          <w:rFonts w:hint="eastAsia" w:ascii="仿宋_GB2312" w:hAnsi="仿宋_GB2312" w:eastAsia="仿宋_GB2312" w:cs="仿宋_GB2312"/>
          <w:sz w:val="32"/>
          <w:szCs w:val="32"/>
        </w:rPr>
        <w:t>%；从项目的效果看，项目自2003年实施以来，在广大青年中产生了较强示范性和影响力，在岗志愿者人数逐渐增加，提升了社会效益和可持续影响力，总体实施效果较佳。</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运用由项目组制订评价指标体系及评分标准，通过数据采集、问卷调查，对地区团委</w:t>
      </w:r>
      <w:r>
        <w:rPr>
          <w:rFonts w:hint="eastAsia" w:ascii="仿宋_GB2312" w:hAnsi="仿宋_GB2312" w:eastAsia="仿宋_GB2312" w:cs="仿宋_GB2312"/>
          <w:sz w:val="32"/>
          <w:szCs w:val="32"/>
        </w:rPr>
        <w:t>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color w:val="auto"/>
          <w:sz w:val="32"/>
          <w:szCs w:val="32"/>
        </w:rPr>
        <w:t>进行客观评价，最终评分结果：总得分为9</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分，属于“优秀”。其中：决策类指标权重为20分，得分为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%；过程类指标权重为20分，得分为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%；产出类指标权重为40分，得分为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分，得分率为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%；项目效益类指标权重为20分，得分为</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得分率为9</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%。具体打分情况详见附件2（综合评分表）。</w:t>
      </w:r>
    </w:p>
    <w:p>
      <w:pPr>
        <w:pStyle w:val="29"/>
        <w:keepNext w:val="0"/>
        <w:keepLines w:val="0"/>
        <w:pageBreakBefore w:val="0"/>
        <w:kinsoku/>
        <w:wordWrap/>
        <w:overflowPunct/>
        <w:topLinePunct w:val="0"/>
        <w:autoSpaceDE/>
        <w:autoSpaceDN/>
        <w:bidi w:val="0"/>
        <w:adjustRightInd/>
        <w:snapToGrid/>
        <w:spacing w:line="560" w:lineRule="atLeast"/>
        <w:ind w:firstLine="710" w:firstLineChars="221"/>
        <w:jc w:val="center"/>
        <w:textAlignment w:val="auto"/>
        <w:rPr>
          <w:rFonts w:ascii="方正仿宋_GBK" w:hAnsi="仿宋" w:eastAsia="方正仿宋_GBK" w:cs="宋体"/>
          <w:b/>
          <w:bCs/>
          <w:color w:val="auto"/>
          <w:sz w:val="32"/>
          <w:szCs w:val="32"/>
        </w:rPr>
      </w:pPr>
      <w:r>
        <w:rPr>
          <w:rFonts w:hint="eastAsia" w:ascii="仿宋_GB2312" w:hAnsi="仿宋_GB2312" w:eastAsia="仿宋_GB2312" w:cs="仿宋_GB2312"/>
          <w:b/>
          <w:bCs/>
          <w:color w:val="auto"/>
          <w:kern w:val="0"/>
          <w:sz w:val="32"/>
          <w:szCs w:val="32"/>
        </w:rPr>
        <w:t>西部计划志愿者社保补助项目绩效评价项目得分情况表</w:t>
      </w:r>
    </w:p>
    <w:tbl>
      <w:tblPr>
        <w:tblStyle w:val="23"/>
        <w:tblW w:w="4971" w:type="pct"/>
        <w:tblInd w:w="0" w:type="dxa"/>
        <w:tblLayout w:type="autofit"/>
        <w:tblCellMar>
          <w:top w:w="0" w:type="dxa"/>
          <w:left w:w="108" w:type="dxa"/>
          <w:bottom w:w="0" w:type="dxa"/>
          <w:right w:w="108" w:type="dxa"/>
        </w:tblCellMar>
      </w:tblPr>
      <w:tblGrid>
        <w:gridCol w:w="2780"/>
        <w:gridCol w:w="2223"/>
        <w:gridCol w:w="2076"/>
        <w:gridCol w:w="1777"/>
      </w:tblGrid>
      <w:tr>
        <w:tblPrEx>
          <w:tblCellMar>
            <w:top w:w="0" w:type="dxa"/>
            <w:left w:w="108" w:type="dxa"/>
            <w:bottom w:w="0" w:type="dxa"/>
            <w:right w:w="108" w:type="dxa"/>
          </w:tblCellMar>
        </w:tblPrEx>
        <w:trPr>
          <w:trHeight w:val="510" w:hRule="exact"/>
          <w:tblHeader/>
        </w:trPr>
        <w:tc>
          <w:tcPr>
            <w:tcW w:w="1570" w:type="pct"/>
            <w:tcBorders>
              <w:top w:val="single" w:color="auto" w:sz="8" w:space="0"/>
              <w:left w:val="single" w:color="auto" w:sz="8" w:space="0"/>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一级指标</w:t>
            </w:r>
          </w:p>
        </w:tc>
        <w:tc>
          <w:tcPr>
            <w:tcW w:w="1255" w:type="pct"/>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权重</w:t>
            </w:r>
          </w:p>
        </w:tc>
        <w:tc>
          <w:tcPr>
            <w:tcW w:w="1172" w:type="pct"/>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得分率</w:t>
            </w:r>
          </w:p>
        </w:tc>
        <w:tc>
          <w:tcPr>
            <w:tcW w:w="1003" w:type="pct"/>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auto"/>
                <w:kern w:val="0"/>
                <w:sz w:val="22"/>
                <w:szCs w:val="22"/>
              </w:rPr>
            </w:pPr>
            <w:r>
              <w:rPr>
                <w:rFonts w:hint="eastAsia" w:ascii="方正仿宋_GBK" w:hAnsi="Tahoma" w:eastAsia="方正仿宋_GBK" w:cs="Tahoma"/>
                <w:b/>
                <w:bCs/>
                <w:color w:val="auto"/>
                <w:kern w:val="0"/>
                <w:sz w:val="22"/>
                <w:szCs w:val="22"/>
              </w:rPr>
              <w:t>实际得分</w:t>
            </w:r>
          </w:p>
        </w:tc>
      </w:tr>
      <w:tr>
        <w:tblPrEx>
          <w:tblCellMar>
            <w:top w:w="0" w:type="dxa"/>
            <w:left w:w="108" w:type="dxa"/>
            <w:bottom w:w="0" w:type="dxa"/>
            <w:right w:w="108" w:type="dxa"/>
          </w:tblCellMar>
        </w:tblPrEx>
        <w:trPr>
          <w:trHeight w:val="510" w:hRule="exact"/>
          <w:tblHeader/>
        </w:trPr>
        <w:tc>
          <w:tcPr>
            <w:tcW w:w="1570" w:type="pct"/>
            <w:tcBorders>
              <w:top w:val="single" w:color="auto" w:sz="8" w:space="0"/>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auto"/>
                <w:kern w:val="0"/>
                <w:sz w:val="24"/>
              </w:rPr>
            </w:pPr>
            <w:r>
              <w:rPr>
                <w:rFonts w:hint="eastAsia" w:ascii="方正仿宋_GBK" w:hAnsi="Tahoma" w:eastAsia="方正仿宋_GBK" w:cs="Tahoma"/>
                <w:color w:val="auto"/>
                <w:kern w:val="0"/>
                <w:sz w:val="24"/>
              </w:rPr>
              <w:t>决策</w:t>
            </w:r>
          </w:p>
        </w:tc>
        <w:tc>
          <w:tcPr>
            <w:tcW w:w="1255" w:type="pct"/>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auto"/>
                <w:kern w:val="0"/>
                <w:sz w:val="24"/>
              </w:rPr>
            </w:pPr>
            <w:r>
              <w:rPr>
                <w:rFonts w:hint="eastAsia" w:ascii="Times New Roman" w:hAnsi="Times New Roman" w:eastAsia="方正仿宋_GBK"/>
                <w:color w:val="auto"/>
                <w:kern w:val="0"/>
                <w:sz w:val="24"/>
              </w:rPr>
              <w:t>20</w:t>
            </w:r>
          </w:p>
        </w:tc>
        <w:tc>
          <w:tcPr>
            <w:tcW w:w="1172" w:type="pct"/>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auto"/>
                <w:kern w:val="0"/>
                <w:sz w:val="24"/>
              </w:rPr>
            </w:pPr>
            <w:r>
              <w:rPr>
                <w:rFonts w:hint="eastAsia" w:ascii="Times New Roman" w:hAnsi="Times New Roman" w:eastAsia="方正仿宋_GBK"/>
                <w:color w:val="auto"/>
                <w:kern w:val="0"/>
                <w:sz w:val="24"/>
                <w:lang w:val="en-US" w:eastAsia="zh-CN"/>
              </w:rPr>
              <w:t>100</w:t>
            </w:r>
            <w:r>
              <w:rPr>
                <w:rFonts w:hint="eastAsia" w:ascii="Times New Roman" w:hAnsi="Times New Roman" w:eastAsia="方正仿宋_GBK"/>
                <w:color w:val="auto"/>
                <w:kern w:val="0"/>
                <w:sz w:val="24"/>
              </w:rPr>
              <w:t>%</w:t>
            </w:r>
          </w:p>
        </w:tc>
        <w:tc>
          <w:tcPr>
            <w:tcW w:w="1003" w:type="pct"/>
            <w:tcBorders>
              <w:top w:val="single" w:color="auto" w:sz="8" w:space="0"/>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auto"/>
                <w:kern w:val="0"/>
                <w:sz w:val="24"/>
                <w:lang w:val="en-US" w:eastAsia="zh-CN"/>
              </w:rPr>
            </w:pPr>
            <w:r>
              <w:rPr>
                <w:rFonts w:hint="eastAsia" w:ascii="Times New Roman" w:hAnsi="Times New Roman" w:eastAsia="方正仿宋_GBK"/>
                <w:color w:val="auto"/>
                <w:kern w:val="0"/>
                <w:sz w:val="24"/>
                <w:lang w:val="en-US" w:eastAsia="zh-CN"/>
              </w:rPr>
              <w:t>20</w:t>
            </w:r>
          </w:p>
        </w:tc>
      </w:tr>
      <w:tr>
        <w:tblPrEx>
          <w:tblCellMar>
            <w:top w:w="0" w:type="dxa"/>
            <w:left w:w="108" w:type="dxa"/>
            <w:bottom w:w="0" w:type="dxa"/>
            <w:right w:w="108" w:type="dxa"/>
          </w:tblCellMar>
        </w:tblPrEx>
        <w:trPr>
          <w:trHeight w:val="510" w:hRule="exact"/>
          <w:tblHeader/>
        </w:trPr>
        <w:tc>
          <w:tcPr>
            <w:tcW w:w="1570" w:type="pct"/>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auto"/>
                <w:kern w:val="0"/>
                <w:sz w:val="24"/>
              </w:rPr>
            </w:pPr>
            <w:r>
              <w:rPr>
                <w:rFonts w:hint="eastAsia" w:ascii="方正仿宋_GBK" w:hAnsi="Tahoma" w:eastAsia="方正仿宋_GBK" w:cs="Tahoma"/>
                <w:color w:val="auto"/>
                <w:kern w:val="0"/>
                <w:sz w:val="24"/>
              </w:rPr>
              <w:t>过程</w:t>
            </w:r>
          </w:p>
        </w:tc>
        <w:tc>
          <w:tcPr>
            <w:tcW w:w="1255"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auto"/>
                <w:kern w:val="0"/>
                <w:sz w:val="24"/>
              </w:rPr>
            </w:pPr>
            <w:r>
              <w:rPr>
                <w:rFonts w:hint="eastAsia" w:ascii="Times New Roman" w:hAnsi="Times New Roman" w:eastAsia="方正仿宋_GBK"/>
                <w:color w:val="auto"/>
                <w:kern w:val="0"/>
                <w:sz w:val="24"/>
              </w:rPr>
              <w:t>20</w:t>
            </w:r>
          </w:p>
        </w:tc>
        <w:tc>
          <w:tcPr>
            <w:tcW w:w="1172"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auto"/>
                <w:kern w:val="0"/>
                <w:sz w:val="24"/>
              </w:rPr>
            </w:pPr>
            <w:r>
              <w:rPr>
                <w:rFonts w:hint="eastAsia" w:ascii="Times New Roman" w:hAnsi="Times New Roman" w:eastAsia="方正仿宋_GBK"/>
                <w:color w:val="auto"/>
                <w:kern w:val="0"/>
                <w:sz w:val="24"/>
                <w:lang w:val="en-US" w:eastAsia="zh-CN"/>
              </w:rPr>
              <w:t>100</w:t>
            </w:r>
            <w:r>
              <w:rPr>
                <w:rFonts w:hint="eastAsia" w:ascii="Times New Roman" w:hAnsi="Times New Roman" w:eastAsia="方正仿宋_GBK"/>
                <w:color w:val="auto"/>
                <w:kern w:val="0"/>
                <w:sz w:val="24"/>
              </w:rPr>
              <w:t>%</w:t>
            </w:r>
          </w:p>
        </w:tc>
        <w:tc>
          <w:tcPr>
            <w:tcW w:w="1003"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auto"/>
                <w:kern w:val="0"/>
                <w:sz w:val="24"/>
                <w:lang w:val="en-US" w:eastAsia="zh-CN"/>
              </w:rPr>
            </w:pPr>
            <w:r>
              <w:rPr>
                <w:rFonts w:hint="eastAsia" w:ascii="Times New Roman" w:hAnsi="Times New Roman" w:eastAsia="方正仿宋_GBK"/>
                <w:color w:val="auto"/>
                <w:kern w:val="0"/>
                <w:sz w:val="24"/>
                <w:lang w:val="en-US" w:eastAsia="zh-CN"/>
              </w:rPr>
              <w:t>20</w:t>
            </w:r>
          </w:p>
        </w:tc>
      </w:tr>
      <w:tr>
        <w:tblPrEx>
          <w:tblCellMar>
            <w:top w:w="0" w:type="dxa"/>
            <w:left w:w="108" w:type="dxa"/>
            <w:bottom w:w="0" w:type="dxa"/>
            <w:right w:w="108" w:type="dxa"/>
          </w:tblCellMar>
        </w:tblPrEx>
        <w:trPr>
          <w:trHeight w:val="510" w:hRule="exact"/>
          <w:tblHeader/>
        </w:trPr>
        <w:tc>
          <w:tcPr>
            <w:tcW w:w="1570" w:type="pct"/>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auto"/>
                <w:kern w:val="0"/>
                <w:sz w:val="24"/>
              </w:rPr>
            </w:pPr>
            <w:r>
              <w:rPr>
                <w:rFonts w:hint="eastAsia" w:ascii="方正仿宋_GBK" w:hAnsi="Tahoma" w:eastAsia="方正仿宋_GBK" w:cs="Tahoma"/>
                <w:color w:val="auto"/>
                <w:kern w:val="0"/>
                <w:sz w:val="24"/>
              </w:rPr>
              <w:t>产出</w:t>
            </w:r>
          </w:p>
        </w:tc>
        <w:tc>
          <w:tcPr>
            <w:tcW w:w="1255"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auto"/>
                <w:kern w:val="0"/>
                <w:sz w:val="24"/>
              </w:rPr>
            </w:pPr>
            <w:r>
              <w:rPr>
                <w:rFonts w:hint="eastAsia" w:ascii="Times New Roman" w:hAnsi="Times New Roman" w:eastAsia="方正仿宋_GBK"/>
                <w:color w:val="auto"/>
                <w:kern w:val="0"/>
                <w:sz w:val="24"/>
              </w:rPr>
              <w:t>40</w:t>
            </w:r>
          </w:p>
        </w:tc>
        <w:tc>
          <w:tcPr>
            <w:tcW w:w="1172"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auto"/>
                <w:kern w:val="0"/>
                <w:sz w:val="24"/>
              </w:rPr>
            </w:pPr>
            <w:r>
              <w:rPr>
                <w:rFonts w:hint="eastAsia" w:ascii="Times New Roman" w:hAnsi="Times New Roman" w:eastAsia="方正仿宋_GBK"/>
                <w:color w:val="auto"/>
                <w:kern w:val="0"/>
                <w:sz w:val="24"/>
                <w:lang w:val="en-US" w:eastAsia="zh-CN"/>
              </w:rPr>
              <w:t>100</w:t>
            </w:r>
            <w:r>
              <w:rPr>
                <w:rFonts w:hint="eastAsia" w:ascii="Times New Roman" w:hAnsi="Times New Roman" w:eastAsia="方正仿宋_GBK"/>
                <w:color w:val="auto"/>
                <w:kern w:val="0"/>
                <w:sz w:val="24"/>
              </w:rPr>
              <w:t>%</w:t>
            </w:r>
          </w:p>
        </w:tc>
        <w:tc>
          <w:tcPr>
            <w:tcW w:w="1003"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auto"/>
                <w:kern w:val="0"/>
                <w:sz w:val="24"/>
                <w:lang w:val="en-US" w:eastAsia="zh-CN"/>
              </w:rPr>
            </w:pPr>
            <w:r>
              <w:rPr>
                <w:rFonts w:hint="eastAsia" w:ascii="Times New Roman" w:hAnsi="Times New Roman" w:eastAsia="方正仿宋_GBK"/>
                <w:color w:val="auto"/>
                <w:kern w:val="0"/>
                <w:sz w:val="24"/>
                <w:lang w:val="en-US" w:eastAsia="zh-CN"/>
              </w:rPr>
              <w:t>40</w:t>
            </w:r>
          </w:p>
        </w:tc>
      </w:tr>
      <w:tr>
        <w:tblPrEx>
          <w:tblCellMar>
            <w:top w:w="0" w:type="dxa"/>
            <w:left w:w="108" w:type="dxa"/>
            <w:bottom w:w="0" w:type="dxa"/>
            <w:right w:w="108" w:type="dxa"/>
          </w:tblCellMar>
        </w:tblPrEx>
        <w:trPr>
          <w:trHeight w:val="510" w:hRule="exact"/>
          <w:tblHeader/>
        </w:trPr>
        <w:tc>
          <w:tcPr>
            <w:tcW w:w="1570" w:type="pct"/>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auto"/>
                <w:kern w:val="0"/>
                <w:sz w:val="24"/>
              </w:rPr>
            </w:pPr>
            <w:r>
              <w:rPr>
                <w:rFonts w:hint="eastAsia" w:ascii="方正仿宋_GBK" w:hAnsi="Tahoma" w:eastAsia="方正仿宋_GBK" w:cs="Tahoma"/>
                <w:color w:val="auto"/>
                <w:kern w:val="0"/>
                <w:sz w:val="24"/>
              </w:rPr>
              <w:t>效益</w:t>
            </w:r>
          </w:p>
        </w:tc>
        <w:tc>
          <w:tcPr>
            <w:tcW w:w="1255"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auto"/>
                <w:kern w:val="0"/>
                <w:sz w:val="24"/>
              </w:rPr>
            </w:pPr>
            <w:r>
              <w:rPr>
                <w:rFonts w:hint="eastAsia" w:ascii="Times New Roman" w:hAnsi="Times New Roman" w:eastAsia="方正仿宋_GBK"/>
                <w:color w:val="auto"/>
                <w:kern w:val="0"/>
                <w:sz w:val="24"/>
              </w:rPr>
              <w:t>20</w:t>
            </w:r>
          </w:p>
        </w:tc>
        <w:tc>
          <w:tcPr>
            <w:tcW w:w="1172"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auto"/>
                <w:kern w:val="0"/>
                <w:sz w:val="24"/>
              </w:rPr>
            </w:pPr>
            <w:r>
              <w:rPr>
                <w:rFonts w:hint="eastAsia" w:ascii="Times New Roman" w:hAnsi="Times New Roman" w:eastAsia="方正仿宋_GBK"/>
                <w:color w:val="auto"/>
                <w:kern w:val="0"/>
                <w:sz w:val="24"/>
              </w:rPr>
              <w:t>9</w:t>
            </w:r>
            <w:r>
              <w:rPr>
                <w:rFonts w:hint="eastAsia" w:ascii="Times New Roman" w:hAnsi="Times New Roman" w:eastAsia="方正仿宋_GBK"/>
                <w:color w:val="auto"/>
                <w:kern w:val="0"/>
                <w:sz w:val="24"/>
                <w:lang w:val="en-US" w:eastAsia="zh-CN"/>
              </w:rPr>
              <w:t>5</w:t>
            </w:r>
            <w:r>
              <w:rPr>
                <w:rFonts w:hint="eastAsia" w:ascii="Times New Roman" w:hAnsi="Times New Roman" w:eastAsia="方正仿宋_GBK"/>
                <w:color w:val="auto"/>
                <w:kern w:val="0"/>
                <w:sz w:val="24"/>
              </w:rPr>
              <w:t>%</w:t>
            </w:r>
          </w:p>
        </w:tc>
        <w:tc>
          <w:tcPr>
            <w:tcW w:w="1003"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auto"/>
                <w:kern w:val="0"/>
                <w:sz w:val="24"/>
                <w:lang w:val="en-US" w:eastAsia="zh-CN"/>
              </w:rPr>
            </w:pPr>
            <w:r>
              <w:rPr>
                <w:rFonts w:hint="eastAsia" w:ascii="Times New Roman" w:hAnsi="Times New Roman" w:eastAsia="方正仿宋_GBK"/>
                <w:color w:val="auto"/>
                <w:kern w:val="0"/>
                <w:sz w:val="24"/>
                <w:lang w:val="en-US" w:eastAsia="zh-CN"/>
              </w:rPr>
              <w:t>19</w:t>
            </w:r>
          </w:p>
        </w:tc>
      </w:tr>
      <w:tr>
        <w:tblPrEx>
          <w:tblCellMar>
            <w:top w:w="0" w:type="dxa"/>
            <w:left w:w="108" w:type="dxa"/>
            <w:bottom w:w="0" w:type="dxa"/>
            <w:right w:w="108" w:type="dxa"/>
          </w:tblCellMar>
        </w:tblPrEx>
        <w:trPr>
          <w:trHeight w:val="510" w:hRule="exact"/>
          <w:tblHeader/>
        </w:trPr>
        <w:tc>
          <w:tcPr>
            <w:tcW w:w="1570" w:type="pct"/>
            <w:tcBorders>
              <w:top w:val="nil"/>
              <w:left w:val="single" w:color="auto" w:sz="8"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auto"/>
                <w:kern w:val="0"/>
                <w:sz w:val="24"/>
              </w:rPr>
            </w:pPr>
            <w:r>
              <w:rPr>
                <w:rFonts w:hint="eastAsia" w:ascii="方正仿宋_GBK" w:hAnsi="Tahoma" w:eastAsia="方正仿宋_GBK" w:cs="Tahoma"/>
                <w:color w:val="auto"/>
                <w:kern w:val="0"/>
                <w:sz w:val="24"/>
              </w:rPr>
              <w:t>合计</w:t>
            </w:r>
          </w:p>
        </w:tc>
        <w:tc>
          <w:tcPr>
            <w:tcW w:w="1255"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auto"/>
                <w:kern w:val="0"/>
                <w:sz w:val="24"/>
              </w:rPr>
            </w:pPr>
            <w:r>
              <w:rPr>
                <w:rFonts w:ascii="Times New Roman" w:hAnsi="Times New Roman" w:eastAsia="方正仿宋_GBK"/>
                <w:color w:val="auto"/>
                <w:kern w:val="0"/>
                <w:sz w:val="24"/>
              </w:rPr>
              <w:t>100</w:t>
            </w:r>
          </w:p>
        </w:tc>
        <w:tc>
          <w:tcPr>
            <w:tcW w:w="1172"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olor w:val="auto"/>
                <w:kern w:val="0"/>
                <w:sz w:val="24"/>
              </w:rPr>
            </w:pPr>
            <w:r>
              <w:rPr>
                <w:rFonts w:hint="eastAsia" w:ascii="Times New Roman" w:hAnsi="Times New Roman" w:eastAsia="方正仿宋_GBK"/>
                <w:color w:val="auto"/>
                <w:kern w:val="0"/>
                <w:sz w:val="24"/>
                <w:lang w:val="en-US" w:eastAsia="zh-CN"/>
              </w:rPr>
              <w:t>99</w:t>
            </w:r>
            <w:r>
              <w:rPr>
                <w:rFonts w:hint="eastAsia" w:ascii="Times New Roman" w:hAnsi="Times New Roman" w:eastAsia="方正仿宋_GBK"/>
                <w:color w:val="auto"/>
                <w:kern w:val="0"/>
                <w:sz w:val="24"/>
              </w:rPr>
              <w:t>%</w:t>
            </w:r>
          </w:p>
        </w:tc>
        <w:tc>
          <w:tcPr>
            <w:tcW w:w="1003" w:type="pct"/>
            <w:tcBorders>
              <w:top w:val="nil"/>
              <w:left w:val="nil"/>
              <w:bottom w:val="single" w:color="auto" w:sz="8" w:space="0"/>
              <w:right w:val="single" w:color="auto" w:sz="8" w:space="0"/>
            </w:tcBorders>
            <w:vAlign w:val="center"/>
          </w:tcPr>
          <w:p>
            <w:pPr>
              <w:keepNext w:val="0"/>
              <w:keepLines w:val="0"/>
              <w:pageBreakBefore w:val="0"/>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auto"/>
                <w:kern w:val="0"/>
                <w:sz w:val="24"/>
                <w:lang w:val="en-US" w:eastAsia="zh-CN"/>
              </w:rPr>
            </w:pPr>
            <w:r>
              <w:rPr>
                <w:rFonts w:hint="eastAsia" w:ascii="Times New Roman" w:hAnsi="Times New Roman" w:eastAsia="方正仿宋_GBK"/>
                <w:color w:val="auto"/>
                <w:kern w:val="0"/>
                <w:sz w:val="24"/>
                <w:lang w:val="en-US" w:eastAsia="zh-CN"/>
              </w:rPr>
              <w:t>99</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四、绩效评价指标分析</w:t>
      </w:r>
      <w:bookmarkStart w:id="24" w:name="_Toc30152853"/>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（一）项目决策</w:t>
      </w:r>
      <w:bookmarkEnd w:id="24"/>
      <w:r>
        <w:rPr>
          <w:rFonts w:hint="eastAsia" w:ascii="楷体" w:hAnsi="楷体" w:eastAsia="楷体" w:cs="楷体"/>
          <w:b/>
          <w:bCs/>
          <w:sz w:val="32"/>
          <w:szCs w:val="32"/>
        </w:rPr>
        <w:t>情况</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项目决策指标从项目立项、绩效目标、资金投入3个方面对项目的决策进行考察，项目决策类指标分值</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0分，实际得分</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分，得分率</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0%。项目决策指标得分情况如表所示。</w:t>
      </w:r>
    </w:p>
    <w:tbl>
      <w:tblPr>
        <w:tblStyle w:val="23"/>
        <w:tblW w:w="5000" w:type="pct"/>
        <w:tblInd w:w="0" w:type="dxa"/>
        <w:tblLayout w:type="autofit"/>
        <w:tblCellMar>
          <w:top w:w="0" w:type="dxa"/>
          <w:left w:w="108" w:type="dxa"/>
          <w:bottom w:w="0" w:type="dxa"/>
          <w:right w:w="108" w:type="dxa"/>
        </w:tblCellMar>
      </w:tblPr>
      <w:tblGrid>
        <w:gridCol w:w="2631"/>
        <w:gridCol w:w="2371"/>
        <w:gridCol w:w="2076"/>
        <w:gridCol w:w="1830"/>
      </w:tblGrid>
      <w:tr>
        <w:tblPrEx>
          <w:tblCellMar>
            <w:top w:w="0" w:type="dxa"/>
            <w:left w:w="108" w:type="dxa"/>
            <w:bottom w:w="0" w:type="dxa"/>
            <w:right w:w="108" w:type="dxa"/>
          </w:tblCellMar>
        </w:tblPrEx>
        <w:trPr>
          <w:trHeight w:val="480" w:hRule="atLeast"/>
        </w:trPr>
        <w:tc>
          <w:tcPr>
            <w:tcW w:w="5000" w:type="pct"/>
            <w:gridSpan w:val="4"/>
            <w:tcBorders>
              <w:top w:val="nil"/>
              <w:left w:val="nil"/>
              <w:bottom w:val="single" w:color="auto" w:sz="8"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8"/>
                <w:szCs w:val="28"/>
              </w:rPr>
            </w:pPr>
            <w:r>
              <w:rPr>
                <w:rFonts w:hint="eastAsia" w:ascii="方正仿宋_GBK" w:hAnsi="Tahoma" w:eastAsia="方正仿宋_GBK" w:cs="Tahoma"/>
                <w:color w:val="000000"/>
                <w:kern w:val="0"/>
                <w:sz w:val="28"/>
                <w:szCs w:val="28"/>
              </w:rPr>
              <w:t>项目决策指标得分情况</w:t>
            </w:r>
          </w:p>
        </w:tc>
      </w:tr>
      <w:tr>
        <w:tblPrEx>
          <w:tblCellMar>
            <w:top w:w="0" w:type="dxa"/>
            <w:left w:w="108" w:type="dxa"/>
            <w:bottom w:w="0" w:type="dxa"/>
            <w:right w:w="108" w:type="dxa"/>
          </w:tblCellMar>
        </w:tblPrEx>
        <w:trPr>
          <w:trHeight w:val="510" w:hRule="exact"/>
        </w:trPr>
        <w:tc>
          <w:tcPr>
            <w:tcW w:w="1477" w:type="pct"/>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331" w:type="pct"/>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165" w:type="pct"/>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027" w:type="pct"/>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项目立项</w:t>
            </w:r>
          </w:p>
        </w:tc>
        <w:tc>
          <w:tcPr>
            <w:tcW w:w="1331"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s="Times New Roman"/>
                <w:color w:val="000000"/>
                <w:kern w:val="0"/>
                <w:sz w:val="24"/>
                <w:lang w:eastAsia="zh-CN"/>
              </w:rPr>
            </w:pPr>
            <w:r>
              <w:rPr>
                <w:rFonts w:ascii="Times New Roman" w:hAnsi="Times New Roman" w:eastAsia="方正仿宋_GBK" w:cs="Times New Roman"/>
                <w:color w:val="000000"/>
                <w:kern w:val="0"/>
                <w:sz w:val="24"/>
              </w:rPr>
              <w:t>1</w:t>
            </w:r>
            <w:r>
              <w:rPr>
                <w:rFonts w:hint="eastAsia" w:ascii="Times New Roman" w:hAnsi="Times New Roman" w:eastAsia="方正仿宋_GBK" w:cs="Times New Roman"/>
                <w:color w:val="000000"/>
                <w:kern w:val="0"/>
                <w:sz w:val="24"/>
                <w:lang w:val="en-US" w:eastAsia="zh-CN"/>
              </w:rPr>
              <w:t>0</w:t>
            </w:r>
          </w:p>
        </w:tc>
        <w:tc>
          <w:tcPr>
            <w:tcW w:w="1165"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10</w:t>
            </w:r>
            <w:r>
              <w:rPr>
                <w:rFonts w:hint="eastAsia" w:ascii="Times New Roman" w:hAnsi="Times New Roman" w:eastAsia="方正仿宋_GBK" w:cs="Times New Roman"/>
                <w:color w:val="000000"/>
                <w:kern w:val="0"/>
                <w:sz w:val="24"/>
              </w:rPr>
              <w:t>0</w:t>
            </w:r>
            <w:r>
              <w:rPr>
                <w:rFonts w:ascii="Times New Roman" w:hAnsi="Times New Roman" w:eastAsia="方正仿宋_GBK" w:cs="Times New Roman"/>
                <w:color w:val="000000"/>
                <w:kern w:val="0"/>
                <w:sz w:val="24"/>
              </w:rPr>
              <w:t>%</w:t>
            </w:r>
          </w:p>
        </w:tc>
        <w:tc>
          <w:tcPr>
            <w:tcW w:w="1027"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s="Times New Roman"/>
                <w:color w:val="000000"/>
                <w:kern w:val="0"/>
                <w:sz w:val="24"/>
                <w:lang w:val="en-US" w:eastAsia="zh-CN"/>
              </w:rPr>
            </w:pPr>
            <w:r>
              <w:rPr>
                <w:rFonts w:hint="eastAsia" w:ascii="Times New Roman" w:hAnsi="Times New Roman" w:eastAsia="方正仿宋_GBK" w:cs="Times New Roman"/>
                <w:color w:val="000000"/>
                <w:kern w:val="0"/>
                <w:sz w:val="24"/>
                <w:lang w:val="en-US" w:eastAsia="zh-CN"/>
              </w:rPr>
              <w:t>10</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绩效目标</w:t>
            </w:r>
          </w:p>
        </w:tc>
        <w:tc>
          <w:tcPr>
            <w:tcW w:w="1331"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ascii="Times New Roman" w:hAnsi="Times New Roman" w:eastAsia="方正仿宋_GBK" w:cs="Times New Roman"/>
                <w:color w:val="000000"/>
                <w:kern w:val="0"/>
                <w:sz w:val="24"/>
              </w:rPr>
              <w:t>5</w:t>
            </w:r>
          </w:p>
        </w:tc>
        <w:tc>
          <w:tcPr>
            <w:tcW w:w="1165"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100</w:t>
            </w:r>
            <w:r>
              <w:rPr>
                <w:rFonts w:ascii="Times New Roman" w:hAnsi="Times New Roman" w:eastAsia="方正仿宋_GBK" w:cs="Times New Roman"/>
                <w:color w:val="000000"/>
                <w:kern w:val="0"/>
                <w:sz w:val="24"/>
              </w:rPr>
              <w:t>%</w:t>
            </w:r>
          </w:p>
        </w:tc>
        <w:tc>
          <w:tcPr>
            <w:tcW w:w="1027"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5</w:t>
            </w:r>
          </w:p>
        </w:tc>
      </w:tr>
      <w:tr>
        <w:tblPrEx>
          <w:tblCellMar>
            <w:top w:w="0" w:type="dxa"/>
            <w:left w:w="108" w:type="dxa"/>
            <w:bottom w:w="0" w:type="dxa"/>
            <w:right w:w="108" w:type="dxa"/>
          </w:tblCellMar>
        </w:tblPrEx>
        <w:trPr>
          <w:trHeight w:val="510" w:hRule="exact"/>
        </w:trPr>
        <w:tc>
          <w:tcPr>
            <w:tcW w:w="2631"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资金投入</w:t>
            </w:r>
          </w:p>
        </w:tc>
        <w:tc>
          <w:tcPr>
            <w:tcW w:w="1331"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s="Times New Roman"/>
                <w:color w:val="000000"/>
                <w:kern w:val="0"/>
                <w:sz w:val="24"/>
                <w:lang w:eastAsia="zh-CN"/>
              </w:rPr>
            </w:pPr>
            <w:r>
              <w:rPr>
                <w:rFonts w:hint="eastAsia" w:ascii="Times New Roman" w:hAnsi="Times New Roman" w:eastAsia="方正仿宋_GBK" w:cs="Times New Roman"/>
                <w:color w:val="000000"/>
                <w:kern w:val="0"/>
                <w:sz w:val="24"/>
                <w:lang w:val="en-US" w:eastAsia="zh-CN"/>
              </w:rPr>
              <w:t>5</w:t>
            </w:r>
          </w:p>
        </w:tc>
        <w:tc>
          <w:tcPr>
            <w:tcW w:w="1165"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100</w:t>
            </w:r>
            <w:r>
              <w:rPr>
                <w:rFonts w:ascii="Times New Roman" w:hAnsi="Times New Roman" w:eastAsia="方正仿宋_GBK" w:cs="Times New Roman"/>
                <w:color w:val="000000"/>
                <w:kern w:val="0"/>
                <w:sz w:val="24"/>
              </w:rPr>
              <w:t>%</w:t>
            </w:r>
          </w:p>
        </w:tc>
        <w:tc>
          <w:tcPr>
            <w:tcW w:w="1027" w:type="pct"/>
            <w:tcBorders>
              <w:top w:val="nil"/>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Times New Roman" w:hAnsi="Times New Roman" w:eastAsia="方正仿宋_GBK" w:cs="Times New Roman"/>
                <w:color w:val="000000"/>
                <w:kern w:val="0"/>
                <w:sz w:val="24"/>
                <w:lang w:eastAsia="zh-CN"/>
              </w:rPr>
            </w:pPr>
            <w:r>
              <w:rPr>
                <w:rFonts w:hint="eastAsia" w:ascii="Times New Roman" w:hAnsi="Times New Roman" w:eastAsia="方正仿宋_GBK" w:cs="Times New Roman"/>
                <w:color w:val="000000"/>
                <w:kern w:val="0"/>
                <w:sz w:val="24"/>
                <w:lang w:val="en-US" w:eastAsia="zh-CN"/>
              </w:rPr>
              <w:t>5</w:t>
            </w:r>
          </w:p>
        </w:tc>
      </w:tr>
      <w:tr>
        <w:tblPrEx>
          <w:tblCellMar>
            <w:top w:w="0" w:type="dxa"/>
            <w:left w:w="108" w:type="dxa"/>
            <w:bottom w:w="0" w:type="dxa"/>
            <w:right w:w="108" w:type="dxa"/>
          </w:tblCellMar>
        </w:tblPrEx>
        <w:trPr>
          <w:trHeight w:val="510" w:hRule="exact"/>
        </w:trPr>
        <w:tc>
          <w:tcPr>
            <w:tcW w:w="1477" w:type="pct"/>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合  计</w:t>
            </w:r>
          </w:p>
        </w:tc>
        <w:tc>
          <w:tcPr>
            <w:tcW w:w="1331" w:type="pct"/>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2</w:t>
            </w:r>
            <w:r>
              <w:rPr>
                <w:rFonts w:hint="eastAsia" w:ascii="Times New Roman" w:hAnsi="Times New Roman" w:eastAsia="方正仿宋_GBK" w:cs="Times New Roman"/>
                <w:color w:val="000000"/>
                <w:kern w:val="0"/>
                <w:sz w:val="24"/>
              </w:rPr>
              <w:t>0</w:t>
            </w:r>
          </w:p>
        </w:tc>
        <w:tc>
          <w:tcPr>
            <w:tcW w:w="1165" w:type="pct"/>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s="Times New Roman"/>
                <w:color w:val="000000"/>
                <w:kern w:val="0"/>
                <w:sz w:val="24"/>
              </w:rPr>
            </w:pPr>
            <w:r>
              <w:rPr>
                <w:rFonts w:hint="eastAsia" w:ascii="Times New Roman" w:hAnsi="Times New Roman" w:eastAsia="方正仿宋_GBK" w:cs="Times New Roman"/>
                <w:color w:val="000000"/>
                <w:kern w:val="0"/>
                <w:sz w:val="24"/>
                <w:lang w:val="en-US" w:eastAsia="zh-CN"/>
              </w:rPr>
              <w:t>10</w:t>
            </w:r>
            <w:r>
              <w:rPr>
                <w:rFonts w:hint="eastAsia" w:ascii="Times New Roman" w:hAnsi="Times New Roman" w:eastAsia="方正仿宋_GBK" w:cs="Times New Roman"/>
                <w:color w:val="000000"/>
                <w:kern w:val="0"/>
                <w:sz w:val="24"/>
              </w:rPr>
              <w:t>0</w:t>
            </w:r>
            <w:r>
              <w:rPr>
                <w:rFonts w:ascii="Times New Roman" w:hAnsi="Times New Roman" w:eastAsia="方正仿宋_GBK" w:cs="Times New Roman"/>
                <w:color w:val="000000"/>
                <w:kern w:val="0"/>
                <w:sz w:val="24"/>
              </w:rPr>
              <w:t>%</w:t>
            </w:r>
          </w:p>
        </w:tc>
        <w:tc>
          <w:tcPr>
            <w:tcW w:w="1027" w:type="pct"/>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s="Times New Roman"/>
                <w:color w:val="000000"/>
                <w:kern w:val="0"/>
                <w:sz w:val="24"/>
                <w:lang w:val="en-US" w:eastAsia="zh-CN"/>
              </w:rPr>
            </w:pPr>
            <w:r>
              <w:rPr>
                <w:rFonts w:hint="eastAsia" w:ascii="Times New Roman" w:hAnsi="Times New Roman" w:eastAsia="方正仿宋_GBK" w:cs="Times New Roman"/>
                <w:color w:val="000000"/>
                <w:kern w:val="0"/>
                <w:sz w:val="24"/>
                <w:lang w:val="en-US" w:eastAsia="zh-CN"/>
              </w:rPr>
              <w:t>20</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w:t>
      </w:r>
      <w:r>
        <w:rPr>
          <w:rFonts w:hint="eastAsia" w:ascii="仿宋_GB2312" w:hAnsi="仿宋_GB2312" w:eastAsia="仿宋_GB2312" w:cs="仿宋_GB2312"/>
          <w:sz w:val="32"/>
          <w:szCs w:val="32"/>
          <w:lang w:val="en-US" w:eastAsia="zh-CN"/>
        </w:rPr>
        <w:t>项目立项</w:t>
      </w:r>
      <w:r>
        <w:rPr>
          <w:rFonts w:hint="eastAsia" w:ascii="仿宋_GB2312" w:hAnsi="仿宋_GB2312" w:eastAsia="仿宋_GB2312" w:cs="仿宋_GB2312"/>
          <w:sz w:val="32"/>
          <w:szCs w:val="32"/>
        </w:rPr>
        <w:t>”，我们了解到大学生志愿服务西部计划项目是经国务院常务会议决定，由共青团中央、教育部、财政部、人力资源社会保障部共同组织实施的一项重大人才工程，项目自2003年开始实施。西部计划志愿者社保补助项目是西部计划项目实施的具体事项，该项目的立项符合规划，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绩效目标”，大学生志愿服务西部计划项目是共青团中央、教育部、财政部、人力资源社会保障部共同组织实施的一项重大人才工程，西部计划志愿者社保补助项目是西部计划项目实施的具体事项，设置了较为详细的项目支出绩效目标，项目绩效目标的设置，满足合理性和明确性的要求。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对于“资金投入”，西部计划志愿者社保补助项目</w:t>
      </w:r>
      <w:r>
        <w:rPr>
          <w:rFonts w:hint="eastAsia" w:ascii="仿宋_GB2312" w:hAnsi="仿宋_GB2312" w:eastAsia="仿宋_GB2312" w:cs="仿宋_GB2312"/>
          <w:sz w:val="32"/>
          <w:szCs w:val="32"/>
          <w:lang w:val="en-US" w:eastAsia="zh-CN"/>
        </w:rPr>
        <w:t>根据志愿者在岗情况拨付资金，资金拨付到位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根据评分标准</w:t>
      </w:r>
      <w:bookmarkStart w:id="25" w:name="_Toc30152854"/>
      <w:r>
        <w:rPr>
          <w:rFonts w:hint="eastAsia" w:ascii="仿宋_GB2312" w:hAnsi="仿宋_GB2312" w:eastAsia="仿宋_GB2312" w:cs="仿宋_GB2312"/>
          <w:sz w:val="32"/>
          <w:szCs w:val="32"/>
        </w:rPr>
        <w:t>，该指标不扣分。</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（二）项目</w:t>
      </w:r>
      <w:bookmarkEnd w:id="25"/>
      <w:r>
        <w:rPr>
          <w:rFonts w:hint="eastAsia" w:ascii="楷体" w:hAnsi="楷体" w:eastAsia="楷体" w:cs="楷体"/>
          <w:b/>
          <w:bCs/>
          <w:sz w:val="32"/>
          <w:szCs w:val="32"/>
        </w:rPr>
        <w:t>过程情况</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pPr>
      <w:r>
        <w:rPr>
          <w:rFonts w:hint="eastAsia" w:ascii="仿宋_GB2312" w:hAnsi="仿宋_GB2312" w:eastAsia="仿宋_GB2312" w:cs="仿宋_GB2312"/>
          <w:sz w:val="32"/>
          <w:szCs w:val="32"/>
        </w:rPr>
        <w:t>项目管理指标从预算执行率、资金到位率、资金使用合规性、管理制度健全性、制度执行有效性5个方面对项目的管理情况进行考察。项目管理类指标分值20分，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项目管理指标得分情况如表所示。</w:t>
      </w:r>
    </w:p>
    <w:tbl>
      <w:tblPr>
        <w:tblStyle w:val="23"/>
        <w:tblW w:w="5000" w:type="pct"/>
        <w:tblInd w:w="0" w:type="dxa"/>
        <w:tblLayout w:type="autofit"/>
        <w:tblCellMar>
          <w:top w:w="0" w:type="dxa"/>
          <w:left w:w="108" w:type="dxa"/>
          <w:bottom w:w="0" w:type="dxa"/>
          <w:right w:w="108" w:type="dxa"/>
        </w:tblCellMar>
      </w:tblPr>
      <w:tblGrid>
        <w:gridCol w:w="2333"/>
        <w:gridCol w:w="2516"/>
        <w:gridCol w:w="2076"/>
        <w:gridCol w:w="1983"/>
      </w:tblGrid>
      <w:tr>
        <w:tblPrEx>
          <w:tblCellMar>
            <w:top w:w="0" w:type="dxa"/>
            <w:left w:w="108" w:type="dxa"/>
            <w:bottom w:w="0" w:type="dxa"/>
            <w:right w:w="108" w:type="dxa"/>
          </w:tblCellMar>
        </w:tblPrEx>
        <w:trPr>
          <w:trHeight w:val="495" w:hRule="atLeast"/>
          <w:tblHeader/>
        </w:trPr>
        <w:tc>
          <w:tcPr>
            <w:tcW w:w="5000" w:type="pct"/>
            <w:gridSpan w:val="4"/>
            <w:tcBorders>
              <w:top w:val="nil"/>
              <w:left w:val="nil"/>
              <w:bottom w:val="single" w:color="auto" w:sz="8" w:space="0"/>
              <w:right w:val="nil"/>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项目管理指标得分情况</w:t>
            </w:r>
          </w:p>
        </w:tc>
      </w:tr>
      <w:tr>
        <w:tblPrEx>
          <w:tblCellMar>
            <w:top w:w="0" w:type="dxa"/>
            <w:left w:w="108" w:type="dxa"/>
            <w:bottom w:w="0" w:type="dxa"/>
            <w:right w:w="108" w:type="dxa"/>
          </w:tblCellMar>
        </w:tblPrEx>
        <w:trPr>
          <w:trHeight w:val="510" w:hRule="exact"/>
          <w:tblHeader/>
        </w:trPr>
        <w:tc>
          <w:tcPr>
            <w:tcW w:w="1310" w:type="pct"/>
            <w:tcBorders>
              <w:top w:val="nil"/>
              <w:left w:val="single" w:color="auto" w:sz="8" w:space="0"/>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4"/>
              </w:rPr>
            </w:pPr>
            <w:r>
              <w:rPr>
                <w:rFonts w:hint="eastAsia" w:ascii="宋体" w:hAnsi="宋体" w:cs="宋体"/>
                <w:b/>
                <w:bCs/>
                <w:color w:val="000000"/>
                <w:kern w:val="0"/>
                <w:sz w:val="24"/>
              </w:rPr>
              <w:t>三级指标</w:t>
            </w:r>
          </w:p>
        </w:tc>
        <w:tc>
          <w:tcPr>
            <w:tcW w:w="1412" w:type="pct"/>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4"/>
              </w:rPr>
            </w:pPr>
            <w:r>
              <w:rPr>
                <w:rFonts w:hint="eastAsia" w:ascii="宋体" w:hAnsi="宋体" w:cs="宋体"/>
                <w:b/>
                <w:bCs/>
                <w:color w:val="000000"/>
                <w:kern w:val="0"/>
                <w:sz w:val="24"/>
              </w:rPr>
              <w:t>权重</w:t>
            </w:r>
          </w:p>
        </w:tc>
        <w:tc>
          <w:tcPr>
            <w:tcW w:w="1165" w:type="pct"/>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4"/>
              </w:rPr>
            </w:pPr>
            <w:r>
              <w:rPr>
                <w:rFonts w:hint="eastAsia" w:ascii="宋体" w:hAnsi="宋体" w:cs="宋体"/>
                <w:b/>
                <w:bCs/>
                <w:color w:val="000000"/>
                <w:kern w:val="0"/>
                <w:sz w:val="24"/>
              </w:rPr>
              <w:t>得分率</w:t>
            </w:r>
          </w:p>
        </w:tc>
        <w:tc>
          <w:tcPr>
            <w:tcW w:w="1111" w:type="pct"/>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4"/>
              </w:rPr>
            </w:pPr>
            <w:r>
              <w:rPr>
                <w:rFonts w:hint="eastAsia" w:ascii="宋体" w:hAnsi="宋体" w:cs="宋体"/>
                <w:b/>
                <w:bCs/>
                <w:color w:val="000000"/>
                <w:kern w:val="0"/>
                <w:sz w:val="24"/>
              </w:rPr>
              <w:t>实际得分</w:t>
            </w:r>
          </w:p>
        </w:tc>
      </w:tr>
      <w:tr>
        <w:tblPrEx>
          <w:tblCellMar>
            <w:top w:w="0" w:type="dxa"/>
            <w:left w:w="108" w:type="dxa"/>
            <w:bottom w:w="0" w:type="dxa"/>
            <w:right w:w="108" w:type="dxa"/>
          </w:tblCellMar>
        </w:tblPrEx>
        <w:trPr>
          <w:trHeight w:val="510" w:hRule="exact"/>
        </w:trPr>
        <w:tc>
          <w:tcPr>
            <w:tcW w:w="131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cs="宋体"/>
                <w:color w:val="000000"/>
                <w:kern w:val="0"/>
                <w:sz w:val="24"/>
              </w:rPr>
            </w:pPr>
            <w:r>
              <w:rPr>
                <w:rFonts w:hint="eastAsia" w:ascii="宋体" w:hAnsi="宋体" w:cs="宋体"/>
                <w:sz w:val="24"/>
              </w:rPr>
              <w:t>预算执行率</w:t>
            </w:r>
          </w:p>
        </w:tc>
        <w:tc>
          <w:tcPr>
            <w:tcW w:w="1412"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c>
          <w:tcPr>
            <w:tcW w:w="1165"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lang w:val="en-US" w:eastAsia="zh-CN"/>
              </w:rPr>
              <w:t>100</w:t>
            </w:r>
            <w:r>
              <w:rPr>
                <w:rFonts w:hint="eastAsia" w:ascii="宋体" w:hAnsi="宋体" w:cs="宋体"/>
                <w:color w:val="000000"/>
                <w:kern w:val="0"/>
                <w:sz w:val="24"/>
              </w:rPr>
              <w:t>%</w:t>
            </w:r>
          </w:p>
        </w:tc>
        <w:tc>
          <w:tcPr>
            <w:tcW w:w="189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eastAsiaTheme="minorEastAsia"/>
                <w:color w:val="000000"/>
                <w:kern w:val="0"/>
                <w:sz w:val="24"/>
                <w:lang w:eastAsia="zh-CN"/>
              </w:rPr>
            </w:pPr>
            <w:r>
              <w:rPr>
                <w:rFonts w:hint="eastAsia" w:ascii="宋体" w:hAnsi="宋体" w:cs="宋体"/>
                <w:color w:val="000000"/>
                <w:kern w:val="0"/>
                <w:sz w:val="24"/>
                <w:lang w:val="en-US" w:eastAsia="zh-CN"/>
              </w:rPr>
              <w:t>4</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cs="宋体"/>
                <w:color w:val="000000"/>
                <w:kern w:val="0"/>
                <w:sz w:val="24"/>
              </w:rPr>
            </w:pPr>
            <w:r>
              <w:rPr>
                <w:rFonts w:hint="eastAsia" w:ascii="宋体" w:hAnsi="宋体" w:cs="宋体"/>
                <w:color w:val="000000"/>
                <w:kern w:val="0"/>
                <w:sz w:val="24"/>
              </w:rPr>
              <w:t>资金到位率</w:t>
            </w:r>
          </w:p>
        </w:tc>
        <w:tc>
          <w:tcPr>
            <w:tcW w:w="141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c>
          <w:tcPr>
            <w:tcW w:w="116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cs="宋体"/>
                <w:color w:val="000000"/>
                <w:kern w:val="0"/>
                <w:sz w:val="24"/>
              </w:rPr>
            </w:pPr>
            <w:r>
              <w:rPr>
                <w:rFonts w:hint="eastAsia" w:ascii="宋体" w:hAnsi="宋体" w:cs="宋体"/>
                <w:sz w:val="24"/>
              </w:rPr>
              <w:t>资金使用合规性</w:t>
            </w:r>
          </w:p>
        </w:tc>
        <w:tc>
          <w:tcPr>
            <w:tcW w:w="141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c>
          <w:tcPr>
            <w:tcW w:w="116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cs="宋体"/>
                <w:color w:val="000000"/>
                <w:kern w:val="0"/>
                <w:sz w:val="24"/>
              </w:rPr>
            </w:pPr>
            <w:r>
              <w:rPr>
                <w:rFonts w:hint="eastAsia" w:ascii="宋体" w:hAnsi="宋体" w:cs="宋体"/>
                <w:sz w:val="24"/>
              </w:rPr>
              <w:t>管理制度健全性</w:t>
            </w:r>
          </w:p>
        </w:tc>
        <w:tc>
          <w:tcPr>
            <w:tcW w:w="141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c>
          <w:tcPr>
            <w:tcW w:w="116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100%</w:t>
            </w:r>
          </w:p>
        </w:tc>
        <w:tc>
          <w:tcPr>
            <w:tcW w:w="189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r>
      <w:tr>
        <w:tblPrEx>
          <w:tblCellMar>
            <w:top w:w="0" w:type="dxa"/>
            <w:left w:w="108" w:type="dxa"/>
            <w:bottom w:w="0" w:type="dxa"/>
            <w:right w:w="108" w:type="dxa"/>
          </w:tblCellMar>
        </w:tblPrEx>
        <w:trPr>
          <w:trHeight w:val="510" w:hRule="exact"/>
        </w:trPr>
        <w:tc>
          <w:tcPr>
            <w:tcW w:w="1310"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宋体" w:hAnsi="宋体" w:cs="宋体"/>
                <w:color w:val="000000"/>
                <w:kern w:val="0"/>
                <w:sz w:val="24"/>
              </w:rPr>
            </w:pPr>
            <w:r>
              <w:rPr>
                <w:rFonts w:hint="eastAsia" w:ascii="宋体" w:hAnsi="宋体" w:cs="宋体"/>
                <w:color w:val="000000"/>
                <w:kern w:val="0"/>
                <w:sz w:val="24"/>
              </w:rPr>
              <w:t>制度执行有效性</w:t>
            </w:r>
          </w:p>
        </w:tc>
        <w:tc>
          <w:tcPr>
            <w:tcW w:w="1412"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4</w:t>
            </w:r>
          </w:p>
        </w:tc>
        <w:tc>
          <w:tcPr>
            <w:tcW w:w="1165" w:type="pct"/>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lang w:val="en-US" w:eastAsia="zh-CN"/>
              </w:rPr>
              <w:t>100</w:t>
            </w:r>
            <w:r>
              <w:rPr>
                <w:rFonts w:hint="eastAsia" w:ascii="宋体" w:hAnsi="宋体" w:cs="宋体"/>
                <w:color w:val="000000"/>
                <w:kern w:val="0"/>
                <w:sz w:val="24"/>
              </w:rPr>
              <w:t>%</w:t>
            </w:r>
          </w:p>
        </w:tc>
        <w:tc>
          <w:tcPr>
            <w:tcW w:w="1897"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cs="宋体" w:eastAsiaTheme="minorEastAsia"/>
                <w:color w:val="000000"/>
                <w:kern w:val="0"/>
                <w:sz w:val="24"/>
                <w:lang w:eastAsia="zh-CN"/>
              </w:rPr>
            </w:pPr>
            <w:r>
              <w:rPr>
                <w:rFonts w:hint="eastAsia" w:ascii="宋体" w:hAnsi="宋体" w:cs="宋体"/>
                <w:color w:val="000000"/>
                <w:kern w:val="0"/>
                <w:sz w:val="24"/>
                <w:lang w:val="en-US" w:eastAsia="zh-CN"/>
              </w:rPr>
              <w:t>4</w:t>
            </w:r>
          </w:p>
        </w:tc>
      </w:tr>
      <w:tr>
        <w:tblPrEx>
          <w:tblCellMar>
            <w:top w:w="0" w:type="dxa"/>
            <w:left w:w="108" w:type="dxa"/>
            <w:bottom w:w="0" w:type="dxa"/>
            <w:right w:w="108" w:type="dxa"/>
          </w:tblCellMar>
        </w:tblPrEx>
        <w:trPr>
          <w:trHeight w:val="510" w:hRule="exact"/>
        </w:trPr>
        <w:tc>
          <w:tcPr>
            <w:tcW w:w="1310"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合  计</w:t>
            </w:r>
          </w:p>
        </w:tc>
        <w:tc>
          <w:tcPr>
            <w:tcW w:w="1412"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rPr>
              <w:t>20</w:t>
            </w:r>
          </w:p>
        </w:tc>
        <w:tc>
          <w:tcPr>
            <w:tcW w:w="1165" w:type="pct"/>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4"/>
              </w:rPr>
            </w:pPr>
            <w:r>
              <w:rPr>
                <w:rFonts w:hint="eastAsia" w:ascii="宋体" w:hAnsi="宋体" w:cs="宋体"/>
                <w:color w:val="000000"/>
                <w:kern w:val="0"/>
                <w:sz w:val="24"/>
                <w:lang w:val="en-US" w:eastAsia="zh-CN"/>
              </w:rPr>
              <w:t>100</w:t>
            </w:r>
            <w:r>
              <w:rPr>
                <w:rFonts w:hint="eastAsia" w:ascii="宋体" w:hAnsi="宋体" w:cs="宋体"/>
                <w:color w:val="000000"/>
                <w:kern w:val="0"/>
                <w:sz w:val="24"/>
              </w:rPr>
              <w:t>%</w:t>
            </w:r>
          </w:p>
        </w:tc>
        <w:tc>
          <w:tcPr>
            <w:tcW w:w="1897"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20</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对于“预算执行率”，项目经过申请取得财政拨款资金预算数</w:t>
      </w:r>
      <w:r>
        <w:rPr>
          <w:rFonts w:hint="eastAsia" w:ascii="仿宋_GB2312" w:hAnsi="仿宋_GB2312" w:eastAsia="仿宋_GB2312" w:cs="仿宋_GB2312"/>
          <w:sz w:val="32"/>
          <w:szCs w:val="32"/>
          <w:lang w:val="en-US" w:eastAsia="zh-CN"/>
        </w:rPr>
        <w:t>38.3</w:t>
      </w:r>
      <w:r>
        <w:rPr>
          <w:rFonts w:hint="eastAsia" w:ascii="仿宋_GB2312" w:hAnsi="仿宋_GB2312" w:eastAsia="仿宋_GB2312" w:cs="仿宋_GB2312"/>
          <w:sz w:val="32"/>
          <w:szCs w:val="32"/>
        </w:rPr>
        <w:t>万元，实际支付</w:t>
      </w:r>
      <w:r>
        <w:rPr>
          <w:rFonts w:hint="eastAsia" w:ascii="仿宋_GB2312" w:hAnsi="仿宋_GB2312" w:eastAsia="仿宋_GB2312" w:cs="仿宋_GB2312"/>
          <w:sz w:val="32"/>
          <w:szCs w:val="32"/>
          <w:lang w:val="en-US" w:eastAsia="zh-CN"/>
        </w:rPr>
        <w:t>38.2969.76</w:t>
      </w:r>
      <w:r>
        <w:rPr>
          <w:rFonts w:hint="eastAsia" w:ascii="仿宋_GB2312" w:hAnsi="仿宋_GB2312" w:eastAsia="仿宋_GB2312" w:cs="仿宋_GB2312"/>
          <w:sz w:val="32"/>
          <w:szCs w:val="32"/>
        </w:rPr>
        <w:t>万元，结余</w:t>
      </w:r>
      <w:r>
        <w:rPr>
          <w:rFonts w:hint="eastAsia" w:ascii="仿宋_GB2312" w:hAnsi="仿宋_GB2312" w:eastAsia="仿宋_GB2312" w:cs="仿宋_GB2312"/>
          <w:sz w:val="32"/>
          <w:szCs w:val="32"/>
          <w:lang w:val="en-US" w:eastAsia="zh-CN"/>
        </w:rPr>
        <w:t>0.003024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w:t>
      </w:r>
      <w:r>
        <w:rPr>
          <w:rFonts w:hint="eastAsia" w:ascii="仿宋_GB2312" w:hAnsi="仿宋_GB2312" w:eastAsia="仿宋_GB2312" w:cs="仿宋_GB2312"/>
          <w:sz w:val="32"/>
          <w:szCs w:val="32"/>
          <w:lang w:val="en-US" w:eastAsia="zh-CN"/>
        </w:rPr>
        <w:t>率</w:t>
      </w:r>
      <w:r>
        <w:rPr>
          <w:rFonts w:hint="eastAsia" w:ascii="仿宋_GB2312" w:hAnsi="仿宋_GB2312" w:eastAsia="仿宋_GB2312" w:cs="仿宋_GB2312"/>
          <w:sz w:val="32"/>
          <w:szCs w:val="32"/>
        </w:rPr>
        <w:t>”，项目资金到位及时，到位率为100%。根据评分标准，该指标不扣分。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对于“资金使用合规性”，地区团委严格按照专项资金列支的范围使用资金，支出范围基本合规；资金支出能按财务制度执行，并能按国库集中支付制度规定执行，该指标不扣分。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对于“管理制度健全性”，地区团委西部计划项目办机构健全，分工明确，不存在不相容岗位兼任情况。根据评分标准，该指标不扣分。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地区团委制定了项目资金管理制度，管理制度包括预算、资产、采购等管理办法；西部计划项目由自治区项目办制定相应实施方案，地区团委遵照实施；地区团委制定了大学生西部计划志愿者服务管理办法。根据评分标准，该指标不扣分。</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（三）项目产出情况</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项目绩效主要从项目产出的产出数量、产出质量、产出时效、</w:t>
      </w:r>
      <w:r>
        <w:rPr>
          <w:rFonts w:hint="eastAsia" w:ascii="仿宋_GB2312" w:hAnsi="仿宋_GB2312" w:eastAsia="仿宋_GB2312" w:cs="仿宋_GB2312"/>
          <w:sz w:val="32"/>
          <w:szCs w:val="32"/>
          <w:lang w:val="en-US" w:eastAsia="zh-CN"/>
        </w:rPr>
        <w:t>产出</w:t>
      </w:r>
      <w:r>
        <w:rPr>
          <w:rFonts w:hint="eastAsia" w:ascii="仿宋_GB2312" w:hAnsi="仿宋_GB2312" w:eastAsia="仿宋_GB2312" w:cs="仿宋_GB2312"/>
          <w:sz w:val="32"/>
          <w:szCs w:val="32"/>
        </w:rPr>
        <w:t>成本</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个方面对项目的绩效情况进行评价。项目绩效类指标分值40分，</w:t>
      </w:r>
      <w:r>
        <w:rPr>
          <w:rFonts w:hint="eastAsia" w:ascii="仿宋_GB2312" w:hAnsi="仿宋_GB2312" w:eastAsia="仿宋_GB2312" w:cs="仿宋_GB2312"/>
          <w:sz w:val="32"/>
          <w:szCs w:val="32"/>
          <w:highlight w:val="none"/>
        </w:rPr>
        <w:t>实际得分</w:t>
      </w:r>
      <w:r>
        <w:rPr>
          <w:rFonts w:hint="eastAsia" w:ascii="仿宋_GB2312" w:hAnsi="仿宋_GB2312" w:eastAsia="仿宋_GB2312" w:cs="仿宋_GB2312"/>
          <w:sz w:val="32"/>
          <w:szCs w:val="32"/>
          <w:highlight w:val="none"/>
          <w:lang w:val="en-US" w:eastAsia="zh-CN"/>
        </w:rPr>
        <w:t>40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项目绩效指标得分情况如表所示：</w:t>
      </w:r>
    </w:p>
    <w:tbl>
      <w:tblPr>
        <w:tblStyle w:val="23"/>
        <w:tblW w:w="4971" w:type="pct"/>
        <w:tblInd w:w="0" w:type="dxa"/>
        <w:tblLayout w:type="autofit"/>
        <w:tblCellMar>
          <w:top w:w="0" w:type="dxa"/>
          <w:left w:w="108" w:type="dxa"/>
          <w:bottom w:w="0" w:type="dxa"/>
          <w:right w:w="108" w:type="dxa"/>
        </w:tblCellMar>
      </w:tblPr>
      <w:tblGrid>
        <w:gridCol w:w="2632"/>
        <w:gridCol w:w="2075"/>
        <w:gridCol w:w="2073"/>
        <w:gridCol w:w="2076"/>
      </w:tblGrid>
      <w:tr>
        <w:tblPrEx>
          <w:tblCellMar>
            <w:top w:w="0" w:type="dxa"/>
            <w:left w:w="108" w:type="dxa"/>
            <w:bottom w:w="0" w:type="dxa"/>
            <w:right w:w="108" w:type="dxa"/>
          </w:tblCellMar>
        </w:tblPrEx>
        <w:trPr>
          <w:trHeight w:val="510" w:hRule="exact"/>
          <w:tblHeader/>
        </w:trPr>
        <w:tc>
          <w:tcPr>
            <w:tcW w:w="1485" w:type="pct"/>
            <w:tcBorders>
              <w:top w:val="single" w:color="auto" w:sz="4" w:space="0"/>
              <w:left w:val="single" w:color="auto" w:sz="8" w:space="0"/>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171" w:type="pct"/>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170" w:type="pct"/>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171" w:type="pct"/>
            <w:tcBorders>
              <w:top w:val="single" w:color="auto" w:sz="4" w:space="0"/>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148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产出数量</w:t>
            </w:r>
          </w:p>
        </w:tc>
        <w:tc>
          <w:tcPr>
            <w:tcW w:w="117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c>
          <w:tcPr>
            <w:tcW w:w="1170"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lang w:val="en-US" w:eastAsia="zh-CN"/>
              </w:rPr>
              <w:t>100</w:t>
            </w:r>
            <w:r>
              <w:rPr>
                <w:rFonts w:ascii="Times New Roman" w:hAnsi="Times New Roman" w:eastAsia="方正仿宋_GBK"/>
                <w:color w:val="000000"/>
                <w:kern w:val="0"/>
                <w:sz w:val="24"/>
              </w:rPr>
              <w:t>%</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000000"/>
                <w:kern w:val="0"/>
                <w:sz w:val="24"/>
                <w:lang w:val="en-US" w:eastAsia="zh-CN"/>
              </w:rPr>
            </w:pPr>
            <w:r>
              <w:rPr>
                <w:rFonts w:hint="eastAsia" w:ascii="Times New Roman" w:hAnsi="Times New Roman" w:eastAsia="方正仿宋_GBK"/>
                <w:color w:val="000000"/>
                <w:kern w:val="0"/>
                <w:sz w:val="24"/>
                <w:lang w:val="en-US" w:eastAsia="zh-CN"/>
              </w:rPr>
              <w:t>10</w:t>
            </w:r>
          </w:p>
        </w:tc>
      </w:tr>
      <w:tr>
        <w:tblPrEx>
          <w:tblCellMar>
            <w:top w:w="0" w:type="dxa"/>
            <w:left w:w="108" w:type="dxa"/>
            <w:bottom w:w="0" w:type="dxa"/>
            <w:right w:w="108" w:type="dxa"/>
          </w:tblCellMar>
        </w:tblPrEx>
        <w:trPr>
          <w:trHeight w:val="510" w:hRule="exact"/>
        </w:trPr>
        <w:tc>
          <w:tcPr>
            <w:tcW w:w="1485"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产出质量</w:t>
            </w:r>
          </w:p>
        </w:tc>
        <w:tc>
          <w:tcPr>
            <w:tcW w:w="1171"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c>
          <w:tcPr>
            <w:tcW w:w="1170"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ascii="Times New Roman" w:hAnsi="Times New Roman" w:eastAsia="方正仿宋_GBK"/>
                <w:color w:val="000000"/>
                <w:kern w:val="0"/>
                <w:sz w:val="24"/>
              </w:rPr>
              <w:t>100%</w:t>
            </w:r>
          </w:p>
        </w:tc>
        <w:tc>
          <w:tcPr>
            <w:tcW w:w="1986" w:type="dxa"/>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产出时效</w:t>
            </w:r>
          </w:p>
        </w:tc>
        <w:tc>
          <w:tcPr>
            <w:tcW w:w="1171"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c>
          <w:tcPr>
            <w:tcW w:w="117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lang w:val="en-US" w:eastAsia="zh-CN"/>
              </w:rPr>
              <w:t>10</w:t>
            </w:r>
            <w:r>
              <w:rPr>
                <w:rFonts w:hint="eastAsia" w:ascii="Times New Roman" w:hAnsi="Times New Roman" w:eastAsia="方正仿宋_GBK"/>
                <w:color w:val="000000"/>
                <w:kern w:val="0"/>
                <w:sz w:val="24"/>
              </w:rPr>
              <w:t>0</w:t>
            </w:r>
            <w:r>
              <w:rPr>
                <w:rFonts w:ascii="Times New Roman" w:hAnsi="Times New Roman" w:eastAsia="方正仿宋_GBK"/>
                <w:color w:val="000000"/>
                <w:kern w:val="0"/>
                <w:sz w:val="24"/>
              </w:rPr>
              <w:t>%</w:t>
            </w:r>
          </w:p>
        </w:tc>
        <w:tc>
          <w:tcPr>
            <w:tcW w:w="198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000000"/>
                <w:kern w:val="0"/>
                <w:sz w:val="24"/>
                <w:lang w:val="en-US" w:eastAsia="zh-CN"/>
              </w:rPr>
            </w:pPr>
            <w:r>
              <w:rPr>
                <w:rFonts w:hint="eastAsia" w:ascii="Times New Roman" w:hAnsi="Times New Roman" w:eastAsia="方正仿宋_GBK"/>
                <w:color w:val="000000"/>
                <w:kern w:val="0"/>
                <w:sz w:val="24"/>
                <w:lang w:val="en-US" w:eastAsia="zh-CN"/>
              </w:rPr>
              <w:t>10</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left"/>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成本情况</w:t>
            </w:r>
          </w:p>
        </w:tc>
        <w:tc>
          <w:tcPr>
            <w:tcW w:w="1171"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c>
          <w:tcPr>
            <w:tcW w:w="117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r>
              <w:rPr>
                <w:rFonts w:ascii="Times New Roman" w:hAnsi="Times New Roman" w:eastAsia="方正仿宋_GBK"/>
                <w:color w:val="000000"/>
                <w:kern w:val="0"/>
                <w:sz w:val="24"/>
              </w:rPr>
              <w:t>0%</w:t>
            </w:r>
          </w:p>
        </w:tc>
        <w:tc>
          <w:tcPr>
            <w:tcW w:w="1986" w:type="dxa"/>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rPr>
              <w:t>10</w:t>
            </w:r>
          </w:p>
        </w:tc>
      </w:tr>
      <w:tr>
        <w:tblPrEx>
          <w:tblCellMar>
            <w:top w:w="0" w:type="dxa"/>
            <w:left w:w="108" w:type="dxa"/>
            <w:bottom w:w="0" w:type="dxa"/>
            <w:right w:w="108" w:type="dxa"/>
          </w:tblCellMar>
        </w:tblPrEx>
        <w:trPr>
          <w:trHeight w:val="510" w:hRule="exact"/>
        </w:trPr>
        <w:tc>
          <w:tcPr>
            <w:tcW w:w="1485" w:type="pct"/>
            <w:tcBorders>
              <w:top w:val="nil"/>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方正仿宋_GBK" w:hAnsi="Tahoma" w:eastAsia="方正仿宋_GBK" w:cs="Tahoma"/>
                <w:color w:val="000000"/>
                <w:kern w:val="0"/>
                <w:sz w:val="24"/>
              </w:rPr>
            </w:pPr>
            <w:r>
              <w:rPr>
                <w:rFonts w:hint="eastAsia" w:ascii="方正仿宋_GBK" w:hAnsi="Tahoma" w:eastAsia="方正仿宋_GBK" w:cs="Tahoma"/>
                <w:color w:val="000000"/>
                <w:kern w:val="0"/>
                <w:sz w:val="24"/>
              </w:rPr>
              <w:t>合计</w:t>
            </w:r>
          </w:p>
        </w:tc>
        <w:tc>
          <w:tcPr>
            <w:tcW w:w="1171"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ascii="Times New Roman" w:hAnsi="Times New Roman" w:eastAsia="方正仿宋_GBK"/>
                <w:color w:val="000000"/>
                <w:kern w:val="0"/>
                <w:sz w:val="24"/>
              </w:rPr>
              <w:t>4</w:t>
            </w:r>
            <w:r>
              <w:rPr>
                <w:rFonts w:hint="eastAsia" w:ascii="Times New Roman" w:hAnsi="Times New Roman" w:eastAsia="方正仿宋_GBK"/>
                <w:color w:val="000000"/>
                <w:kern w:val="0"/>
                <w:sz w:val="24"/>
              </w:rPr>
              <w:t>0</w:t>
            </w:r>
          </w:p>
        </w:tc>
        <w:tc>
          <w:tcPr>
            <w:tcW w:w="1170"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ascii="Times New Roman" w:hAnsi="Times New Roman" w:eastAsia="方正仿宋_GBK"/>
                <w:color w:val="000000"/>
                <w:kern w:val="0"/>
                <w:sz w:val="24"/>
              </w:rPr>
            </w:pPr>
            <w:r>
              <w:rPr>
                <w:rFonts w:hint="eastAsia" w:ascii="Times New Roman" w:hAnsi="Times New Roman" w:eastAsia="方正仿宋_GBK"/>
                <w:color w:val="000000"/>
                <w:kern w:val="0"/>
                <w:sz w:val="24"/>
                <w:lang w:val="en-US" w:eastAsia="zh-CN"/>
              </w:rPr>
              <w:t>100</w:t>
            </w:r>
            <w:r>
              <w:rPr>
                <w:rFonts w:ascii="Times New Roman" w:hAnsi="Times New Roman" w:eastAsia="方正仿宋_GBK"/>
                <w:color w:val="000000"/>
                <w:kern w:val="0"/>
                <w:sz w:val="24"/>
              </w:rPr>
              <w:t>%</w:t>
            </w:r>
          </w:p>
        </w:tc>
        <w:tc>
          <w:tcPr>
            <w:tcW w:w="1171" w:type="pct"/>
            <w:tcBorders>
              <w:top w:val="nil"/>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auto"/>
              <w:rPr>
                <w:rFonts w:hint="default" w:ascii="Times New Roman" w:hAnsi="Times New Roman" w:eastAsia="方正仿宋_GBK"/>
                <w:color w:val="000000"/>
                <w:kern w:val="0"/>
                <w:sz w:val="24"/>
                <w:lang w:val="en-US" w:eastAsia="zh-CN"/>
              </w:rPr>
            </w:pPr>
            <w:r>
              <w:rPr>
                <w:rFonts w:hint="eastAsia" w:ascii="Times New Roman" w:hAnsi="Times New Roman" w:eastAsia="方正仿宋_GBK"/>
                <w:color w:val="000000"/>
                <w:kern w:val="0"/>
                <w:sz w:val="24"/>
                <w:lang w:val="en-US" w:eastAsia="zh-CN"/>
              </w:rPr>
              <w:t>40</w:t>
            </w:r>
          </w:p>
        </w:tc>
      </w:tr>
    </w:tbl>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数量</w:t>
      </w:r>
      <w:r>
        <w:rPr>
          <w:rFonts w:hint="eastAsia" w:ascii="仿宋_GB2312" w:hAnsi="仿宋_GB2312" w:eastAsia="仿宋_GB2312" w:cs="仿宋_GB2312"/>
          <w:b/>
          <w:bCs/>
          <w:sz w:val="32"/>
          <w:szCs w:val="32"/>
        </w:rPr>
        <w:t>指标</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开展2020年度志愿者招募、派遣工作人数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指标值≤30人，</w:t>
      </w:r>
      <w:r>
        <w:rPr>
          <w:rFonts w:hint="eastAsia" w:ascii="仿宋_GB2312" w:hAnsi="仿宋_GB2312" w:eastAsia="仿宋_GB2312" w:cs="仿宋_GB2312"/>
          <w:sz w:val="32"/>
          <w:szCs w:val="32"/>
          <w:lang w:val="en-US" w:eastAsia="zh-CN"/>
        </w:rPr>
        <w:t>指标完成值30人，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举办西部计划志愿者活动，</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lang w:val="en-US" w:eastAsia="zh-CN"/>
        </w:rPr>
        <w:t>=10场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支付志愿者项目办联络员劳务费，</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=2人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指标完成值2人，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缴纳在岗志愿者保险人次，</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≥240人次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指标完成值240人，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发放在岗志愿者生活补助，</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≥240人次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指标完成值240人，</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质量</w:t>
      </w:r>
      <w:r>
        <w:rPr>
          <w:rFonts w:hint="eastAsia" w:ascii="仿宋_GB2312" w:hAnsi="仿宋_GB2312" w:eastAsia="仿宋_GB2312" w:cs="仿宋_GB2312"/>
          <w:b/>
          <w:bCs/>
          <w:sz w:val="32"/>
          <w:szCs w:val="32"/>
        </w:rPr>
        <w:t>指标</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开展2020年度志愿者招募、派遣工作完成率，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西部计划志愿者活动覆盖率，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节日慰问志愿者覆盖率，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缴纳在岗志愿者保险完成率，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发放在岗志愿者生活补助完成率，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时效</w:t>
      </w:r>
      <w:r>
        <w:rPr>
          <w:rFonts w:hint="eastAsia" w:ascii="仿宋_GB2312" w:hAnsi="仿宋_GB2312" w:eastAsia="仿宋_GB2312" w:cs="仿宋_GB2312"/>
          <w:b/>
          <w:bCs/>
          <w:sz w:val="32"/>
          <w:szCs w:val="32"/>
        </w:rPr>
        <w:t>指标</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及时开展2020年度志愿者招募、派遣工作，</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西部计划志愿者活动举办及时率，</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按时节日慰问志愿者，</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按时缴纳在岗志愿者保险，</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按时发放在岗志愿者生活补助，</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成本</w:t>
      </w:r>
      <w:r>
        <w:rPr>
          <w:rFonts w:hint="eastAsia" w:ascii="仿宋_GB2312" w:hAnsi="仿宋_GB2312" w:eastAsia="仿宋_GB2312" w:cs="仿宋_GB2312"/>
          <w:b/>
          <w:bCs/>
          <w:sz w:val="32"/>
          <w:szCs w:val="32"/>
        </w:rPr>
        <w:t>指标</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开展2020年度志愿者招募、派遣工作成本，</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≤0.5万元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w:t>
      </w:r>
      <w:r>
        <w:rPr>
          <w:rFonts w:hint="eastAsia" w:ascii="仿宋_GB2312" w:hAnsi="仿宋_GB2312" w:eastAsia="仿宋_GB2312" w:cs="仿宋_GB2312"/>
          <w:sz w:val="32"/>
          <w:szCs w:val="32"/>
        </w:rPr>
        <w:t>0.5万元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西部计划志愿者活动成本，</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w:t>
      </w:r>
      <w:r>
        <w:rPr>
          <w:rFonts w:hint="eastAsia" w:ascii="仿宋_GB2312" w:hAnsi="仿宋_GB2312" w:eastAsia="仿宋_GB2312" w:cs="仿宋_GB2312"/>
          <w:sz w:val="32"/>
          <w:szCs w:val="32"/>
        </w:rPr>
        <w:t>.5万元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支付志愿者项目办联络员劳务费成本，</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=1.2万元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缴纳在岗志愿者保险成本，</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≤26.3万元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w:t>
      </w:r>
      <w:r>
        <w:rPr>
          <w:rFonts w:hint="eastAsia" w:ascii="仿宋_GB2312" w:hAnsi="仿宋_GB2312" w:eastAsia="仿宋_GB2312" w:cs="仿宋_GB2312"/>
          <w:sz w:val="32"/>
          <w:szCs w:val="32"/>
        </w:rPr>
        <w:t>26.3万元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发放在岗志愿者生活补助成本，</w:t>
      </w:r>
      <w:r>
        <w:rPr>
          <w:rFonts w:hint="eastAsia" w:ascii="仿宋_GB2312" w:hAnsi="仿宋_GB2312" w:eastAsia="仿宋_GB2312" w:cs="仿宋_GB2312"/>
          <w:sz w:val="32"/>
          <w:szCs w:val="32"/>
          <w:lang w:val="en-US" w:eastAsia="zh-CN"/>
        </w:rPr>
        <w:t>预期</w:t>
      </w:r>
      <w:r>
        <w:rPr>
          <w:rFonts w:hint="eastAsia" w:ascii="仿宋_GB2312" w:hAnsi="仿宋_GB2312" w:eastAsia="仿宋_GB2312" w:cs="仿宋_GB2312"/>
          <w:sz w:val="32"/>
          <w:szCs w:val="32"/>
          <w:lang w:eastAsia="zh-CN"/>
        </w:rPr>
        <w:t>指标值</w:t>
      </w:r>
      <w:r>
        <w:rPr>
          <w:rFonts w:hint="eastAsia" w:ascii="仿宋_GB2312" w:hAnsi="仿宋_GB2312" w:eastAsia="仿宋_GB2312" w:cs="仿宋_GB2312"/>
          <w:sz w:val="32"/>
          <w:szCs w:val="32"/>
        </w:rPr>
        <w:t>≤8.8万元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指标完成值8.8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60" w:lineRule="atLeas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（四）项目效果情况</w:t>
      </w:r>
    </w:p>
    <w:p>
      <w:pPr>
        <w:keepNext w:val="0"/>
        <w:keepLines w:val="0"/>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项目绩效主要从项目的经济效益、社会效益、可持续影响指标、服务对象满意度4个方面对项目的绩效情况进行评价。项目绩效类指标分值20分，实际得分</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分，得分率为</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%。项目绩效指标得分情况如表所示：</w:t>
      </w:r>
    </w:p>
    <w:tbl>
      <w:tblPr>
        <w:tblStyle w:val="23"/>
        <w:tblW w:w="4999" w:type="pct"/>
        <w:tblInd w:w="0" w:type="dxa"/>
        <w:tblLayout w:type="autofit"/>
        <w:tblCellMar>
          <w:top w:w="0" w:type="dxa"/>
          <w:left w:w="0" w:type="dxa"/>
          <w:bottom w:w="0" w:type="dxa"/>
          <w:right w:w="0" w:type="dxa"/>
        </w:tblCellMar>
      </w:tblPr>
      <w:tblGrid>
        <w:gridCol w:w="1579"/>
        <w:gridCol w:w="3279"/>
        <w:gridCol w:w="1715"/>
        <w:gridCol w:w="1068"/>
        <w:gridCol w:w="1069"/>
      </w:tblGrid>
      <w:tr>
        <w:tblPrEx>
          <w:tblCellMar>
            <w:top w:w="0" w:type="dxa"/>
            <w:left w:w="0" w:type="dxa"/>
            <w:bottom w:w="0" w:type="dxa"/>
            <w:right w:w="0" w:type="dxa"/>
          </w:tblCellMar>
        </w:tblPrEx>
        <w:trPr>
          <w:trHeight w:val="605" w:hRule="atLeast"/>
        </w:trPr>
        <w:tc>
          <w:tcPr>
            <w:tcW w:w="2787"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bottom"/>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rPr>
              <w:t>三级指标</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bottom"/>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rPr>
              <w:t>分值</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bottom"/>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rPr>
              <w:t>得分率</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bottom"/>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rPr>
              <w:t>得分</w:t>
            </w:r>
          </w:p>
        </w:tc>
      </w:tr>
      <w:tr>
        <w:tblPrEx>
          <w:tblCellMar>
            <w:top w:w="0" w:type="dxa"/>
            <w:left w:w="0" w:type="dxa"/>
            <w:bottom w:w="0" w:type="dxa"/>
            <w:right w:w="0" w:type="dxa"/>
          </w:tblCellMar>
        </w:tblPrEx>
        <w:trPr>
          <w:trHeight w:val="444" w:hRule="atLeast"/>
        </w:trPr>
        <w:tc>
          <w:tcPr>
            <w:tcW w:w="906"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实施效益</w:t>
            </w:r>
          </w:p>
        </w:tc>
        <w:tc>
          <w:tcPr>
            <w:tcW w:w="18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left"/>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经济效益</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100%</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r>
      <w:tr>
        <w:tblPrEx>
          <w:tblCellMar>
            <w:top w:w="0" w:type="dxa"/>
            <w:left w:w="0" w:type="dxa"/>
            <w:bottom w:w="0" w:type="dxa"/>
            <w:right w:w="0" w:type="dxa"/>
          </w:tblCellMar>
        </w:tblPrEx>
        <w:trPr>
          <w:trHeight w:val="374" w:hRule="atLeast"/>
        </w:trPr>
        <w:tc>
          <w:tcPr>
            <w:tcW w:w="90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rPr>
                <w:rFonts w:hint="eastAsia" w:asciiTheme="minorEastAsia" w:hAnsiTheme="minorEastAsia" w:eastAsiaTheme="minorEastAsia" w:cstheme="minorEastAsia"/>
                <w:color w:val="000000"/>
                <w:sz w:val="21"/>
                <w:szCs w:val="21"/>
              </w:rPr>
            </w:pPr>
          </w:p>
        </w:tc>
        <w:tc>
          <w:tcPr>
            <w:tcW w:w="18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left"/>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社会效益</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rPr>
              <w:t>80</w:t>
            </w:r>
            <w:r>
              <w:rPr>
                <w:rFonts w:hint="eastAsia" w:asciiTheme="minorEastAsia" w:hAnsiTheme="minorEastAsia" w:eastAsiaTheme="minorEastAsia" w:cstheme="minorEastAsia"/>
                <w:color w:val="000000"/>
                <w:kern w:val="0"/>
                <w:sz w:val="21"/>
                <w:szCs w:val="21"/>
              </w:rPr>
              <w:t>%</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kern w:val="0"/>
                <w:sz w:val="21"/>
                <w:szCs w:val="21"/>
                <w:lang w:val="en-US" w:eastAsia="zh-CN"/>
              </w:rPr>
              <w:t>4</w:t>
            </w:r>
          </w:p>
        </w:tc>
      </w:tr>
      <w:tr>
        <w:tblPrEx>
          <w:tblCellMar>
            <w:top w:w="0" w:type="dxa"/>
            <w:left w:w="0" w:type="dxa"/>
            <w:bottom w:w="0" w:type="dxa"/>
            <w:right w:w="0" w:type="dxa"/>
          </w:tblCellMar>
        </w:tblPrEx>
        <w:trPr>
          <w:trHeight w:val="310" w:hRule="atLeast"/>
        </w:trPr>
        <w:tc>
          <w:tcPr>
            <w:tcW w:w="906"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rPr>
                <w:rFonts w:hint="eastAsia" w:asciiTheme="minorEastAsia" w:hAnsiTheme="minorEastAsia" w:eastAsiaTheme="minorEastAsia" w:cstheme="minorEastAsia"/>
                <w:color w:val="000000"/>
                <w:sz w:val="21"/>
                <w:szCs w:val="21"/>
              </w:rPr>
            </w:pPr>
          </w:p>
        </w:tc>
        <w:tc>
          <w:tcPr>
            <w:tcW w:w="18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left"/>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可持续影响指标</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100%</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r>
      <w:tr>
        <w:tblPrEx>
          <w:tblCellMar>
            <w:top w:w="0" w:type="dxa"/>
            <w:left w:w="0" w:type="dxa"/>
            <w:bottom w:w="0" w:type="dxa"/>
            <w:right w:w="0" w:type="dxa"/>
          </w:tblCellMar>
        </w:tblPrEx>
        <w:trPr>
          <w:trHeight w:val="310" w:hRule="atLeast"/>
        </w:trPr>
        <w:tc>
          <w:tcPr>
            <w:tcW w:w="90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spacing w:line="240" w:lineRule="atLeast"/>
              <w:jc w:val="center"/>
              <w:textAlignment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满意度</w:t>
            </w:r>
          </w:p>
        </w:tc>
        <w:tc>
          <w:tcPr>
            <w:tcW w:w="18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left"/>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rPr>
              <w:t>志愿者</w:t>
            </w:r>
            <w:r>
              <w:rPr>
                <w:rFonts w:hint="eastAsia" w:asciiTheme="minorEastAsia" w:hAnsiTheme="minorEastAsia" w:eastAsiaTheme="minorEastAsia" w:cstheme="minorEastAsia"/>
                <w:color w:val="000000"/>
                <w:kern w:val="0"/>
                <w:sz w:val="21"/>
                <w:szCs w:val="21"/>
              </w:rPr>
              <w:t>满意度</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5</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rPr>
              <w:t>100</w:t>
            </w:r>
            <w:r>
              <w:rPr>
                <w:rFonts w:hint="eastAsia" w:asciiTheme="minorEastAsia" w:hAnsiTheme="minorEastAsia" w:eastAsiaTheme="minorEastAsia" w:cstheme="minorEastAsia"/>
                <w:color w:val="000000"/>
                <w:kern w:val="0"/>
                <w:sz w:val="21"/>
                <w:szCs w:val="21"/>
              </w:rPr>
              <w:t>%</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lang w:eastAsia="zh-CN"/>
              </w:rPr>
            </w:pPr>
            <w:r>
              <w:rPr>
                <w:rFonts w:hint="eastAsia" w:asciiTheme="minorEastAsia" w:hAnsiTheme="minorEastAsia" w:eastAsiaTheme="minorEastAsia" w:cstheme="minorEastAsia"/>
                <w:color w:val="000000"/>
                <w:kern w:val="0"/>
                <w:sz w:val="21"/>
                <w:szCs w:val="21"/>
                <w:lang w:val="en-US" w:eastAsia="zh-CN"/>
              </w:rPr>
              <w:t>5</w:t>
            </w:r>
          </w:p>
        </w:tc>
      </w:tr>
      <w:tr>
        <w:tblPrEx>
          <w:tblCellMar>
            <w:top w:w="0" w:type="dxa"/>
            <w:left w:w="0" w:type="dxa"/>
            <w:bottom w:w="0" w:type="dxa"/>
            <w:right w:w="0" w:type="dxa"/>
          </w:tblCellMar>
        </w:tblPrEx>
        <w:trPr>
          <w:trHeight w:val="310" w:hRule="atLeast"/>
        </w:trPr>
        <w:tc>
          <w:tcPr>
            <w:tcW w:w="906"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rPr>
                <w:rFonts w:hint="eastAsia" w:asciiTheme="minorEastAsia" w:hAnsiTheme="minorEastAsia" w:eastAsiaTheme="minorEastAsia" w:cstheme="minorEastAsia"/>
                <w:color w:val="000000"/>
                <w:sz w:val="21"/>
                <w:szCs w:val="21"/>
              </w:rPr>
            </w:pPr>
          </w:p>
        </w:tc>
        <w:tc>
          <w:tcPr>
            <w:tcW w:w="1881"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合</w:t>
            </w:r>
            <w:r>
              <w:rPr>
                <w:rStyle w:val="46"/>
                <w:rFonts w:hint="eastAsia" w:asciiTheme="minorEastAsia" w:hAnsiTheme="minorEastAsia" w:eastAsiaTheme="minorEastAsia" w:cstheme="minorEastAsia"/>
                <w:sz w:val="21"/>
                <w:szCs w:val="21"/>
              </w:rPr>
              <w:t xml:space="preserve">  计</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rPr>
              <w:t>20</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kern w:val="0"/>
                <w:sz w:val="21"/>
                <w:szCs w:val="21"/>
                <w:lang w:val="en-US" w:eastAsia="zh-CN"/>
              </w:rPr>
              <w:t>95</w:t>
            </w:r>
            <w:r>
              <w:rPr>
                <w:rFonts w:hint="eastAsia" w:asciiTheme="minorEastAsia" w:hAnsiTheme="minorEastAsia" w:eastAsiaTheme="minorEastAsia" w:cstheme="minorEastAsia"/>
                <w:color w:val="000000"/>
                <w:kern w:val="0"/>
                <w:sz w:val="21"/>
                <w:szCs w:val="21"/>
              </w:rPr>
              <w:t>%</w:t>
            </w:r>
          </w:p>
        </w:tc>
        <w:tc>
          <w:tcPr>
            <w:tcW w:w="613" w:type="pc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widowControl/>
              <w:spacing w:line="240" w:lineRule="atLeast"/>
              <w:jc w:val="center"/>
              <w:textAlignment w:val="bottom"/>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kern w:val="0"/>
                <w:sz w:val="21"/>
                <w:szCs w:val="21"/>
                <w:lang w:val="en-US" w:eastAsia="zh-CN"/>
              </w:rPr>
              <w:t>19</w:t>
            </w:r>
          </w:p>
        </w:tc>
      </w:tr>
    </w:tbl>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效益指标</w:t>
      </w:r>
      <w:r>
        <w:rPr>
          <w:rFonts w:hint="eastAsia" w:ascii="仿宋_GB2312" w:hAnsi="仿宋_GB2312" w:eastAsia="仿宋_GB2312" w:cs="仿宋_GB2312"/>
          <w:b/>
          <w:bCs/>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塔城地区西部计划项目办工作完成情况，预期指标值有所提升，指标完成值有所提升，指标完成率100%；</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西部计划留疆工作比例，预期指标值有所提升，指标完成值有所提升，指标完成率95%；</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满意度</w:t>
      </w:r>
      <w:r>
        <w:rPr>
          <w:rFonts w:hint="eastAsia" w:ascii="仿宋_GB2312" w:hAnsi="仿宋_GB2312" w:eastAsia="仿宋_GB2312" w:cs="仿宋_GB2312"/>
          <w:b/>
          <w:bCs/>
          <w:sz w:val="32"/>
          <w:szCs w:val="32"/>
        </w:rPr>
        <w:t>指标</w:t>
      </w:r>
      <w:r>
        <w:rPr>
          <w:rFonts w:hint="eastAsia" w:ascii="仿宋_GB2312" w:hAnsi="仿宋_GB2312" w:eastAsia="仿宋_GB2312" w:cs="仿宋_GB2312"/>
          <w:b/>
          <w:bCs/>
          <w:sz w:val="32"/>
          <w:szCs w:val="32"/>
          <w:lang w:eastAsia="zh-CN"/>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西部计划志愿者满意率,预期指标值100%，指标完成值100%，指标完成率100%；</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sz w:val="32"/>
          <w:szCs w:val="32"/>
        </w:rPr>
      </w:pPr>
      <w:bookmarkStart w:id="26" w:name="_Toc2379"/>
      <w:bookmarkStart w:id="27" w:name="_Toc30152857"/>
      <w:r>
        <w:rPr>
          <w:rFonts w:hint="eastAsia" w:ascii="黑体" w:hAnsi="黑体" w:eastAsia="黑体" w:cs="黑体"/>
          <w:b/>
          <w:bCs/>
          <w:sz w:val="32"/>
          <w:szCs w:val="32"/>
        </w:rPr>
        <w:t>五、主要经验及做法、</w:t>
      </w:r>
      <w:bookmarkEnd w:id="26"/>
      <w:bookmarkEnd w:id="27"/>
      <w:r>
        <w:rPr>
          <w:rFonts w:hint="eastAsia" w:ascii="黑体" w:hAnsi="黑体" w:eastAsia="黑体" w:cs="黑体"/>
          <w:b/>
          <w:bCs/>
          <w:sz w:val="32"/>
          <w:szCs w:val="32"/>
        </w:rPr>
        <w:t>存在的问题及原因分析</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黑体" w:hAnsi="黑体" w:eastAsia="黑体" w:cs="黑体"/>
          <w:sz w:val="32"/>
          <w:szCs w:val="32"/>
        </w:rPr>
      </w:pPr>
      <w:bookmarkStart w:id="28" w:name="_Toc4517"/>
      <w:bookmarkStart w:id="29" w:name="_Toc30152858"/>
      <w:r>
        <w:rPr>
          <w:rFonts w:hint="eastAsia" w:ascii="楷体" w:hAnsi="楷体" w:eastAsia="楷体" w:cs="楷体"/>
          <w:b/>
          <w:bCs/>
          <w:sz w:val="32"/>
          <w:szCs w:val="32"/>
        </w:rPr>
        <w:t>（一）主要经验及做法</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认真做好西部计划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的申报、过程管理、绩效评价，推进该项目的长期性、可持续性实施，保障志愿者的权益，吸引更多志愿者投身西部计划项目中来。</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（二）存在的问题</w:t>
      </w:r>
      <w:bookmarkEnd w:id="28"/>
      <w:bookmarkEnd w:id="29"/>
      <w:r>
        <w:rPr>
          <w:rFonts w:hint="eastAsia" w:ascii="楷体" w:hAnsi="楷体" w:eastAsia="楷体" w:cs="楷体"/>
          <w:b/>
          <w:bCs/>
          <w:sz w:val="32"/>
          <w:szCs w:val="32"/>
        </w:rPr>
        <w:t>及原因分析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bookmarkStart w:id="30" w:name="_Toc4934"/>
      <w:r>
        <w:rPr>
          <w:rFonts w:hint="eastAsia" w:ascii="仿宋_GB2312" w:hAnsi="仿宋_GB2312" w:eastAsia="仿宋_GB2312" w:cs="仿宋_GB2312"/>
          <w:sz w:val="32"/>
          <w:szCs w:val="32"/>
        </w:rPr>
        <w:t>项目预算及支出管理的科学性有待进一步提高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主要原因是项目财务人员项目预算审核还需加强，</w:t>
      </w:r>
      <w:r>
        <w:rPr>
          <w:rFonts w:hint="eastAsia" w:ascii="仿宋_GB2312" w:hAnsi="仿宋_GB2312" w:eastAsia="仿宋_GB2312" w:cs="仿宋_GB2312"/>
          <w:sz w:val="32"/>
          <w:szCs w:val="32"/>
        </w:rPr>
        <w:t>实际支付过程严格按照预算指标执行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今后仍需加强西部计划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的管理，提高资金的使用效益。</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rFonts w:ascii="黑体" w:hAnsi="黑体" w:eastAsia="黑体" w:cs="黑体"/>
          <w:b/>
          <w:bCs/>
          <w:sz w:val="32"/>
          <w:szCs w:val="32"/>
        </w:rPr>
      </w:pPr>
      <w:r>
        <w:rPr>
          <w:rFonts w:hint="eastAsia" w:ascii="黑体" w:hAnsi="黑体" w:eastAsia="黑体" w:cs="黑体"/>
          <w:b/>
          <w:bCs/>
          <w:sz w:val="32"/>
          <w:szCs w:val="32"/>
        </w:rPr>
        <w:t>六、有关建议</w:t>
      </w:r>
      <w:bookmarkEnd w:id="30"/>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建议加强项目预算审核，严格按照项目资金年度编制预算；项目预算及支出管理的科学性有待进一步提高，做好项目实施过程中资金支出与预算的比较，定期向项目实施人员了解项目执行情况，更好的提高资金使用效率。</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建议在进行绩效目标设定时，考虑成本指标的设置，社会效益指标的可衡量性，及时对项目运行情况进行监控，真正做到预算编制有目标、预算执行有跟踪监控、预算完成有评价、评价结果有反馈、反馈结果有应用。</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3、建议加大对志愿者的关心、关爱，应加强对各县市项目办的协调，努力提高志愿者服务满意度，鼓励志愿者在服务期满后有机会有条件继续扎根基层、服务基层。</w:t>
      </w:r>
    </w:p>
    <w:p>
      <w:pPr>
        <w:keepNext w:val="0"/>
        <w:keepLines w:val="0"/>
        <w:pageBreakBefore w:val="0"/>
        <w:kinsoku/>
        <w:wordWrap/>
        <w:overflowPunct/>
        <w:topLinePunct w:val="0"/>
        <w:autoSpaceDE/>
        <w:autoSpaceDN/>
        <w:bidi w:val="0"/>
        <w:adjustRightInd/>
        <w:snapToGrid/>
        <w:spacing w:line="560" w:lineRule="exact"/>
        <w:ind w:firstLine="643" w:firstLineChars="200"/>
        <w:jc w:val="left"/>
        <w:textAlignment w:val="auto"/>
        <w:rPr>
          <w:b/>
          <w:bCs/>
        </w:rPr>
      </w:pPr>
      <w:r>
        <w:rPr>
          <w:rFonts w:hint="eastAsia" w:ascii="黑体" w:hAnsi="黑体" w:eastAsia="黑体" w:cs="黑体"/>
          <w:b/>
          <w:bCs/>
          <w:sz w:val="32"/>
          <w:szCs w:val="32"/>
        </w:rPr>
        <w:t>七、其他需要说明的问题</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w:t>
      </w:r>
    </w:p>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r>
        <w:rPr>
          <w:rFonts w:hint="eastAsia" w:ascii="宋体" w:hAnsi="宋体" w:eastAsia="宋体" w:cs="宋体"/>
          <w:b/>
          <w:i w:val="0"/>
          <w:color w:val="000000"/>
          <w:kern w:val="0"/>
          <w:sz w:val="32"/>
          <w:szCs w:val="32"/>
          <w:u w:val="none"/>
          <w:lang w:val="en-US" w:eastAsia="zh-CN" w:bidi="ar"/>
        </w:rPr>
        <w:br w:type="page"/>
      </w:r>
    </w:p>
    <w:tbl>
      <w:tblPr>
        <w:tblStyle w:val="23"/>
        <w:tblW w:w="8574" w:type="dxa"/>
        <w:tblInd w:w="0" w:type="dxa"/>
        <w:shd w:val="clear" w:color="auto" w:fill="auto"/>
        <w:tblLayout w:type="fixed"/>
        <w:tblCellMar>
          <w:top w:w="0" w:type="dxa"/>
          <w:left w:w="0" w:type="dxa"/>
          <w:bottom w:w="0" w:type="dxa"/>
          <w:right w:w="0" w:type="dxa"/>
        </w:tblCellMar>
      </w:tblPr>
      <w:tblGrid>
        <w:gridCol w:w="840"/>
        <w:gridCol w:w="840"/>
        <w:gridCol w:w="840"/>
        <w:gridCol w:w="840"/>
        <w:gridCol w:w="840"/>
        <w:gridCol w:w="840"/>
        <w:gridCol w:w="840"/>
        <w:gridCol w:w="1230"/>
        <w:gridCol w:w="210"/>
        <w:gridCol w:w="549"/>
        <w:gridCol w:w="705"/>
      </w:tblGrid>
      <w:tr>
        <w:tblPrEx>
          <w:shd w:val="clear" w:color="auto" w:fill="auto"/>
          <w:tblCellMar>
            <w:top w:w="0" w:type="dxa"/>
            <w:left w:w="0" w:type="dxa"/>
            <w:bottom w:w="0" w:type="dxa"/>
            <w:right w:w="0" w:type="dxa"/>
          </w:tblCellMar>
        </w:tblPrEx>
        <w:trPr>
          <w:trHeight w:val="409" w:hRule="atLeast"/>
        </w:trPr>
        <w:tc>
          <w:tcPr>
            <w:tcW w:w="8574"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8574"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8574" w:type="dxa"/>
            <w:gridSpan w:val="11"/>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689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西部计划项目办管理工作、志愿者社会保险、生活补贴</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6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中国共产主义青年团塔城地区委员会</w:t>
            </w:r>
          </w:p>
        </w:tc>
      </w:tr>
      <w:tr>
        <w:tblPrEx>
          <w:shd w:val="clear" w:color="auto" w:fill="auto"/>
          <w:tblCellMar>
            <w:top w:w="0" w:type="dxa"/>
            <w:left w:w="0" w:type="dxa"/>
            <w:bottom w:w="0" w:type="dxa"/>
            <w:right w:w="0" w:type="dxa"/>
          </w:tblCellMar>
        </w:tblPrEx>
        <w:trPr>
          <w:trHeight w:val="9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840" w:type="dxa"/>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84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7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38.30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26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2035"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1.招募派遣接回志愿者小于30人。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2.组织西部计划志愿者例会、座谈会、交流会、爱心生日会、节日慰问志愿者等活动10场次。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3.支付2名西部计划项目办联络员劳务费。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4.缴纳在岗志愿者基本养老、基本医疗、大额医疗保险大于240人次。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5.发放在岗志愿者生活补助金额大于240人次。</w:t>
            </w:r>
          </w:p>
        </w:tc>
        <w:tc>
          <w:tcPr>
            <w:tcW w:w="269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1.招募派遣接回志愿者小于30人。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2.组织西部计划志愿者例会、座谈会、交流会、爱心生日会、节日慰问志愿者等活动10场次。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3.支付2名西部计划项目办联络员劳务费。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4.缴纳在岗志愿者基本养老、基本医疗、大额医疗保险大于240人次。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5.发放在岗志愿者生活补助金额大于240人次。</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25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4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开展2020年度志愿者招募、派遣工作人数</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30人</w:t>
            </w:r>
          </w:p>
        </w:tc>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举办西部计划志愿者活动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10场</w:t>
            </w:r>
          </w:p>
        </w:tc>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4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支付志愿者项目办联络员劳务费</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2人</w:t>
            </w:r>
          </w:p>
        </w:tc>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缴纳在岗志愿者保险人次</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≥240人次</w:t>
            </w:r>
          </w:p>
        </w:tc>
        <w:tc>
          <w:tcPr>
            <w:tcW w:w="14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240人次</w:t>
            </w:r>
          </w:p>
        </w:tc>
        <w:tc>
          <w:tcPr>
            <w:tcW w:w="12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发放在岗志愿者生活补助</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≥240人次</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240人次</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开展2020年度志愿者招募、派遣工作完成率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西部计划志愿者活动覆盖率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节日慰问志愿者覆盖率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缴纳在岗志愿者保险完成率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发放在岗志愿者生活补助完成率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3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及时开展2020年度志愿者招募、派遣工作</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西部计划志愿者活动举办及时率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按时节日慰问志愿者</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按时缴纳在岗志愿者保险</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按时发放在岗志愿者生活补助</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3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开展2020年度志愿者招募、派遣工作成本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≤0.5万元</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0.5万元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西部计划志愿者活动成本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≤1.5万元</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支付志愿者项目办联络员劳务费成本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=1.2万元</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缴纳在岗志愿者保险成本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≤26.3万元</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26.3万元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发放在岗志愿者生活补助成本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≤8.8万元</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8.8万元</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塔城地区西部计划项目办工作完成情况</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西部计划留疆工作比例</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西部计划志愿者满意率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spacing w:line="560" w:lineRule="exact"/>
        <w:ind w:firstLine="640" w:firstLineChars="200"/>
        <w:jc w:val="left"/>
        <w:rPr>
          <w:rFonts w:ascii="仿宋_GB2312" w:hAnsi="仿宋_GB2312" w:eastAsia="仿宋_GB2312" w:cs="仿宋_GB2312"/>
          <w:sz w:val="32"/>
          <w:szCs w:val="32"/>
        </w:rPr>
      </w:pPr>
    </w:p>
    <w:p>
      <w:pPr>
        <w:pStyle w:val="2"/>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sz w:val="32"/>
          <w:szCs w:val="32"/>
        </w:rPr>
      </w:pPr>
    </w:p>
    <w:p>
      <w:pPr>
        <w:pStyle w:val="2"/>
        <w:pageBreakBefore w:val="0"/>
        <w:kinsoku/>
        <w:wordWrap/>
        <w:overflowPunct/>
        <w:topLinePunct w:val="0"/>
        <w:autoSpaceDE/>
        <w:autoSpaceDN/>
        <w:bidi w:val="0"/>
        <w:adjustRightInd/>
        <w:snapToGrid/>
        <w:spacing w:before="0" w:after="0" w:line="560" w:lineRule="atLeast"/>
      </w:pP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附件1：评价依据</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附件2：综合评分表</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附件3：基础数据采集表</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附件4：满意度问卷调查报告</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附件4-1：满意度调查问卷</w:t>
      </w: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ind w:firstLine="5440" w:firstLineChars="1700"/>
        <w:rPr>
          <w:rFonts w:ascii="仿宋_GB2312" w:hAnsi="仿宋_GB2312" w:eastAsia="仿宋_GB2312" w:cs="仿宋_GB2312"/>
          <w:sz w:val="32"/>
          <w:szCs w:val="32"/>
        </w:rPr>
      </w:pPr>
      <w:r>
        <w:rPr>
          <w:rFonts w:hint="eastAsia" w:ascii="仿宋_GB2312" w:hAnsi="仿宋_GB2312" w:eastAsia="仿宋_GB2312" w:cs="仿宋_GB2312"/>
          <w:sz w:val="32"/>
          <w:szCs w:val="32"/>
        </w:rPr>
        <w:t>共青团塔城地区委员会</w:t>
      </w:r>
    </w:p>
    <w:p>
      <w:pPr>
        <w:pageBreakBefore w:val="0"/>
        <w:kinsoku/>
        <w:wordWrap/>
        <w:overflowPunct/>
        <w:topLinePunct w:val="0"/>
        <w:autoSpaceDE/>
        <w:autoSpaceDN/>
        <w:bidi w:val="0"/>
        <w:adjustRightInd/>
        <w:snapToGrid/>
        <w:spacing w:line="560" w:lineRule="atLeast"/>
        <w:ind w:firstLine="5760" w:firstLineChars="18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年04月</w:t>
      </w:r>
      <w:r>
        <w:rPr>
          <w:rFonts w:hint="eastAsia" w:ascii="仿宋_GB2312" w:hAnsi="仿宋_GB2312" w:eastAsia="仿宋_GB2312" w:cs="仿宋_GB2312"/>
          <w:sz w:val="32"/>
          <w:szCs w:val="32"/>
          <w:lang w:val="en-US" w:eastAsia="zh-CN"/>
        </w:rPr>
        <w:t>01</w:t>
      </w:r>
      <w:r>
        <w:rPr>
          <w:rFonts w:hint="eastAsia" w:ascii="仿宋_GB2312" w:hAnsi="仿宋_GB2312" w:eastAsia="仿宋_GB2312" w:cs="仿宋_GB2312"/>
          <w:sz w:val="32"/>
          <w:szCs w:val="32"/>
        </w:rPr>
        <w:t>日</w:t>
      </w:r>
      <w:bookmarkStart w:id="31" w:name="_Toc24965"/>
    </w:p>
    <w:p>
      <w:pPr>
        <w:pStyle w:val="2"/>
        <w:pageBreakBefore w:val="0"/>
        <w:kinsoku/>
        <w:wordWrap/>
        <w:overflowPunct/>
        <w:topLinePunct w:val="0"/>
        <w:autoSpaceDE/>
        <w:autoSpaceDN/>
        <w:bidi w:val="0"/>
        <w:adjustRightInd/>
        <w:snapToGrid/>
        <w:spacing w:before="0" w:after="0" w:line="560" w:lineRule="atLeas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sz w:val="32"/>
          <w:szCs w:val="32"/>
        </w:rPr>
      </w:pPr>
    </w:p>
    <w:p>
      <w:pPr>
        <w:pStyle w:val="2"/>
        <w:pageBreakBefore w:val="0"/>
        <w:kinsoku/>
        <w:wordWrap/>
        <w:overflowPunct/>
        <w:topLinePunct w:val="0"/>
        <w:autoSpaceDE/>
        <w:autoSpaceDN/>
        <w:bidi w:val="0"/>
        <w:adjustRightInd/>
        <w:snapToGrid/>
        <w:spacing w:before="0" w:after="0" w:line="560" w:lineRule="atLeas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sz w:val="32"/>
          <w:szCs w:val="32"/>
        </w:rPr>
      </w:pPr>
    </w:p>
    <w:p>
      <w:pPr>
        <w:pStyle w:val="2"/>
        <w:pageBreakBefore w:val="0"/>
        <w:kinsoku/>
        <w:wordWrap/>
        <w:overflowPunct/>
        <w:topLinePunct w:val="0"/>
        <w:autoSpaceDE/>
        <w:autoSpaceDN/>
        <w:bidi w:val="0"/>
        <w:adjustRightInd/>
        <w:snapToGrid/>
        <w:spacing w:before="0" w:after="0" w:line="560" w:lineRule="atLeas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sz w:val="32"/>
          <w:szCs w:val="32"/>
        </w:rPr>
      </w:pPr>
    </w:p>
    <w:p>
      <w:pPr>
        <w:pStyle w:val="2"/>
        <w:pageBreakBefore w:val="0"/>
        <w:kinsoku/>
        <w:wordWrap/>
        <w:overflowPunct/>
        <w:topLinePunct w:val="0"/>
        <w:autoSpaceDE/>
        <w:autoSpaceDN/>
        <w:bidi w:val="0"/>
        <w:adjustRightInd/>
        <w:snapToGrid/>
        <w:spacing w:before="0" w:after="0" w:line="560" w:lineRule="atLeas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附件1：评价依据</w:t>
      </w:r>
      <w:bookmarkEnd w:id="31"/>
    </w:p>
    <w:p>
      <w:pPr>
        <w:pageBreakBefore w:val="0"/>
        <w:kinsoku/>
        <w:wordWrap/>
        <w:overflowPunct/>
        <w:topLinePunct w:val="0"/>
        <w:autoSpaceDE/>
        <w:autoSpaceDN/>
        <w:bidi w:val="0"/>
        <w:adjustRightInd/>
        <w:snapToGrid/>
        <w:spacing w:line="560" w:lineRule="atLeast"/>
        <w:ind w:firstLine="643" w:firstLineChars="200"/>
        <w:jc w:val="left"/>
        <w:rPr>
          <w:rFonts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ind w:firstLine="643" w:firstLineChars="200"/>
        <w:jc w:val="lef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本次绩效评价所依据的主要政策文件有：</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1、《财政部关于印发&lt;项目支出绩效评价管理办法&gt;的通知》；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2、《关于印发&lt;自治区部门预算项目支出绩效目标参考表（2019年度）&gt;的通知》；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3、《关于印发&lt;塔城地区项目支出绩效评价管理办法&gt;的通知；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4、《关于实施大学生志愿服务西部计划的通知》；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5、《关于进一步加强大学生志愿服务西部计划工作的意见》；</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6、《关于确定大学生志愿服务西部计划服务新疆专项志愿者补贴标准及调整实施方式的通知》；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7、《关于印发&lt;2016-2017年度大学生志愿服务西部计划服务新疆专项实施方案&gt;的通知》；</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8、《关于印发&lt;20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年度大学生志愿服务西部计划实施方案&gt;的通知》</w:t>
      </w:r>
      <w:bookmarkStart w:id="42" w:name="_GoBack"/>
      <w:bookmarkEnd w:id="42"/>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pPr>
      <w:bookmarkStart w:id="32" w:name="_Toc21456"/>
      <w:bookmarkStart w:id="33" w:name="_Toc30152860"/>
    </w:p>
    <w:p>
      <w:pPr>
        <w:pStyle w:val="3"/>
        <w:pageBreakBefore w:val="0"/>
        <w:kinsoku/>
        <w:wordWrap/>
        <w:overflowPunct/>
        <w:topLinePunct w:val="0"/>
        <w:autoSpaceDE/>
        <w:autoSpaceDN/>
        <w:bidi w:val="0"/>
        <w:adjustRightInd/>
        <w:snapToGrid/>
        <w:spacing w:before="0" w:after="0" w:line="560" w:lineRule="atLeast"/>
        <w:rPr>
          <w:rFonts w:ascii="方正仿宋_GBK" w:hAnsi="黑体" w:eastAsia="方正仿宋_GBK"/>
          <w:sz w:val="32"/>
          <w:szCs w:val="32"/>
        </w:rPr>
      </w:pPr>
    </w:p>
    <w:p>
      <w:pPr>
        <w:pStyle w:val="3"/>
        <w:pageBreakBefore w:val="0"/>
        <w:kinsoku/>
        <w:wordWrap/>
        <w:overflowPunct/>
        <w:topLinePunct w:val="0"/>
        <w:autoSpaceDE/>
        <w:autoSpaceDN/>
        <w:bidi w:val="0"/>
        <w:adjustRightInd/>
        <w:snapToGrid/>
        <w:spacing w:before="0" w:after="0" w:line="560" w:lineRule="atLeast"/>
        <w:rPr>
          <w:rFonts w:ascii="方正仿宋_GBK" w:hAnsi="黑体" w:eastAsia="方正仿宋_GBK"/>
          <w:sz w:val="32"/>
          <w:szCs w:val="32"/>
        </w:rPr>
        <w:sectPr>
          <w:headerReference r:id="rId7" w:type="default"/>
          <w:footerReference r:id="rId8" w:type="default"/>
          <w:pgSz w:w="11906" w:h="16838"/>
          <w:pgMar w:top="1440" w:right="1800" w:bottom="1440" w:left="1414"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附件2综合评分表</w:t>
      </w:r>
      <w:bookmarkEnd w:id="32"/>
      <w:bookmarkEnd w:id="33"/>
    </w:p>
    <w:p>
      <w:pPr>
        <w:pageBreakBefore w:val="0"/>
        <w:widowControl/>
        <w:kinsoku/>
        <w:wordWrap/>
        <w:overflowPunct/>
        <w:topLinePunct w:val="0"/>
        <w:autoSpaceDE/>
        <w:autoSpaceDN/>
        <w:bidi w:val="0"/>
        <w:adjustRightInd/>
        <w:snapToGrid/>
        <w:spacing w:line="560" w:lineRule="atLeast"/>
        <w:jc w:val="left"/>
        <w:rPr>
          <w:rFonts w:ascii="方正仿宋_GBK" w:hAnsi="仿宋" w:eastAsia="方正仿宋_GBK" w:cs="宋体"/>
          <w:sz w:val="32"/>
          <w:szCs w:val="32"/>
        </w:rPr>
      </w:pPr>
    </w:p>
    <w:tbl>
      <w:tblPr>
        <w:tblStyle w:val="23"/>
        <w:tblW w:w="4997" w:type="pct"/>
        <w:tblInd w:w="0" w:type="dxa"/>
        <w:tblLayout w:type="autofit"/>
        <w:tblCellMar>
          <w:top w:w="0" w:type="dxa"/>
          <w:left w:w="0" w:type="dxa"/>
          <w:bottom w:w="0" w:type="dxa"/>
          <w:right w:w="0" w:type="dxa"/>
        </w:tblCellMar>
      </w:tblPr>
      <w:tblGrid>
        <w:gridCol w:w="695"/>
        <w:gridCol w:w="978"/>
        <w:gridCol w:w="1255"/>
        <w:gridCol w:w="3189"/>
        <w:gridCol w:w="990"/>
        <w:gridCol w:w="6175"/>
        <w:gridCol w:w="688"/>
      </w:tblGrid>
      <w:tr>
        <w:tblPrEx>
          <w:tblCellMar>
            <w:top w:w="0" w:type="dxa"/>
            <w:left w:w="0" w:type="dxa"/>
            <w:bottom w:w="0" w:type="dxa"/>
            <w:right w:w="0" w:type="dxa"/>
          </w:tblCellMar>
        </w:tblPrEx>
        <w:trPr>
          <w:cantSplit/>
          <w:trHeight w:val="590" w:hRule="atLeast"/>
          <w:tblHeader/>
        </w:trPr>
        <w:tc>
          <w:tcPr>
            <w:tcW w:w="2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一级指标</w:t>
            </w:r>
          </w:p>
        </w:tc>
        <w:tc>
          <w:tcPr>
            <w:tcW w:w="3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二级指标</w:t>
            </w:r>
          </w:p>
        </w:tc>
        <w:tc>
          <w:tcPr>
            <w:tcW w:w="4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三级指标</w:t>
            </w:r>
          </w:p>
        </w:tc>
        <w:tc>
          <w:tcPr>
            <w:tcW w:w="114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指标解释</w:t>
            </w:r>
          </w:p>
        </w:tc>
        <w:tc>
          <w:tcPr>
            <w:tcW w:w="35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分值</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8"/>
                <w:szCs w:val="18"/>
              </w:rPr>
            </w:pPr>
            <w:r>
              <w:rPr>
                <w:rFonts w:hint="eastAsia" w:ascii="宋体" w:hAnsi="宋体" w:cs="宋体"/>
                <w:b/>
                <w:color w:val="000000"/>
                <w:kern w:val="0"/>
                <w:sz w:val="18"/>
                <w:szCs w:val="18"/>
              </w:rPr>
              <w:t>指标说明</w:t>
            </w: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b/>
                <w:color w:val="000000"/>
                <w:sz w:val="15"/>
                <w:szCs w:val="15"/>
              </w:rPr>
            </w:pPr>
            <w:r>
              <w:rPr>
                <w:rFonts w:hint="eastAsia" w:ascii="宋体" w:hAnsi="宋体" w:cs="宋体"/>
                <w:b/>
                <w:color w:val="000000"/>
                <w:kern w:val="0"/>
                <w:sz w:val="15"/>
                <w:szCs w:val="15"/>
              </w:rPr>
              <w:t>得分</w:t>
            </w:r>
          </w:p>
        </w:tc>
      </w:tr>
      <w:tr>
        <w:tblPrEx>
          <w:tblCellMar>
            <w:top w:w="0" w:type="dxa"/>
            <w:left w:w="0" w:type="dxa"/>
            <w:bottom w:w="0" w:type="dxa"/>
            <w:right w:w="0" w:type="dxa"/>
          </w:tblCellMar>
        </w:tblPrEx>
        <w:trPr>
          <w:trHeight w:val="2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决策（20）</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项目立项（10）　</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立项依据充分性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项目立项是否符合法律法规、相关政策、发展规划以及部门职责，用以反映和考核项目立项依据情况。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5</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①项目立项是否符合国家法律法规、国民经济发展规划和相关政策；</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②项目立项是否符合行业发展规划和政策要求；</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③项目立项是否与部门职责范围相符，属于部门履职所需；</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④项目是否属于公共财政支持范围，是否符合中央、地方事权支出责任划分原则；</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⑤项目是否与相关部门同类项目或部门内部相关项目重复。</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立项程序规范性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项目申请、设立过程是否符合相关要求，用以反映和考核项目立项的规范情况。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5</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①项目是否按照规定的程序申请设立；</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②审批文件、材料是否符合相关要求；</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③事前是否已经过必要的可行性研究、专家论证、风险评估、绩效评估、集体决策。</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绩效目标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　　</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绩效目标合理性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项目所设定的绩效目标是否依据充分，是否符合客观实际，用以反映和考核项目绩效目标与项目实施的相符情况。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3</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3</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（如未设定预算绩效目标，也可考核其他工作任务目标）</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①项目是否有绩效目标；</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②项目绩效目标与实际工作内容是否具有相关性；</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③项目预期产出效益和效果是否符合正常的业绩水平；</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jc w:val="left"/>
              <w:textAlignment w:val="bottom"/>
              <w:rPr>
                <w:rFonts w:ascii="宋体" w:hAnsi="宋体" w:cs="宋体"/>
                <w:color w:val="000000"/>
                <w:sz w:val="18"/>
                <w:szCs w:val="18"/>
              </w:rPr>
            </w:pPr>
            <w:r>
              <w:rPr>
                <w:rFonts w:hint="eastAsia" w:ascii="宋体" w:hAnsi="宋体" w:cs="宋体"/>
                <w:color w:val="000000"/>
                <w:kern w:val="0"/>
                <w:sz w:val="18"/>
                <w:szCs w:val="18"/>
              </w:rPr>
              <w:t>④是否与预算确定的项目投资额或资金量相匹配。</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绩效指标明确性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依据绩效目标设定的绩效指标是否清晰、细化、可衡量等，用以反映和考核项目绩效目标的明细化情况。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①是否将项目绩效目标细化分解为具体的绩效指标；</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②是否通过清晰、可衡量的指标值予以体现；</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③是否与项目目标任务数或计划数相对应。</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资金投入</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　　</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预算编制科学性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项目预算编制是否经过科学论证、有明确标准，资金额度与年度目标是否相适应，用以反映和考核项目预算编制的科学性、合理性情况。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2</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①预算编制是否经过科学论证；</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②预算内容与项目内容是否匹配；</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③预算额度测算依据是否充分，是否按照标准编制；</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④预算确定的项目投资额或资金量是否与工作任务相匹配。</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资金分配合理性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w:t>
            </w:r>
            <w:r>
              <w:rPr>
                <w:rFonts w:hint="eastAsia" w:ascii="宋体" w:hAnsi="宋体" w:cs="宋体"/>
                <w:color w:val="000000"/>
                <w:kern w:val="0"/>
                <w:sz w:val="18"/>
                <w:szCs w:val="18"/>
                <w:lang w:val="en-US" w:eastAsia="zh-CN"/>
              </w:rPr>
              <w:t>3</w:t>
            </w:r>
            <w:r>
              <w:rPr>
                <w:rFonts w:hint="eastAsia" w:ascii="宋体" w:hAnsi="宋体" w:cs="宋体"/>
                <w:color w:val="000000"/>
                <w:kern w:val="0"/>
                <w:sz w:val="18"/>
                <w:szCs w:val="18"/>
              </w:rPr>
              <w:t>）</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项目预算资金分配是否有测算依据，与补助单位或地方实际是否相适应，用以反映和考核项目预算资金分配的科学性、合理性情况。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3</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3</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①预算资金分配依据是否充分；</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②资金分配额度是否合理，与项目单位或地方实际是否相适应。</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过程（20）</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资金管理（12）</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资金到位率（4）</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实际到位资金与预算资金的比率，用以反映和考核资金落实情况对项目实施的总体保障程度。</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资金到位率=（实际到位资金/预算资金）×100%。</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实际到位资金：一定时期（本年度或项目期）内落实到具体项目的资金。</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预算资金：一定时期（本年度或项目期）内预算安排到具体项目的资金。</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预算执行率（4）</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项目预算资金是否按照计划执行，用以反映或考核项目预算执行情况。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预算执行率=（实际支出资金/实际到位资金）×100%。</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4</w:t>
            </w: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实际支出资金：一定时期（本年度或项目期）内项目实际拨付的资金。</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资金使用合规性（4）</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项目资金使用是否符合相关的财务管理制度规定，用以反映和考核项目资金的规范运行情况。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①是否符合国家财经法规和财务管理制度以及有关专项资金管理办法的规定；</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②资金的拨付是否有完整的审批程序和手续；</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③是否符合项目预算批复或合同规定的用途；</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5"/>
                <w:szCs w:val="15"/>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④是否存在截留、挤占、挪用、虚列支出等情况。</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组织实施</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（8）</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管理制度健全性（4）</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项目实施单位的财务和业务管理制度是否健全，用以反映和考核财务和业务管理制度对项目顺利实施的保障情况。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5"/>
                <w:szCs w:val="15"/>
              </w:rPr>
            </w:pPr>
            <w:r>
              <w:rPr>
                <w:rFonts w:hint="eastAsia" w:ascii="宋体" w:hAnsi="宋体" w:cs="宋体"/>
                <w:color w:val="000000"/>
                <w:kern w:val="0"/>
                <w:sz w:val="15"/>
                <w:szCs w:val="15"/>
              </w:rPr>
              <w:t>4</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4</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①是否已制定或具有相应的财务和业务管理制度；</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②财务和业务管理制度是否合法、合规、完整。</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制度执行有效性（4）</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项目实施是否符合相关管理规定，用以反映和考核相关管理制度的有效执行情况。</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5"/>
                <w:szCs w:val="15"/>
              </w:rPr>
            </w:pPr>
            <w:r>
              <w:rPr>
                <w:rFonts w:hint="eastAsia" w:ascii="宋体" w:hAnsi="宋体" w:cs="宋体"/>
                <w:color w:val="000000"/>
                <w:kern w:val="0"/>
                <w:sz w:val="18"/>
                <w:szCs w:val="18"/>
              </w:rPr>
              <w:t>4</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评价要点：</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4</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5"/>
                <w:szCs w:val="15"/>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①是否遵守相关法律法规和相关管理规定；</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5"/>
                <w:szCs w:val="15"/>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②项目调整及支出调整手续是否完备；</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5"/>
                <w:szCs w:val="15"/>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③项目合同书、验收报告、技术鉴定等资料是否齐全并及时归档；</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5"/>
                <w:szCs w:val="15"/>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④项目实施的人员条件、场地设备、信息支撑等是否落实到位。</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5"/>
                <w:szCs w:val="15"/>
              </w:rPr>
            </w:pPr>
          </w:p>
        </w:tc>
      </w:tr>
      <w:tr>
        <w:tblPrEx>
          <w:tblCellMar>
            <w:top w:w="0" w:type="dxa"/>
            <w:left w:w="0" w:type="dxa"/>
            <w:bottom w:w="0" w:type="dxa"/>
            <w:right w:w="0" w:type="dxa"/>
          </w:tblCellMar>
        </w:tblPrEx>
        <w:trPr>
          <w:trHeight w:val="28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产出（40）</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产出数量（10）</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实际完成率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项目实施的实际产出数与计划产出数的比率，用以反映和考核项目产出数量目标的实现程度。</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实际完成率=（实际产出数/计划产出数）×100%。</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kern w:val="0"/>
                <w:sz w:val="18"/>
                <w:szCs w:val="18"/>
                <w:lang w:val="en-US" w:eastAsia="zh-CN"/>
              </w:rPr>
              <w:t>10</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实际产出数：一定时期（本年度或项目期）内项目实际产出的产品或提供的服务数量。</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计划产出数：项目绩效目标确定的在一定时期（本年度或项目期）内计划产出的产品或提供的服务数量。</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产出质量（10）</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质量达标率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项目完成的质量达标产出数与实际产出数的比率，用以反映和考核项目产出质量目标的实现程度。</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质量达标率=（质量达标产出数/实际产出数）×100%。</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59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产出时效（10）</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完成及时性</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项目实际完成时间与计划完成时间的比较，用以反映和考核项目产出时效目标的实现程度。</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实际完成时间：项目实施单位完成该项目实际所耗用的时间。</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kern w:val="0"/>
                <w:sz w:val="18"/>
                <w:szCs w:val="18"/>
                <w:lang w:val="en-US" w:eastAsia="zh-CN"/>
              </w:rPr>
              <w:t>10</w:t>
            </w:r>
          </w:p>
        </w:tc>
      </w:tr>
      <w:tr>
        <w:tblPrEx>
          <w:tblCellMar>
            <w:top w:w="0" w:type="dxa"/>
            <w:left w:w="0" w:type="dxa"/>
            <w:bottom w:w="0" w:type="dxa"/>
            <w:right w:w="0" w:type="dxa"/>
          </w:tblCellMar>
        </w:tblPrEx>
        <w:trPr>
          <w:trHeight w:val="31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计划完成时间：按照项目实施计划或相关规定完成该项目所需的时间。</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5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产出成本（10）</w:t>
            </w:r>
          </w:p>
        </w:tc>
        <w:tc>
          <w:tcPr>
            <w:tcW w:w="4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成本节约率</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（10）</w:t>
            </w:r>
          </w:p>
        </w:tc>
        <w:tc>
          <w:tcPr>
            <w:tcW w:w="1141"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完成项目计划工作目标的实际节约成本与计划成本的比率，用以反映和考核项目的成本节约程度。</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c>
          <w:tcPr>
            <w:tcW w:w="2209" w:type="pct"/>
            <w:tcBorders>
              <w:top w:val="single" w:color="000000" w:sz="4" w:space="0"/>
              <w:left w:val="nil"/>
              <w:bottom w:val="single" w:color="000000" w:sz="4" w:space="0"/>
              <w:right w:val="single" w:color="000000" w:sz="4" w:space="0"/>
            </w:tcBorders>
            <w:shd w:val="clear" w:color="auto" w:fill="FFFFFF"/>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Arial" w:hAnsi="Arial" w:cs="Arial"/>
                <w:color w:val="000000"/>
                <w:sz w:val="18"/>
                <w:szCs w:val="18"/>
              </w:rPr>
            </w:pPr>
            <w:r>
              <w:rPr>
                <w:rFonts w:hint="eastAsia" w:ascii="宋体" w:hAnsi="宋体" w:cs="宋体"/>
                <w:color w:val="000000"/>
                <w:kern w:val="0"/>
                <w:sz w:val="18"/>
                <w:szCs w:val="18"/>
              </w:rPr>
              <w:t>成本节约率=[（计划成本-实际成本）/计划成本]×100%。</w:t>
            </w:r>
          </w:p>
        </w:tc>
        <w:tc>
          <w:tcPr>
            <w:tcW w:w="24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10</w:t>
            </w: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实际成本：项目实施单位如期、保质、保量完成既定工作目标实际所耗费的支出。</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28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1141"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rPr>
                <w:rFonts w:ascii="宋体" w:hAnsi="宋体" w:cs="宋体"/>
                <w:color w:val="000000"/>
                <w:sz w:val="18"/>
                <w:szCs w:val="18"/>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计划成本：项目实施单位为完成工作目标计划安排的支出，一般以项目预算为参考。</w:t>
            </w:r>
          </w:p>
        </w:tc>
        <w:tc>
          <w:tcPr>
            <w:tcW w:w="24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r>
      <w:tr>
        <w:tblPrEx>
          <w:tblCellMar>
            <w:top w:w="0" w:type="dxa"/>
            <w:left w:w="0" w:type="dxa"/>
            <w:bottom w:w="0" w:type="dxa"/>
            <w:right w:w="0" w:type="dxa"/>
          </w:tblCellMar>
        </w:tblPrEx>
        <w:trPr>
          <w:trHeight w:val="560" w:hRule="atLeast"/>
        </w:trPr>
        <w:tc>
          <w:tcPr>
            <w:tcW w:w="249"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效益（20）</w:t>
            </w:r>
          </w:p>
        </w:tc>
        <w:tc>
          <w:tcPr>
            <w:tcW w:w="350" w:type="pct"/>
            <w:vMerge w:val="restar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项目效益　</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（20）</w:t>
            </w:r>
          </w:p>
        </w:tc>
        <w:tc>
          <w:tcPr>
            <w:tcW w:w="4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实施效益</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（15）</w:t>
            </w:r>
          </w:p>
        </w:tc>
        <w:tc>
          <w:tcPr>
            <w:tcW w:w="114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left"/>
              <w:textAlignment w:val="center"/>
              <w:rPr>
                <w:rFonts w:ascii="宋体" w:hAnsi="宋体" w:cs="宋体"/>
                <w:color w:val="000000"/>
                <w:sz w:val="18"/>
                <w:szCs w:val="18"/>
              </w:rPr>
            </w:pPr>
            <w:r>
              <w:rPr>
                <w:rFonts w:hint="eastAsia" w:ascii="宋体" w:hAnsi="宋体" w:cs="宋体"/>
                <w:color w:val="000000"/>
                <w:kern w:val="0"/>
                <w:sz w:val="18"/>
                <w:szCs w:val="18"/>
              </w:rPr>
              <w:t>项目实施所产生的效益。</w:t>
            </w:r>
          </w:p>
        </w:tc>
        <w:tc>
          <w:tcPr>
            <w:tcW w:w="35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项目实施所产生的社会效益、经济效益、生态效益、可持续影响等。可根据项目实际情况有选择地设置和细化。</w:t>
            </w: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default" w:ascii="宋体" w:hAnsi="宋体" w:cs="宋体" w:eastAsiaTheme="minorEastAsia"/>
                <w:color w:val="000000"/>
                <w:sz w:val="18"/>
                <w:szCs w:val="18"/>
                <w:lang w:val="en-US" w:eastAsia="zh-CN"/>
              </w:rPr>
            </w:pPr>
            <w:r>
              <w:rPr>
                <w:rFonts w:hint="eastAsia" w:ascii="宋体" w:hAnsi="宋体" w:cs="宋体"/>
                <w:color w:val="000000"/>
                <w:kern w:val="0"/>
                <w:sz w:val="18"/>
                <w:szCs w:val="18"/>
                <w:lang w:val="en-US" w:eastAsia="zh-CN"/>
              </w:rPr>
              <w:t>14</w:t>
            </w:r>
          </w:p>
        </w:tc>
      </w:tr>
      <w:tr>
        <w:tblPrEx>
          <w:tblCellMar>
            <w:top w:w="0" w:type="dxa"/>
            <w:left w:w="0" w:type="dxa"/>
            <w:bottom w:w="0" w:type="dxa"/>
            <w:right w:w="0" w:type="dxa"/>
          </w:tblCellMar>
        </w:tblPrEx>
        <w:trPr>
          <w:trHeight w:val="560" w:hRule="atLeast"/>
        </w:trPr>
        <w:tc>
          <w:tcPr>
            <w:tcW w:w="249"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350"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kinsoku/>
              <w:wordWrap/>
              <w:overflowPunct/>
              <w:topLinePunct w:val="0"/>
              <w:autoSpaceDE/>
              <w:autoSpaceDN/>
              <w:bidi w:val="0"/>
              <w:adjustRightInd/>
              <w:snapToGrid/>
              <w:spacing w:line="560" w:lineRule="atLeast"/>
              <w:jc w:val="center"/>
              <w:rPr>
                <w:rFonts w:ascii="宋体" w:hAnsi="宋体" w:cs="宋体"/>
                <w:color w:val="000000"/>
                <w:sz w:val="18"/>
                <w:szCs w:val="18"/>
              </w:rPr>
            </w:pPr>
          </w:p>
        </w:tc>
        <w:tc>
          <w:tcPr>
            <w:tcW w:w="44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ascii="宋体" w:hAnsi="宋体" w:cs="宋体"/>
                <w:color w:val="000000"/>
                <w:sz w:val="18"/>
                <w:szCs w:val="18"/>
              </w:rPr>
            </w:pPr>
            <w:r>
              <w:rPr>
                <w:rFonts w:hint="eastAsia" w:ascii="宋体" w:hAnsi="宋体" w:cs="宋体"/>
                <w:color w:val="000000"/>
                <w:kern w:val="0"/>
                <w:sz w:val="18"/>
                <w:szCs w:val="18"/>
              </w:rPr>
              <w:t>满意度</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w:t>
            </w:r>
          </w:p>
        </w:tc>
        <w:tc>
          <w:tcPr>
            <w:tcW w:w="1141"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textAlignment w:val="center"/>
              <w:rPr>
                <w:rFonts w:ascii="宋体" w:hAnsi="宋体" w:cs="宋体"/>
                <w:color w:val="000000"/>
                <w:sz w:val="18"/>
                <w:szCs w:val="18"/>
              </w:rPr>
            </w:pPr>
            <w:r>
              <w:rPr>
                <w:rFonts w:hint="eastAsia" w:ascii="宋体" w:hAnsi="宋体" w:cs="宋体"/>
                <w:color w:val="000000"/>
                <w:kern w:val="0"/>
                <w:sz w:val="18"/>
                <w:szCs w:val="18"/>
              </w:rPr>
              <w:t>社会公众或服务对象对项目实施效果的满意程度。</w:t>
            </w:r>
          </w:p>
        </w:tc>
        <w:tc>
          <w:tcPr>
            <w:tcW w:w="354"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5</w:t>
            </w:r>
          </w:p>
        </w:tc>
        <w:tc>
          <w:tcPr>
            <w:tcW w:w="2209" w:type="pct"/>
            <w:tcBorders>
              <w:top w:val="single" w:color="000000" w:sz="4" w:space="0"/>
              <w:left w:val="nil"/>
              <w:bottom w:val="single" w:color="000000" w:sz="4" w:space="0"/>
              <w:right w:val="single" w:color="000000" w:sz="4" w:space="0"/>
            </w:tcBorders>
            <w:shd w:val="clear" w:color="auto" w:fill="FFFFFF"/>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atLeast"/>
              <w:textAlignment w:val="bottom"/>
              <w:rPr>
                <w:rFonts w:ascii="宋体" w:hAnsi="宋体" w:cs="宋体"/>
                <w:color w:val="000000"/>
                <w:sz w:val="18"/>
                <w:szCs w:val="18"/>
              </w:rPr>
            </w:pPr>
            <w:r>
              <w:rPr>
                <w:rFonts w:hint="eastAsia" w:ascii="宋体" w:hAnsi="宋体" w:cs="宋体"/>
                <w:color w:val="000000"/>
                <w:kern w:val="0"/>
                <w:sz w:val="18"/>
                <w:szCs w:val="18"/>
              </w:rPr>
              <w:t>社会公众或服务对象是指因该项目实施而受到影响的部门（单位）、群体或个人。一般采取社会调查的方式。</w:t>
            </w:r>
          </w:p>
        </w:tc>
        <w:tc>
          <w:tcPr>
            <w:tcW w:w="246"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atLeast"/>
              <w:jc w:val="center"/>
              <w:textAlignment w:val="center"/>
              <w:rPr>
                <w:rFonts w:hint="eastAsia" w:ascii="宋体" w:hAnsi="宋体" w:cs="宋体" w:eastAsiaTheme="minorEastAsia"/>
                <w:color w:val="000000"/>
                <w:sz w:val="18"/>
                <w:szCs w:val="18"/>
                <w:lang w:eastAsia="zh-CN"/>
              </w:rPr>
            </w:pPr>
            <w:r>
              <w:rPr>
                <w:rFonts w:hint="eastAsia" w:ascii="宋体" w:hAnsi="宋体" w:cs="宋体"/>
                <w:color w:val="000000"/>
                <w:kern w:val="0"/>
                <w:sz w:val="18"/>
                <w:szCs w:val="18"/>
                <w:lang w:val="en-US" w:eastAsia="zh-CN"/>
              </w:rPr>
              <w:t>5</w:t>
            </w:r>
          </w:p>
        </w:tc>
      </w:tr>
    </w:tbl>
    <w:p>
      <w:pPr>
        <w:pStyle w:val="9"/>
        <w:pageBreakBefore w:val="0"/>
        <w:kinsoku/>
        <w:wordWrap/>
        <w:overflowPunct/>
        <w:topLinePunct w:val="0"/>
        <w:autoSpaceDE/>
        <w:autoSpaceDN/>
        <w:bidi w:val="0"/>
        <w:adjustRightInd/>
        <w:snapToGrid/>
        <w:spacing w:after="0" w:line="560" w:lineRule="atLeast"/>
        <w:ind w:right="1280" w:firstLine="640" w:firstLineChars="200"/>
        <w:jc w:val="right"/>
        <w:rPr>
          <w:rFonts w:ascii="方正仿宋_GBK" w:hAnsi="仿宋" w:eastAsia="方正仿宋_GBK" w:cs="宋体"/>
          <w:sz w:val="32"/>
          <w:szCs w:val="32"/>
        </w:rPr>
        <w:sectPr>
          <w:pgSz w:w="16838" w:h="11906" w:orient="landscape"/>
          <w:pgMar w:top="1412" w:right="1440" w:bottom="1803" w:left="1440" w:header="851" w:footer="992" w:gutter="0"/>
          <w:cols w:space="0" w:num="1"/>
          <w:docGrid w:type="lines" w:linePitch="321" w:charSpace="0"/>
        </w:sectPr>
      </w:pPr>
    </w:p>
    <w:p>
      <w:pPr>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
          <w:bCs/>
          <w:sz w:val="32"/>
          <w:szCs w:val="32"/>
        </w:rPr>
      </w:pPr>
      <w:bookmarkStart w:id="34" w:name="_Toc8841"/>
      <w:bookmarkStart w:id="35" w:name="_Toc401734520"/>
      <w:bookmarkStart w:id="36" w:name="_Toc402181885"/>
      <w:bookmarkStart w:id="37" w:name="_Toc30152861"/>
      <w:bookmarkStart w:id="38" w:name="_Toc407184409"/>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附件3：基础数据采集表</w:t>
      </w:r>
      <w:bookmarkEnd w:id="34"/>
    </w:p>
    <w:tbl>
      <w:tblPr>
        <w:tblStyle w:val="23"/>
        <w:tblW w:w="5000" w:type="pct"/>
        <w:jc w:val="center"/>
        <w:tblLayout w:type="fixed"/>
        <w:tblCellMar>
          <w:top w:w="0" w:type="dxa"/>
          <w:left w:w="108" w:type="dxa"/>
          <w:bottom w:w="0" w:type="dxa"/>
          <w:right w:w="108" w:type="dxa"/>
        </w:tblCellMar>
      </w:tblPr>
      <w:tblGrid>
        <w:gridCol w:w="1149"/>
        <w:gridCol w:w="146"/>
        <w:gridCol w:w="397"/>
        <w:gridCol w:w="324"/>
        <w:gridCol w:w="494"/>
        <w:gridCol w:w="329"/>
        <w:gridCol w:w="736"/>
        <w:gridCol w:w="781"/>
        <w:gridCol w:w="312"/>
        <w:gridCol w:w="394"/>
        <w:gridCol w:w="856"/>
        <w:gridCol w:w="356"/>
        <w:gridCol w:w="523"/>
        <w:gridCol w:w="689"/>
        <w:gridCol w:w="1036"/>
      </w:tblGrid>
      <w:tr>
        <w:tblPrEx>
          <w:tblCellMar>
            <w:top w:w="0" w:type="dxa"/>
            <w:left w:w="108" w:type="dxa"/>
            <w:bottom w:w="0" w:type="dxa"/>
            <w:right w:w="108" w:type="dxa"/>
          </w:tblCellMar>
        </w:tblPrEx>
        <w:trPr>
          <w:trHeight w:val="276" w:hRule="atLeast"/>
          <w:jc w:val="center"/>
        </w:trPr>
        <w:tc>
          <w:tcPr>
            <w:tcW w:w="2555" w:type="pct"/>
            <w:gridSpan w:val="8"/>
            <w:tcBorders>
              <w:top w:val="nil"/>
              <w:left w:val="nil"/>
              <w:bottom w:val="nil"/>
              <w:right w:val="nil"/>
            </w:tcBorders>
            <w:noWrap/>
            <w:vAlign w:val="center"/>
          </w:tcPr>
          <w:p>
            <w:pPr>
              <w:pageBreakBefore w:val="0"/>
              <w:widowControl/>
              <w:kinsoku/>
              <w:wordWrap/>
              <w:overflowPunct/>
              <w:topLinePunct w:val="0"/>
              <w:autoSpaceDE/>
              <w:autoSpaceDN/>
              <w:bidi w:val="0"/>
              <w:adjustRightInd/>
              <w:snapToGrid/>
              <w:spacing w:line="560" w:lineRule="atLeas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填报单位（公章）：共青团塔城地区委员会</w:t>
            </w:r>
          </w:p>
        </w:tc>
        <w:tc>
          <w:tcPr>
            <w:tcW w:w="2444" w:type="pct"/>
            <w:gridSpan w:val="7"/>
            <w:tcBorders>
              <w:top w:val="nil"/>
              <w:left w:val="nil"/>
              <w:bottom w:val="single" w:color="auto" w:sz="4" w:space="0"/>
              <w:right w:val="nil"/>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填报时间：202</w:t>
            </w:r>
            <w:r>
              <w:rPr>
                <w:rFonts w:hint="eastAsia" w:asciiTheme="minorEastAsia" w:hAnsiTheme="minorEastAsia" w:eastAsiaTheme="minorEastAsia" w:cstheme="minorEastAsia"/>
                <w:kern w:val="0"/>
                <w:sz w:val="18"/>
                <w:szCs w:val="18"/>
                <w:lang w:val="en-US" w:eastAsia="zh-CN"/>
              </w:rPr>
              <w:t>1</w:t>
            </w:r>
            <w:r>
              <w:rPr>
                <w:rFonts w:hint="eastAsia" w:asciiTheme="minorEastAsia" w:hAnsiTheme="minorEastAsia" w:eastAsiaTheme="minorEastAsia" w:cstheme="minorEastAsia"/>
                <w:kern w:val="0"/>
                <w:sz w:val="18"/>
                <w:szCs w:val="18"/>
              </w:rPr>
              <w:t>年04月</w:t>
            </w:r>
            <w:r>
              <w:rPr>
                <w:rFonts w:hint="eastAsia" w:asciiTheme="minorEastAsia" w:hAnsiTheme="minorEastAsia" w:eastAsiaTheme="minorEastAsia" w:cstheme="minorEastAsia"/>
                <w:kern w:val="0"/>
                <w:sz w:val="18"/>
                <w:szCs w:val="18"/>
                <w:lang w:val="en-US" w:eastAsia="zh-CN"/>
              </w:rPr>
              <w:t>0</w:t>
            </w:r>
            <w:r>
              <w:rPr>
                <w:rFonts w:hint="eastAsia" w:asciiTheme="minorEastAsia" w:hAnsiTheme="minorEastAsia" w:eastAsiaTheme="minorEastAsia" w:cstheme="minorEastAsia"/>
                <w:kern w:val="0"/>
                <w:sz w:val="18"/>
                <w:szCs w:val="18"/>
              </w:rPr>
              <w:t>1日</w:t>
            </w:r>
          </w:p>
        </w:tc>
      </w:tr>
      <w:tr>
        <w:tblPrEx>
          <w:tblCellMar>
            <w:top w:w="0" w:type="dxa"/>
            <w:left w:w="108" w:type="dxa"/>
            <w:bottom w:w="0" w:type="dxa"/>
            <w:right w:w="108" w:type="dxa"/>
          </w:tblCellMar>
        </w:tblPrEx>
        <w:trPr>
          <w:trHeight w:val="276" w:hRule="atLeast"/>
          <w:jc w:val="center"/>
        </w:trPr>
        <w:tc>
          <w:tcPr>
            <w:tcW w:w="5000" w:type="pct"/>
            <w:gridSpan w:val="15"/>
            <w:tcBorders>
              <w:top w:val="single" w:color="auto" w:sz="4" w:space="0"/>
              <w:left w:val="single" w:color="auto" w:sz="4" w:space="0"/>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一、单位基本情况</w:t>
            </w:r>
          </w:p>
        </w:tc>
      </w:tr>
      <w:tr>
        <w:tblPrEx>
          <w:tblCellMar>
            <w:top w:w="0" w:type="dxa"/>
            <w:left w:w="108" w:type="dxa"/>
            <w:bottom w:w="0" w:type="dxa"/>
            <w:right w:w="108" w:type="dxa"/>
          </w:tblCellMar>
        </w:tblPrEx>
        <w:trPr>
          <w:trHeight w:val="276" w:hRule="atLeast"/>
          <w:jc w:val="center"/>
        </w:trPr>
        <w:tc>
          <w:tcPr>
            <w:tcW w:w="759" w:type="pct"/>
            <w:gridSpan w:val="2"/>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单位名称</w:t>
            </w:r>
          </w:p>
        </w:tc>
        <w:tc>
          <w:tcPr>
            <w:tcW w:w="4240" w:type="pct"/>
            <w:gridSpan w:val="13"/>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共青团塔城地区委员会</w:t>
            </w:r>
          </w:p>
        </w:tc>
      </w:tr>
      <w:tr>
        <w:tblPrEx>
          <w:tblCellMar>
            <w:top w:w="0" w:type="dxa"/>
            <w:left w:w="108" w:type="dxa"/>
            <w:bottom w:w="0" w:type="dxa"/>
            <w:right w:w="108" w:type="dxa"/>
          </w:tblCellMar>
        </w:tblPrEx>
        <w:trPr>
          <w:trHeight w:val="276" w:hRule="atLeast"/>
          <w:jc w:val="center"/>
        </w:trPr>
        <w:tc>
          <w:tcPr>
            <w:tcW w:w="759" w:type="pct"/>
            <w:gridSpan w:val="2"/>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单位地址</w:t>
            </w:r>
          </w:p>
        </w:tc>
        <w:tc>
          <w:tcPr>
            <w:tcW w:w="4240" w:type="pct"/>
            <w:gridSpan w:val="13"/>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新疆塔城地区塔城市</w:t>
            </w:r>
            <w:r>
              <w:rPr>
                <w:rFonts w:hint="eastAsia" w:asciiTheme="minorEastAsia" w:hAnsiTheme="minorEastAsia" w:eastAsiaTheme="minorEastAsia" w:cstheme="minorEastAsia"/>
                <w:sz w:val="18"/>
                <w:szCs w:val="18"/>
              </w:rPr>
              <w:t>六和广场创业大厦D区5楼</w:t>
            </w:r>
          </w:p>
        </w:tc>
      </w:tr>
      <w:tr>
        <w:tblPrEx>
          <w:tblCellMar>
            <w:top w:w="0" w:type="dxa"/>
            <w:left w:w="108" w:type="dxa"/>
            <w:bottom w:w="0" w:type="dxa"/>
            <w:right w:w="108" w:type="dxa"/>
          </w:tblCellMar>
        </w:tblPrEx>
        <w:trPr>
          <w:trHeight w:val="276" w:hRule="atLeast"/>
          <w:jc w:val="center"/>
        </w:trPr>
        <w:tc>
          <w:tcPr>
            <w:tcW w:w="759" w:type="pct"/>
            <w:gridSpan w:val="2"/>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法人类型</w:t>
            </w:r>
          </w:p>
        </w:tc>
        <w:tc>
          <w:tcPr>
            <w:tcW w:w="4240" w:type="pct"/>
            <w:gridSpan w:val="13"/>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□企业法人；</w:t>
            </w:r>
            <w:r>
              <w:rPr>
                <w:rFonts w:hint="eastAsia" w:asciiTheme="minorEastAsia" w:hAnsiTheme="minorEastAsia" w:eastAsiaTheme="minorEastAsia" w:cstheme="minorEastAsia"/>
                <w:kern w:val="0"/>
                <w:sz w:val="18"/>
                <w:szCs w:val="18"/>
              </w:rPr>
              <w:sym w:font="Wingdings" w:char="00FE"/>
            </w:r>
            <w:r>
              <w:rPr>
                <w:rFonts w:hint="eastAsia" w:asciiTheme="minorEastAsia" w:hAnsiTheme="minorEastAsia" w:eastAsiaTheme="minorEastAsia" w:cstheme="minorEastAsia"/>
                <w:kern w:val="0"/>
                <w:sz w:val="18"/>
                <w:szCs w:val="18"/>
              </w:rPr>
              <w:t>事业法人；□社团法人；□民办非企业法人；□其它</w:t>
            </w:r>
          </w:p>
        </w:tc>
      </w:tr>
      <w:tr>
        <w:tblPrEx>
          <w:tblCellMar>
            <w:top w:w="0" w:type="dxa"/>
            <w:left w:w="108" w:type="dxa"/>
            <w:bottom w:w="0" w:type="dxa"/>
            <w:right w:w="108" w:type="dxa"/>
          </w:tblCellMar>
        </w:tblPrEx>
        <w:trPr>
          <w:trHeight w:val="276" w:hRule="atLeast"/>
          <w:jc w:val="center"/>
        </w:trPr>
        <w:tc>
          <w:tcPr>
            <w:tcW w:w="5000" w:type="pct"/>
            <w:gridSpan w:val="15"/>
            <w:tcBorders>
              <w:top w:val="single" w:color="auto" w:sz="4" w:space="0"/>
              <w:left w:val="single" w:color="auto" w:sz="4" w:space="0"/>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二、项目基本情况</w:t>
            </w:r>
          </w:p>
        </w:tc>
      </w:tr>
      <w:tr>
        <w:tblPrEx>
          <w:tblCellMar>
            <w:top w:w="0" w:type="dxa"/>
            <w:left w:w="108" w:type="dxa"/>
            <w:bottom w:w="0" w:type="dxa"/>
            <w:right w:w="108" w:type="dxa"/>
          </w:tblCellMar>
        </w:tblPrEx>
        <w:trPr>
          <w:trHeight w:val="276" w:hRule="atLeast"/>
          <w:jc w:val="center"/>
        </w:trPr>
        <w:tc>
          <w:tcPr>
            <w:tcW w:w="1182" w:type="pct"/>
            <w:gridSpan w:val="4"/>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项目名称</w:t>
            </w:r>
          </w:p>
        </w:tc>
        <w:tc>
          <w:tcPr>
            <w:tcW w:w="1372"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西部计划志愿者社保补助</w:t>
            </w:r>
          </w:p>
        </w:tc>
        <w:tc>
          <w:tcPr>
            <w:tcW w:w="916" w:type="pct"/>
            <w:gridSpan w:val="3"/>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项目性质</w:t>
            </w:r>
          </w:p>
        </w:tc>
        <w:tc>
          <w:tcPr>
            <w:tcW w:w="1527"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1.新建□ 2.续建■ 3.改造□</w:t>
            </w:r>
          </w:p>
        </w:tc>
      </w:tr>
      <w:tr>
        <w:tblPrEx>
          <w:tblCellMar>
            <w:top w:w="0" w:type="dxa"/>
            <w:left w:w="108" w:type="dxa"/>
            <w:bottom w:w="0" w:type="dxa"/>
            <w:right w:w="108" w:type="dxa"/>
          </w:tblCellMar>
        </w:tblPrEx>
        <w:trPr>
          <w:trHeight w:val="276" w:hRule="atLeast"/>
          <w:jc w:val="center"/>
        </w:trPr>
        <w:tc>
          <w:tcPr>
            <w:tcW w:w="1182" w:type="pct"/>
            <w:gridSpan w:val="4"/>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计划投资额</w:t>
            </w:r>
          </w:p>
        </w:tc>
        <w:tc>
          <w:tcPr>
            <w:tcW w:w="1372"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38.3</w:t>
            </w:r>
            <w:r>
              <w:rPr>
                <w:rFonts w:hint="eastAsia" w:asciiTheme="minorEastAsia" w:hAnsiTheme="minorEastAsia" w:eastAsiaTheme="minorEastAsia" w:cstheme="minorEastAsia"/>
                <w:kern w:val="0"/>
                <w:sz w:val="18"/>
                <w:szCs w:val="18"/>
              </w:rPr>
              <w:t>万元</w:t>
            </w:r>
          </w:p>
        </w:tc>
        <w:tc>
          <w:tcPr>
            <w:tcW w:w="916" w:type="pct"/>
            <w:gridSpan w:val="3"/>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实际投资额</w:t>
            </w:r>
          </w:p>
        </w:tc>
        <w:tc>
          <w:tcPr>
            <w:tcW w:w="1527"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38.296976</w:t>
            </w:r>
            <w:r>
              <w:rPr>
                <w:rFonts w:hint="eastAsia" w:asciiTheme="minorEastAsia" w:hAnsiTheme="minorEastAsia" w:eastAsiaTheme="minorEastAsia" w:cstheme="minorEastAsia"/>
                <w:kern w:val="0"/>
                <w:sz w:val="18"/>
                <w:szCs w:val="18"/>
              </w:rPr>
              <w:t>万元</w:t>
            </w:r>
          </w:p>
        </w:tc>
      </w:tr>
      <w:tr>
        <w:tblPrEx>
          <w:tblCellMar>
            <w:top w:w="0" w:type="dxa"/>
            <w:left w:w="108" w:type="dxa"/>
            <w:bottom w:w="0" w:type="dxa"/>
            <w:right w:w="108" w:type="dxa"/>
          </w:tblCellMar>
        </w:tblPrEx>
        <w:trPr>
          <w:trHeight w:val="276" w:hRule="atLeast"/>
          <w:jc w:val="center"/>
        </w:trPr>
        <w:tc>
          <w:tcPr>
            <w:tcW w:w="1182" w:type="pct"/>
            <w:gridSpan w:val="4"/>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实际开工时间</w:t>
            </w:r>
          </w:p>
        </w:tc>
        <w:tc>
          <w:tcPr>
            <w:tcW w:w="1372"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年01月</w:t>
            </w:r>
          </w:p>
        </w:tc>
        <w:tc>
          <w:tcPr>
            <w:tcW w:w="916" w:type="pct"/>
            <w:gridSpan w:val="3"/>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实际完工时间</w:t>
            </w:r>
          </w:p>
        </w:tc>
        <w:tc>
          <w:tcPr>
            <w:tcW w:w="1527" w:type="pct"/>
            <w:gridSpan w:val="4"/>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年12月</w:t>
            </w:r>
          </w:p>
        </w:tc>
      </w:tr>
      <w:tr>
        <w:tblPrEx>
          <w:tblCellMar>
            <w:top w:w="0" w:type="dxa"/>
            <w:left w:w="108" w:type="dxa"/>
            <w:bottom w:w="0" w:type="dxa"/>
            <w:right w:w="108" w:type="dxa"/>
          </w:tblCellMar>
        </w:tblPrEx>
        <w:trPr>
          <w:trHeight w:val="276" w:hRule="atLeast"/>
          <w:jc w:val="center"/>
        </w:trPr>
        <w:tc>
          <w:tcPr>
            <w:tcW w:w="5000" w:type="pct"/>
            <w:gridSpan w:val="15"/>
            <w:tcBorders>
              <w:top w:val="single" w:color="auto" w:sz="4" w:space="0"/>
              <w:left w:val="single" w:color="auto" w:sz="4" w:space="0"/>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三、专项资金情况（万元）</w:t>
            </w:r>
          </w:p>
        </w:tc>
      </w:tr>
      <w:tr>
        <w:tblPrEx>
          <w:tblCellMar>
            <w:top w:w="0" w:type="dxa"/>
            <w:left w:w="108" w:type="dxa"/>
            <w:bottom w:w="0" w:type="dxa"/>
            <w:right w:w="108" w:type="dxa"/>
          </w:tblCellMar>
        </w:tblPrEx>
        <w:trPr>
          <w:trHeight w:val="276"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申报金额</w:t>
            </w:r>
          </w:p>
        </w:tc>
        <w:tc>
          <w:tcPr>
            <w:tcW w:w="798" w:type="pct"/>
            <w:gridSpan w:val="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指标</w:t>
            </w: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金额</w:t>
            </w:r>
          </w:p>
        </w:tc>
        <w:tc>
          <w:tcPr>
            <w:tcW w:w="624"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到位金额</w:t>
            </w:r>
          </w:p>
        </w:tc>
        <w:tc>
          <w:tcPr>
            <w:tcW w:w="872" w:type="pct"/>
            <w:gridSpan w:val="3"/>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w:t>
            </w: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到位率%</w:t>
            </w:r>
          </w:p>
        </w:tc>
        <w:tc>
          <w:tcPr>
            <w:tcW w:w="711"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实际使用</w:t>
            </w: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金额</w:t>
            </w:r>
          </w:p>
        </w:tc>
        <w:tc>
          <w:tcPr>
            <w:tcW w:w="711"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资金使用率%</w:t>
            </w:r>
          </w:p>
        </w:tc>
        <w:tc>
          <w:tcPr>
            <w:tcW w:w="607"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支持方式</w:t>
            </w:r>
          </w:p>
        </w:tc>
      </w:tr>
      <w:tr>
        <w:tblPrEx>
          <w:tblCellMar>
            <w:top w:w="0" w:type="dxa"/>
            <w:left w:w="108" w:type="dxa"/>
            <w:bottom w:w="0" w:type="dxa"/>
            <w:right w:w="108" w:type="dxa"/>
          </w:tblCellMar>
        </w:tblPrEx>
        <w:trPr>
          <w:trHeight w:val="276"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38.3</w:t>
            </w:r>
            <w:r>
              <w:rPr>
                <w:rFonts w:hint="eastAsia" w:asciiTheme="minorEastAsia" w:hAnsiTheme="minorEastAsia" w:eastAsiaTheme="minorEastAsia" w:cstheme="minorEastAsia"/>
                <w:kern w:val="0"/>
                <w:sz w:val="18"/>
                <w:szCs w:val="18"/>
              </w:rPr>
              <w:t>万元</w:t>
            </w:r>
          </w:p>
        </w:tc>
        <w:tc>
          <w:tcPr>
            <w:tcW w:w="798" w:type="pct"/>
            <w:gridSpan w:val="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38.3</w:t>
            </w:r>
            <w:r>
              <w:rPr>
                <w:rFonts w:hint="eastAsia" w:asciiTheme="minorEastAsia" w:hAnsiTheme="minorEastAsia" w:eastAsiaTheme="minorEastAsia" w:cstheme="minorEastAsia"/>
                <w:kern w:val="0"/>
                <w:sz w:val="18"/>
                <w:szCs w:val="18"/>
              </w:rPr>
              <w:t>万元</w:t>
            </w:r>
          </w:p>
        </w:tc>
        <w:tc>
          <w:tcPr>
            <w:tcW w:w="624"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38.3</w:t>
            </w:r>
            <w:r>
              <w:rPr>
                <w:rFonts w:hint="eastAsia" w:asciiTheme="minorEastAsia" w:hAnsiTheme="minorEastAsia" w:eastAsiaTheme="minorEastAsia" w:cstheme="minorEastAsia"/>
                <w:kern w:val="0"/>
                <w:sz w:val="18"/>
                <w:szCs w:val="18"/>
              </w:rPr>
              <w:t>万元</w:t>
            </w:r>
          </w:p>
        </w:tc>
        <w:tc>
          <w:tcPr>
            <w:tcW w:w="872" w:type="pct"/>
            <w:gridSpan w:val="3"/>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c>
          <w:tcPr>
            <w:tcW w:w="711"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38.296976</w:t>
            </w:r>
            <w:r>
              <w:rPr>
                <w:rFonts w:hint="eastAsia" w:asciiTheme="minorEastAsia" w:hAnsiTheme="minorEastAsia" w:eastAsiaTheme="minorEastAsia" w:cstheme="minorEastAsia"/>
                <w:kern w:val="0"/>
                <w:sz w:val="18"/>
                <w:szCs w:val="18"/>
              </w:rPr>
              <w:t>万元</w:t>
            </w:r>
          </w:p>
        </w:tc>
        <w:tc>
          <w:tcPr>
            <w:tcW w:w="711" w:type="pct"/>
            <w:gridSpan w:val="2"/>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lang w:val="en-US" w:eastAsia="zh-CN"/>
              </w:rPr>
              <w:t>99</w:t>
            </w:r>
            <w:r>
              <w:rPr>
                <w:rFonts w:hint="eastAsia" w:asciiTheme="minorEastAsia" w:hAnsiTheme="minorEastAsia" w:eastAsiaTheme="minorEastAsia" w:cstheme="minorEastAsia"/>
                <w:kern w:val="0"/>
                <w:sz w:val="18"/>
                <w:szCs w:val="18"/>
              </w:rPr>
              <w:t>%</w:t>
            </w:r>
          </w:p>
        </w:tc>
        <w:tc>
          <w:tcPr>
            <w:tcW w:w="607" w:type="pct"/>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财政拨款</w:t>
            </w:r>
          </w:p>
        </w:tc>
      </w:tr>
      <w:tr>
        <w:tblPrEx>
          <w:tblCellMar>
            <w:top w:w="0" w:type="dxa"/>
            <w:left w:w="108" w:type="dxa"/>
            <w:bottom w:w="0" w:type="dxa"/>
            <w:right w:w="108" w:type="dxa"/>
          </w:tblCellMar>
        </w:tblPrEx>
        <w:trPr>
          <w:trHeight w:val="276" w:hRule="atLeast"/>
          <w:jc w:val="center"/>
        </w:trPr>
        <w:tc>
          <w:tcPr>
            <w:tcW w:w="992" w:type="pct"/>
            <w:gridSpan w:val="3"/>
            <w:tcBorders>
              <w:top w:val="single" w:color="auto" w:sz="4" w:space="0"/>
              <w:left w:val="single" w:color="auto" w:sz="4" w:space="0"/>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项目预期目标</w:t>
            </w:r>
          </w:p>
        </w:tc>
        <w:tc>
          <w:tcPr>
            <w:tcW w:w="4007" w:type="pct"/>
            <w:gridSpan w:val="12"/>
            <w:tcBorders>
              <w:top w:val="single" w:color="auto" w:sz="4" w:space="0"/>
              <w:left w:val="nil"/>
              <w:bottom w:val="single" w:color="auto" w:sz="4" w:space="0"/>
              <w:right w:val="single" w:color="000000"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在岗西部计划志愿者社会保障水平有所改善</w:t>
            </w:r>
          </w:p>
        </w:tc>
      </w:tr>
      <w:tr>
        <w:tblPrEx>
          <w:tblCellMar>
            <w:top w:w="0" w:type="dxa"/>
            <w:left w:w="108" w:type="dxa"/>
            <w:bottom w:w="0" w:type="dxa"/>
            <w:right w:w="108" w:type="dxa"/>
          </w:tblCellMar>
        </w:tblPrEx>
        <w:trPr>
          <w:trHeight w:val="276"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项目产出成果</w:t>
            </w:r>
          </w:p>
        </w:tc>
        <w:tc>
          <w:tcPr>
            <w:tcW w:w="4325" w:type="pct"/>
            <w:gridSpan w:val="1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ind w:firstLine="360" w:firstLineChars="20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w:t>
            </w:r>
            <w:r>
              <w:rPr>
                <w:rFonts w:hint="eastAsia" w:asciiTheme="minorEastAsia" w:hAnsiTheme="minorEastAsia" w:eastAsiaTheme="minorEastAsia" w:cstheme="minorEastAsia"/>
                <w:kern w:val="0"/>
                <w:sz w:val="18"/>
                <w:szCs w:val="18"/>
                <w:lang w:val="en-US" w:eastAsia="zh-CN"/>
              </w:rPr>
              <w:t>20</w:t>
            </w:r>
            <w:r>
              <w:rPr>
                <w:rFonts w:hint="eastAsia" w:asciiTheme="minorEastAsia" w:hAnsiTheme="minorEastAsia" w:eastAsiaTheme="minorEastAsia" w:cstheme="minorEastAsia"/>
                <w:kern w:val="0"/>
                <w:sz w:val="18"/>
                <w:szCs w:val="18"/>
              </w:rPr>
              <w:t>年，地区团委西部计划项目办按照全国、自治区项目办的统一部署，认真做好西部计划志愿者</w:t>
            </w:r>
            <w:r>
              <w:rPr>
                <w:rFonts w:hint="eastAsia" w:asciiTheme="minorEastAsia" w:hAnsiTheme="minorEastAsia" w:eastAsiaTheme="minorEastAsia" w:cstheme="minorEastAsia"/>
                <w:kern w:val="0"/>
                <w:sz w:val="18"/>
                <w:szCs w:val="18"/>
                <w:lang w:val="en-US" w:eastAsia="zh-CN"/>
              </w:rPr>
              <w:t>生活补助发放、</w:t>
            </w:r>
            <w:r>
              <w:rPr>
                <w:rFonts w:hint="eastAsia" w:asciiTheme="minorEastAsia" w:hAnsiTheme="minorEastAsia" w:eastAsiaTheme="minorEastAsia" w:cstheme="minorEastAsia"/>
                <w:kern w:val="0"/>
                <w:sz w:val="18"/>
                <w:szCs w:val="18"/>
              </w:rPr>
              <w:t>社保缴费工作。按照志愿者每月在岗情况，及时为志愿者</w:t>
            </w:r>
            <w:r>
              <w:rPr>
                <w:rFonts w:hint="eastAsia" w:asciiTheme="minorEastAsia" w:hAnsiTheme="minorEastAsia" w:eastAsiaTheme="minorEastAsia" w:cstheme="minorEastAsia"/>
                <w:kern w:val="0"/>
                <w:sz w:val="18"/>
                <w:szCs w:val="18"/>
                <w:lang w:val="en-US" w:eastAsia="zh-CN"/>
              </w:rPr>
              <w:t>发放生活补贴、</w:t>
            </w:r>
            <w:r>
              <w:rPr>
                <w:rFonts w:hint="eastAsia" w:asciiTheme="minorEastAsia" w:hAnsiTheme="minorEastAsia" w:eastAsiaTheme="minorEastAsia" w:cstheme="minorEastAsia"/>
                <w:kern w:val="0"/>
                <w:sz w:val="18"/>
                <w:szCs w:val="18"/>
              </w:rPr>
              <w:t>缴纳基本养老、基本医疗费用</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0"/>
                <w:sz w:val="18"/>
                <w:szCs w:val="18"/>
                <w:lang w:val="en-US" w:eastAsia="zh-CN"/>
              </w:rPr>
              <w:t>组织志愿者例会等活动</w:t>
            </w:r>
            <w:r>
              <w:rPr>
                <w:rFonts w:hint="eastAsia" w:asciiTheme="minorEastAsia" w:hAnsiTheme="minorEastAsia" w:eastAsiaTheme="minorEastAsia" w:cstheme="minorEastAsia"/>
                <w:kern w:val="0"/>
                <w:sz w:val="18"/>
                <w:szCs w:val="18"/>
              </w:rPr>
              <w:t>，通过规范管理、及时缴纳、足额缴纳，营造良好的服务环境，解决广大志愿者后顾之忧，确保志愿者安心在志愿服务岗位工作，更好适应志愿服务生活，进而扎根新疆基层。</w:t>
            </w:r>
          </w:p>
        </w:tc>
      </w:tr>
      <w:tr>
        <w:tblPrEx>
          <w:tblCellMar>
            <w:top w:w="0" w:type="dxa"/>
            <w:left w:w="108" w:type="dxa"/>
            <w:bottom w:w="0" w:type="dxa"/>
            <w:right w:w="108" w:type="dxa"/>
          </w:tblCellMar>
        </w:tblPrEx>
        <w:trPr>
          <w:trHeight w:val="276"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项目产出效益</w:t>
            </w:r>
          </w:p>
        </w:tc>
        <w:tc>
          <w:tcPr>
            <w:tcW w:w="4325" w:type="pct"/>
            <w:gridSpan w:val="1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ind w:firstLine="360" w:firstLineChars="20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大学生西部计划志愿者的到来，有序促进了中东部毕业生向新疆流动，为新疆，特别是新疆基层充实了工作力量，优化了基层干部队伍结构。广大志愿者服务在农业科技、精准扶贫、基层教育等一线岗位，在志愿服务过程中也得到了充分的锻炼成长。西部计划项目得到服务地党政及群众的高度肯定，得到了志愿者选派省份及高校的充分认可。</w:t>
            </w:r>
          </w:p>
        </w:tc>
      </w:tr>
      <w:tr>
        <w:tblPrEx>
          <w:tblCellMar>
            <w:top w:w="0" w:type="dxa"/>
            <w:left w:w="108" w:type="dxa"/>
            <w:bottom w:w="0" w:type="dxa"/>
            <w:right w:w="108" w:type="dxa"/>
          </w:tblCellMar>
        </w:tblPrEx>
        <w:trPr>
          <w:trHeight w:val="276"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需要说明的问题</w:t>
            </w:r>
          </w:p>
        </w:tc>
        <w:tc>
          <w:tcPr>
            <w:tcW w:w="4325" w:type="pct"/>
            <w:gridSpan w:val="1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因为大学生西部计划志愿者根据服务协议要求，志愿者本人可以根据自身就业情况，随时结束服务期，社保缴费也随之停止。每年7月底根据高校毕业生毕业情况，又将大量招录新志愿者，人数增加，缴费金额增加，所以年初预算时缴费人次与年终决算时缴费人次变化较大</w:t>
            </w:r>
            <w:r>
              <w:rPr>
                <w:rFonts w:hint="eastAsia" w:asciiTheme="minorEastAsia" w:hAnsiTheme="minorEastAsia" w:eastAsiaTheme="minorEastAsia" w:cstheme="minorEastAsia"/>
                <w:kern w:val="0"/>
                <w:sz w:val="18"/>
                <w:szCs w:val="18"/>
                <w:lang w:eastAsia="zh-CN"/>
              </w:rPr>
              <w:t>、</w:t>
            </w:r>
            <w:r>
              <w:rPr>
                <w:rFonts w:hint="eastAsia" w:asciiTheme="minorEastAsia" w:hAnsiTheme="minorEastAsia" w:eastAsiaTheme="minorEastAsia" w:cstheme="minorEastAsia"/>
                <w:kern w:val="0"/>
                <w:sz w:val="18"/>
                <w:szCs w:val="18"/>
                <w:lang w:val="en-US" w:eastAsia="zh-CN"/>
              </w:rPr>
              <w:t>生活补助、</w:t>
            </w:r>
            <w:r>
              <w:rPr>
                <w:rFonts w:hint="eastAsia" w:asciiTheme="minorEastAsia" w:hAnsiTheme="minorEastAsia" w:eastAsiaTheme="minorEastAsia" w:cstheme="minorEastAsia"/>
                <w:kern w:val="0"/>
                <w:sz w:val="18"/>
                <w:szCs w:val="18"/>
              </w:rPr>
              <w:t>社保补助资金存在剩余或申请追加情况。</w:t>
            </w: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968" w:hRule="atLeast"/>
          <w:jc w:val="center"/>
        </w:trPr>
        <w:tc>
          <w:tcPr>
            <w:tcW w:w="674" w:type="pct"/>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自评结论</w:t>
            </w:r>
          </w:p>
        </w:tc>
        <w:tc>
          <w:tcPr>
            <w:tcW w:w="4325" w:type="pct"/>
            <w:gridSpan w:val="14"/>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项目运行规范有序，资金使用范围合理，项目产出效益突出</w:t>
            </w: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p>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p>
        </w:tc>
      </w:tr>
      <w:tr>
        <w:tblPrEx>
          <w:tblCellMar>
            <w:top w:w="0" w:type="dxa"/>
            <w:left w:w="108" w:type="dxa"/>
            <w:bottom w:w="0" w:type="dxa"/>
            <w:right w:w="108" w:type="dxa"/>
          </w:tblCellMar>
        </w:tblPrEx>
        <w:trPr>
          <w:trHeight w:val="1113" w:hRule="atLeast"/>
          <w:jc w:val="center"/>
        </w:trPr>
        <w:tc>
          <w:tcPr>
            <w:tcW w:w="674" w:type="pct"/>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问题与建议</w:t>
            </w:r>
          </w:p>
        </w:tc>
        <w:tc>
          <w:tcPr>
            <w:tcW w:w="4325" w:type="pct"/>
            <w:gridSpan w:val="14"/>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无</w:t>
            </w:r>
          </w:p>
        </w:tc>
      </w:tr>
      <w:tr>
        <w:tblPrEx>
          <w:tblCellMar>
            <w:top w:w="0" w:type="dxa"/>
            <w:left w:w="108" w:type="dxa"/>
            <w:bottom w:w="0" w:type="dxa"/>
            <w:right w:w="108" w:type="dxa"/>
          </w:tblCellMar>
        </w:tblPrEx>
        <w:trPr>
          <w:trHeight w:val="276" w:hRule="atLeast"/>
          <w:jc w:val="center"/>
        </w:trPr>
        <w:tc>
          <w:tcPr>
            <w:tcW w:w="1665" w:type="pct"/>
            <w:gridSpan w:val="6"/>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单位负责人：张蟒</w:t>
            </w:r>
          </w:p>
        </w:tc>
        <w:tc>
          <w:tcPr>
            <w:tcW w:w="1073" w:type="pct"/>
            <w:gridSpan w:val="3"/>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项目负责人：</w:t>
            </w:r>
            <w:r>
              <w:rPr>
                <w:rFonts w:hint="eastAsia" w:asciiTheme="minorEastAsia" w:hAnsiTheme="minorEastAsia" w:eastAsiaTheme="minorEastAsia" w:cstheme="minorEastAsia"/>
                <w:sz w:val="18"/>
                <w:szCs w:val="18"/>
              </w:rPr>
              <w:t>徐慧</w:t>
            </w:r>
          </w:p>
        </w:tc>
        <w:tc>
          <w:tcPr>
            <w:tcW w:w="1249" w:type="pct"/>
            <w:gridSpan w:val="4"/>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jc w:val="center"/>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kern w:val="0"/>
                <w:sz w:val="18"/>
                <w:szCs w:val="18"/>
              </w:rPr>
              <w:t>填报人：</w:t>
            </w:r>
            <w:r>
              <w:rPr>
                <w:rFonts w:hint="eastAsia" w:asciiTheme="minorEastAsia" w:hAnsiTheme="minorEastAsia" w:eastAsiaTheme="minorEastAsia" w:cstheme="minorEastAsia"/>
                <w:kern w:val="0"/>
                <w:sz w:val="18"/>
                <w:szCs w:val="18"/>
                <w:lang w:val="en-US" w:eastAsia="zh-CN"/>
              </w:rPr>
              <w:t>李阳</w:t>
            </w:r>
          </w:p>
        </w:tc>
        <w:tc>
          <w:tcPr>
            <w:tcW w:w="1012" w:type="pct"/>
            <w:gridSpan w:val="2"/>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atLeas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联系电话：0901-6268652</w:t>
            </w:r>
          </w:p>
        </w:tc>
      </w:tr>
    </w:tbl>
    <w:p>
      <w:pPr>
        <w:pStyle w:val="3"/>
        <w:pageBreakBefore w:val="0"/>
        <w:kinsoku/>
        <w:wordWrap/>
        <w:overflowPunct/>
        <w:topLinePunct w:val="0"/>
        <w:autoSpaceDE/>
        <w:autoSpaceDN/>
        <w:bidi w:val="0"/>
        <w:adjustRightInd/>
        <w:snapToGrid/>
        <w:spacing w:before="0" w:after="0" w:line="560" w:lineRule="atLeast"/>
        <w:rPr>
          <w:rFonts w:ascii="方正仿宋_GBK" w:hAnsi="黑体" w:eastAsia="方正仿宋_GBK"/>
          <w:sz w:val="32"/>
          <w:szCs w:val="32"/>
        </w:rPr>
        <w:sectPr>
          <w:headerReference r:id="rId9" w:type="default"/>
          <w:footerReference r:id="rId10" w:type="default"/>
          <w:pgSz w:w="11906" w:h="16838"/>
          <w:pgMar w:top="1440" w:right="1800" w:bottom="1440" w:left="1800" w:header="851" w:footer="992" w:gutter="0"/>
          <w:cols w:space="425" w:num="1"/>
          <w:docGrid w:type="lines" w:linePitch="312" w:charSpace="0"/>
        </w:sectPr>
      </w:pPr>
      <w:bookmarkStart w:id="39" w:name="_Toc20352"/>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附件4：满意度问卷报告</w:t>
      </w:r>
      <w:bookmarkEnd w:id="35"/>
      <w:bookmarkEnd w:id="36"/>
      <w:bookmarkEnd w:id="37"/>
      <w:bookmarkEnd w:id="38"/>
      <w:bookmarkEnd w:id="39"/>
    </w:p>
    <w:p>
      <w:pPr>
        <w:pageBreakBefore w:val="0"/>
        <w:kinsoku/>
        <w:wordWrap/>
        <w:overflowPunct/>
        <w:topLinePunct w:val="0"/>
        <w:autoSpaceDE/>
        <w:autoSpaceDN/>
        <w:bidi w:val="0"/>
        <w:adjustRightInd/>
        <w:snapToGrid/>
        <w:spacing w:line="560" w:lineRule="atLeast"/>
        <w:jc w:val="center"/>
        <w:rPr>
          <w:rFonts w:hint="eastAsia" w:ascii="宋体" w:hAnsi="宋体" w:eastAsia="宋体" w:cs="宋体"/>
          <w:b/>
          <w:bCs w:val="0"/>
          <w:sz w:val="32"/>
          <w:szCs w:val="32"/>
        </w:rPr>
      </w:pPr>
      <w:r>
        <w:rPr>
          <w:rFonts w:hint="eastAsia" w:ascii="宋体" w:hAnsi="宋体" w:eastAsia="宋体" w:cs="宋体"/>
          <w:b/>
          <w:bCs w:val="0"/>
          <w:sz w:val="32"/>
          <w:szCs w:val="32"/>
        </w:rPr>
        <w:t>西部计划志愿者社保补助项目</w:t>
      </w:r>
    </w:p>
    <w:p>
      <w:pPr>
        <w:pageBreakBefore w:val="0"/>
        <w:kinsoku/>
        <w:wordWrap/>
        <w:overflowPunct/>
        <w:topLinePunct w:val="0"/>
        <w:autoSpaceDE/>
        <w:autoSpaceDN/>
        <w:bidi w:val="0"/>
        <w:adjustRightInd/>
        <w:snapToGrid/>
        <w:spacing w:line="560" w:lineRule="atLeast"/>
        <w:jc w:val="center"/>
        <w:rPr>
          <w:rFonts w:hint="eastAsia" w:ascii="宋体" w:hAnsi="宋体" w:eastAsia="宋体" w:cs="宋体"/>
          <w:b/>
          <w:bCs w:val="0"/>
          <w:sz w:val="32"/>
          <w:szCs w:val="32"/>
        </w:rPr>
      </w:pPr>
      <w:r>
        <w:rPr>
          <w:rFonts w:hint="eastAsia" w:ascii="宋体" w:hAnsi="宋体" w:eastAsia="宋体" w:cs="宋体"/>
          <w:b/>
          <w:bCs w:val="0"/>
          <w:sz w:val="32"/>
          <w:szCs w:val="32"/>
        </w:rPr>
        <w:t>满意度问卷调查报告</w:t>
      </w: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大学生志愿服务西部计划，自2003年实施以来，在广大青年中产生了较强示范性和影响力，一批批青年学生踊跃报名西部计划，投身西部地区基层工作，在全社会尤其是青年中唱响了到西部去，到基层去，到祖国和人民最需要的地方去建功立业的时代旋律。</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本次调研旨在通过调查问卷的发放，客观评价西部计划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的社会效果，依据财政支出绩效评价“为顾客服务”的原理，为了解志愿者对西部计划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工作的评价情况，对项目开展问卷调查。</w:t>
      </w:r>
    </w:p>
    <w:p>
      <w:pPr>
        <w:pageBreakBefore w:val="0"/>
        <w:kinsoku/>
        <w:wordWrap/>
        <w:overflowPunct/>
        <w:topLinePunct w:val="0"/>
        <w:autoSpaceDE/>
        <w:autoSpaceDN/>
        <w:bidi w:val="0"/>
        <w:adjustRightInd/>
        <w:snapToGrid/>
        <w:spacing w:line="560" w:lineRule="atLeas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一、调查对象</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本项目受益者为大学生西部计划志愿者，故项目调查对象为已接受培训并签订志愿服务协议在岗的西部计划志愿者。</w:t>
      </w:r>
    </w:p>
    <w:p>
      <w:pPr>
        <w:pageBreakBefore w:val="0"/>
        <w:kinsoku/>
        <w:wordWrap/>
        <w:overflowPunct/>
        <w:topLinePunct w:val="0"/>
        <w:autoSpaceDE/>
        <w:autoSpaceDN/>
        <w:bidi w:val="0"/>
        <w:adjustRightInd/>
        <w:snapToGrid/>
        <w:spacing w:line="560" w:lineRule="atLeas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二、调查内容</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（一）调查对象对西部计划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的评价，包括“满意”“基本满意”“不满意”3个选项。</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（二）调查对象对西部计划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工作的意见和建议。</w:t>
      </w:r>
    </w:p>
    <w:p>
      <w:pPr>
        <w:pageBreakBefore w:val="0"/>
        <w:kinsoku/>
        <w:wordWrap/>
        <w:overflowPunct/>
        <w:topLinePunct w:val="0"/>
        <w:autoSpaceDE/>
        <w:autoSpaceDN/>
        <w:bidi w:val="0"/>
        <w:adjustRightInd/>
        <w:snapToGrid/>
        <w:spacing w:line="560" w:lineRule="atLeas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三、调查方法和抽样方式</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调研方法：针对目前在塔城地区本级服务的志愿者开展调查问卷，具体问卷见附件，在全面调查开展之前先通过与项目管理办公室主任及部分志愿者访谈、初步填写问卷的形式进行论证，依据论证结果及提出的建议对问卷方案进行修改调整。</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（二）抽样方式：对实际在岗志愿者进行面对面发放调查问卷形式开展调查。</w:t>
      </w:r>
    </w:p>
    <w:p>
      <w:pPr>
        <w:pageBreakBefore w:val="0"/>
        <w:kinsoku/>
        <w:wordWrap/>
        <w:overflowPunct/>
        <w:topLinePunct w:val="0"/>
        <w:autoSpaceDE/>
        <w:autoSpaceDN/>
        <w:bidi w:val="0"/>
        <w:adjustRightInd/>
        <w:snapToGrid/>
        <w:spacing w:line="560" w:lineRule="atLeas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四、问卷的发放和回收</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为给调研对象创造良好的作答环境、保证调研的科学性和严谨性，由财务室设计调查问卷，在志愿者工作例会上，组织安排问卷调查工作。</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根据项目进度安排，项目组于20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 xml:space="preserve">日，对项目进行问卷的发放与回收。本次共对志愿者发放问卷25份，实际回收有效问卷25份，有效回收率100%。 </w:t>
      </w:r>
    </w:p>
    <w:p>
      <w:pPr>
        <w:pageBreakBefore w:val="0"/>
        <w:kinsoku/>
        <w:wordWrap/>
        <w:overflowPunct/>
        <w:topLinePunct w:val="0"/>
        <w:autoSpaceDE/>
        <w:autoSpaceDN/>
        <w:bidi w:val="0"/>
        <w:adjustRightInd/>
        <w:snapToGrid/>
        <w:spacing w:line="560" w:lineRule="atLeast"/>
        <w:ind w:firstLine="643" w:firstLineChars="200"/>
        <w:jc w:val="left"/>
        <w:rPr>
          <w:rFonts w:hint="eastAsia" w:ascii="楷体" w:hAnsi="楷体" w:eastAsia="楷体" w:cs="楷体"/>
          <w:b/>
          <w:bCs/>
          <w:sz w:val="32"/>
          <w:szCs w:val="32"/>
        </w:rPr>
      </w:pPr>
      <w:r>
        <w:rPr>
          <w:rFonts w:hint="eastAsia" w:ascii="楷体" w:hAnsi="楷体" w:eastAsia="楷体" w:cs="楷体"/>
          <w:b/>
          <w:bCs/>
          <w:sz w:val="32"/>
          <w:szCs w:val="32"/>
        </w:rPr>
        <w:t>五、问卷调查结果分析</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本次调查问卷包含调查对象对西部计划志愿者社保补助项目的评价、调查对象对西部计划志愿者社保补助项目工作的意见和建议2个部分内容。</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（一）调查对象对西部计划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的评价分析</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1、“满意”选项，汇总调查结果，所参加人员均选择“满意”选项，满意率达到100%。</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2、“基本满意”选项，汇总调查结果，所参加人员0人选择“基本满意”选项，基本满意率达到0%。</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3、“不满意”选项，汇总调查结果，所参加人员0人选择“不满意”选项，不满意率达到0%。</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（二）调查对象对西部计划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工作的意见和建议。</w:t>
      </w:r>
    </w:p>
    <w:p>
      <w:pPr>
        <w:pageBreakBefore w:val="0"/>
        <w:kinsoku/>
        <w:wordWrap/>
        <w:overflowPunct/>
        <w:topLinePunct w:val="0"/>
        <w:autoSpaceDE/>
        <w:autoSpaceDN/>
        <w:bidi w:val="0"/>
        <w:adjustRightInd/>
        <w:snapToGrid/>
        <w:spacing w:line="56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汇总调查结果，所参加人员均认为西部计划</w:t>
      </w:r>
      <w:r>
        <w:rPr>
          <w:rFonts w:hint="eastAsia" w:ascii="仿宋_GB2312" w:hAnsi="仿宋_GB2312" w:eastAsia="仿宋_GB2312" w:cs="仿宋_GB2312"/>
          <w:sz w:val="32"/>
          <w:szCs w:val="32"/>
          <w:lang w:val="en-US" w:eastAsia="zh-CN"/>
        </w:rPr>
        <w:t>项目办管理工作、志愿者社会保险、生活补贴项目</w:t>
      </w:r>
      <w:r>
        <w:rPr>
          <w:rFonts w:hint="eastAsia" w:ascii="仿宋_GB2312" w:hAnsi="仿宋_GB2312" w:eastAsia="仿宋_GB2312" w:cs="仿宋_GB2312"/>
          <w:sz w:val="32"/>
          <w:szCs w:val="32"/>
        </w:rPr>
        <w:t>保障了在岗志愿者的权益，解决了志愿者的后顾之忧，使志愿者可以安心在服务岗位开展工作。所参加人员无意见建议。</w:t>
      </w: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bookmarkStart w:id="40" w:name="_Toc30152862"/>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rPr>
          <w:rFonts w:ascii="方正仿宋_GBK" w:eastAsia="方正仿宋_GBK"/>
          <w:sz w:val="32"/>
          <w:szCs w:val="32"/>
        </w:rPr>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bookmarkStart w:id="41" w:name="_Toc8036"/>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p>
    <w:p>
      <w:pPr>
        <w:pageBreakBefore w:val="0"/>
        <w:kinsoku/>
        <w:wordWrap/>
        <w:overflowPunct/>
        <w:topLinePunct w:val="0"/>
        <w:autoSpaceDE/>
        <w:autoSpaceDN/>
        <w:bidi w:val="0"/>
        <w:adjustRightInd/>
        <w:snapToGrid/>
        <w:spacing w:line="560" w:lineRule="atLeas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附件4-1满意度调查问卷</w:t>
      </w:r>
      <w:bookmarkEnd w:id="40"/>
      <w:bookmarkEnd w:id="41"/>
    </w:p>
    <w:p>
      <w:pPr>
        <w:pageBreakBefore w:val="0"/>
        <w:kinsoku/>
        <w:wordWrap/>
        <w:overflowPunct/>
        <w:topLinePunct w:val="0"/>
        <w:autoSpaceDE/>
        <w:autoSpaceDN/>
        <w:bidi w:val="0"/>
        <w:adjustRightInd/>
        <w:snapToGrid/>
        <w:spacing w:line="560" w:lineRule="atLeast"/>
        <w:jc w:val="center"/>
        <w:rPr>
          <w:rFonts w:hint="eastAsia" w:ascii="宋体" w:hAnsi="宋体" w:eastAsia="宋体" w:cs="宋体"/>
          <w:b/>
          <w:bCs/>
          <w:sz w:val="36"/>
          <w:szCs w:val="36"/>
        </w:rPr>
      </w:pPr>
      <w:r>
        <w:rPr>
          <w:rFonts w:hint="eastAsia" w:ascii="宋体" w:hAnsi="宋体" w:eastAsia="宋体" w:cs="宋体"/>
          <w:b/>
          <w:bCs/>
          <w:sz w:val="36"/>
          <w:szCs w:val="36"/>
        </w:rPr>
        <w:t>西部计划</w:t>
      </w:r>
      <w:r>
        <w:rPr>
          <w:rFonts w:hint="eastAsia" w:ascii="宋体" w:hAnsi="宋体" w:eastAsia="宋体" w:cs="宋体"/>
          <w:b/>
          <w:bCs/>
          <w:sz w:val="36"/>
          <w:szCs w:val="36"/>
          <w:lang w:val="en-US" w:eastAsia="zh-CN"/>
        </w:rPr>
        <w:t>项目办管理工作、志愿者社会保险、生活补贴项目</w:t>
      </w:r>
      <w:r>
        <w:rPr>
          <w:rFonts w:hint="eastAsia" w:ascii="宋体" w:hAnsi="宋体" w:eastAsia="宋体" w:cs="宋体"/>
          <w:b/>
          <w:bCs/>
          <w:sz w:val="36"/>
          <w:szCs w:val="36"/>
        </w:rPr>
        <w:t>调查问卷</w:t>
      </w:r>
    </w:p>
    <w:p>
      <w:pPr>
        <w:pageBreakBefore w:val="0"/>
        <w:kinsoku/>
        <w:wordWrap/>
        <w:overflowPunct/>
        <w:topLinePunct w:val="0"/>
        <w:autoSpaceDE/>
        <w:autoSpaceDN/>
        <w:bidi w:val="0"/>
        <w:adjustRightInd/>
        <w:snapToGrid/>
        <w:spacing w:line="560" w:lineRule="atLeast"/>
        <w:jc w:val="center"/>
        <w:rPr>
          <w:rFonts w:ascii="方正小标宋_GBK" w:eastAsia="方正小标宋_GBK"/>
          <w:sz w:val="32"/>
          <w:szCs w:val="32"/>
        </w:rPr>
      </w:pPr>
    </w:p>
    <w:p>
      <w:pPr>
        <w:pageBreakBefore w:val="0"/>
        <w:kinsoku/>
        <w:wordWrap/>
        <w:overflowPunct/>
        <w:topLinePunct w:val="0"/>
        <w:autoSpaceDE/>
        <w:autoSpaceDN/>
        <w:bidi w:val="0"/>
        <w:adjustRightInd/>
        <w:snapToGrid/>
        <w:spacing w:line="560" w:lineRule="atLeast"/>
        <w:jc w:val="center"/>
        <w:rPr>
          <w:rFonts w:ascii="方正小标宋_GBK" w:eastAsia="方正小标宋_GBK"/>
          <w:sz w:val="32"/>
          <w:szCs w:val="32"/>
        </w:rPr>
      </w:pPr>
    </w:p>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一、您对西部计划</w:t>
      </w:r>
      <w:r>
        <w:rPr>
          <w:rFonts w:hint="eastAsia" w:ascii="仿宋" w:hAnsi="仿宋" w:eastAsia="仿宋" w:cs="仿宋"/>
          <w:sz w:val="32"/>
          <w:szCs w:val="32"/>
          <w:lang w:val="en-US" w:eastAsia="zh-CN"/>
        </w:rPr>
        <w:t>项目办管理工作、志愿者社会保险、生活补贴项目</w:t>
      </w:r>
      <w:r>
        <w:rPr>
          <w:rFonts w:hint="eastAsia" w:ascii="仿宋" w:hAnsi="仿宋" w:eastAsia="仿宋" w:cs="仿宋"/>
          <w:sz w:val="32"/>
          <w:szCs w:val="32"/>
        </w:rPr>
        <w:t>的评价</w:t>
      </w:r>
    </w:p>
    <w:tbl>
      <w:tblPr>
        <w:tblStyle w:val="23"/>
        <w:tblpPr w:leftFromText="180" w:rightFromText="180" w:vertAnchor="text" w:horzAnchor="page" w:tblpX="1830" w:tblpY="76"/>
        <w:tblOverlap w:val="never"/>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1"/>
        <w:gridCol w:w="2871"/>
        <w:gridCol w:w="2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7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满意</w:t>
            </w:r>
          </w:p>
        </w:tc>
        <w:tc>
          <w:tcPr>
            <w:tcW w:w="287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基本满意</w:t>
            </w:r>
          </w:p>
        </w:tc>
        <w:tc>
          <w:tcPr>
            <w:tcW w:w="2871" w:type="dxa"/>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不满意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871"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p>
        </w:tc>
        <w:tc>
          <w:tcPr>
            <w:tcW w:w="2871"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p>
        </w:tc>
        <w:tc>
          <w:tcPr>
            <w:tcW w:w="2871" w:type="dxa"/>
            <w:tcBorders>
              <w:top w:val="single" w:color="auto" w:sz="4" w:space="0"/>
              <w:left w:val="single" w:color="auto" w:sz="4" w:space="0"/>
              <w:bottom w:val="single" w:color="auto" w:sz="4" w:space="0"/>
              <w:right w:val="single" w:color="auto" w:sz="4" w:space="0"/>
            </w:tcBorders>
          </w:tcPr>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p>
        </w:tc>
      </w:tr>
    </w:tbl>
    <w:p>
      <w:pPr>
        <w:pageBreakBefore w:val="0"/>
        <w:tabs>
          <w:tab w:val="left" w:pos="2694"/>
        </w:tabs>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p>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二、您认为西部计划</w:t>
      </w:r>
      <w:r>
        <w:rPr>
          <w:rFonts w:hint="eastAsia" w:ascii="仿宋" w:hAnsi="仿宋" w:eastAsia="仿宋" w:cs="仿宋"/>
          <w:sz w:val="32"/>
          <w:szCs w:val="32"/>
          <w:lang w:val="en-US" w:eastAsia="zh-CN"/>
        </w:rPr>
        <w:t>项目办管理工作、志愿者社会保险、生活补贴项目</w:t>
      </w:r>
      <w:r>
        <w:rPr>
          <w:rFonts w:hint="eastAsia" w:ascii="仿宋" w:hAnsi="仿宋" w:eastAsia="仿宋" w:cs="仿宋"/>
          <w:sz w:val="32"/>
          <w:szCs w:val="32"/>
        </w:rPr>
        <w:t>工作还存在那些问题，您还有哪些建议或意见？</w:t>
      </w: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jc w:val="right"/>
        <w:rPr>
          <w:rFonts w:hint="eastAsia" w:ascii="仿宋" w:hAnsi="仿宋" w:eastAsia="仿宋" w:cs="仿宋"/>
          <w:b/>
          <w:bCs/>
          <w:sz w:val="24"/>
        </w:rPr>
      </w:pPr>
    </w:p>
    <w:p>
      <w:pPr>
        <w:pStyle w:val="2"/>
        <w:pageBreakBefore w:val="0"/>
        <w:kinsoku/>
        <w:wordWrap/>
        <w:overflowPunct/>
        <w:topLinePunct w:val="0"/>
        <w:autoSpaceDE/>
        <w:autoSpaceDN/>
        <w:bidi w:val="0"/>
        <w:adjustRightInd/>
        <w:snapToGrid/>
        <w:spacing w:before="0" w:after="0" w:line="560" w:lineRule="atLeast"/>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rPr>
          <w:rFonts w:hint="eastAsia"/>
        </w:rPr>
      </w:pPr>
    </w:p>
    <w:p>
      <w:pPr>
        <w:pageBreakBefore w:val="0"/>
        <w:kinsoku/>
        <w:wordWrap/>
        <w:overflowPunct/>
        <w:topLinePunct w:val="0"/>
        <w:autoSpaceDE/>
        <w:autoSpaceDN/>
        <w:bidi w:val="0"/>
        <w:adjustRightInd/>
        <w:snapToGrid/>
        <w:spacing w:line="560" w:lineRule="atLeast"/>
        <w:jc w:val="both"/>
        <w:rPr>
          <w:rFonts w:hint="eastAsia" w:ascii="仿宋" w:hAnsi="仿宋" w:eastAsia="仿宋" w:cs="仿宋"/>
          <w:b/>
          <w:bCs/>
          <w:sz w:val="24"/>
        </w:rPr>
      </w:pPr>
    </w:p>
    <w:p>
      <w:pPr>
        <w:pageBreakBefore w:val="0"/>
        <w:kinsoku/>
        <w:wordWrap/>
        <w:overflowPunct/>
        <w:topLinePunct w:val="0"/>
        <w:autoSpaceDE/>
        <w:autoSpaceDN/>
        <w:bidi w:val="0"/>
        <w:adjustRightInd/>
        <w:snapToGrid/>
        <w:spacing w:line="56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&lt;再次感谢您的参与!&gt;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64015"/>
    </w:sdtPr>
    <w:sdtContent>
      <w:p>
        <w:pPr>
          <w:pStyle w:val="15"/>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-1905</wp:posOffset>
                  </wp:positionV>
                  <wp:extent cx="5257800" cy="0"/>
                  <wp:effectExtent l="0" t="0" r="0" b="0"/>
                  <wp:wrapNone/>
                  <wp:docPr id="2" name="自选图形 1025"/>
                  <wp:cNvGraphicFramePr/>
                  <a:graphic xmlns:a="http://schemas.openxmlformats.org/drawingml/2006/main">
                    <a:graphicData uri="http://schemas.microsoft.com/office/word/2010/wordprocessingShape">
                      <wps:wsp>
                        <wps:cNvCnPr/>
                        <wps:spPr>
                          <a:xfrm>
                            <a:off x="0" y="0"/>
                            <a:ext cx="525780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1025" o:spid="_x0000_s1026" o:spt="32" type="#_x0000_t32" style="position:absolute;left:0pt;margin-left:0pt;margin-top:-0.15pt;height:0pt;width:414pt;z-index:251659264;mso-width-relative:page;mso-height-relative:page;" filled="f" stroked="t" coordsize="21600,21600" o:gfxdata="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FMWyYPTAAAABAEAAA8AAAAAAAAAAQAgAAAAIgAAAGRycy9kb3ducmV2LnhtbFBL&#10;AQIUABQAAAAIAIdO4kDFVyIm+wEAAPQDAAAOAAAAAAAAAAEAIAAAACIBAABkcnMvZTJvRG9jLnht&#10;bFBLBQYAAAAABgAGAFkBAACPBQAAAAA=&#10;">
                  <v:fill on="f" focussize="0,0"/>
                  <v:stroke color="#000000" joinstyle="round"/>
                  <v:imagedata o:title=""/>
                  <o:lock v:ext="edit" aspectratio="f"/>
                </v:shape>
              </w:pict>
            </mc:Fallback>
          </mc:AlternateContent>
        </w:r>
        <w:r>
          <w:fldChar w:fldCharType="begin"/>
        </w:r>
        <w:r>
          <w:instrText xml:space="preserve"> PAGE   \* MERGEFORMAT </w:instrText>
        </w:r>
        <w:r>
          <w:fldChar w:fldCharType="separate"/>
        </w:r>
        <w:r>
          <w:rPr>
            <w:lang w:val="zh-CN"/>
          </w:rPr>
          <w:t>1</w:t>
        </w:r>
        <w:r>
          <w:rPr>
            <w:lang w:val="zh-CN"/>
          </w:rPr>
          <w:fldChar w:fldCharType="end"/>
        </w:r>
      </w:p>
    </w:sdtContent>
  </w:sdt>
  <w:p>
    <w:pPr>
      <w:pStyle w:val="1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599330"/>
    </w:sdtPr>
    <w:sdtContent>
      <w:p>
        <w:pPr>
          <w:pStyle w:val="15"/>
        </w:pPr>
        <w:r>
          <w:fldChar w:fldCharType="begin"/>
        </w:r>
        <w:r>
          <w:instrText xml:space="preserve"> PAGE   \* MERGEFORMAT </w:instrText>
        </w:r>
        <w:r>
          <w:fldChar w:fldCharType="separate"/>
        </w:r>
        <w:r>
          <w:rPr>
            <w:lang w:val="zh-CN"/>
          </w:rPr>
          <w:t>11</w:t>
        </w:r>
        <w:r>
          <w:rPr>
            <w:lang w:val="zh-CN"/>
          </w:rPr>
          <w:fldChar w:fldCharType="end"/>
        </w:r>
      </w:p>
    </w:sdtContent>
  </w:sdt>
  <w:p>
    <w:pPr>
      <w:pStyle w:val="15"/>
      <w:jc w:val="right"/>
    </w:pP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143510</wp:posOffset>
              </wp:positionV>
              <wp:extent cx="8886825" cy="28575"/>
              <wp:effectExtent l="0" t="0" r="0" b="0"/>
              <wp:wrapNone/>
              <wp:docPr id="4" name="自选图形 1026"/>
              <wp:cNvGraphicFramePr/>
              <a:graphic xmlns:a="http://schemas.openxmlformats.org/drawingml/2006/main">
                <a:graphicData uri="http://schemas.microsoft.com/office/word/2010/wordprocessingShape">
                  <wps:wsp>
                    <wps:cNvCnPr/>
                    <wps:spPr>
                      <a:xfrm>
                        <a:off x="0" y="0"/>
                        <a:ext cx="8886825" cy="28575"/>
                      </a:xfrm>
                      <a:prstGeom prst="straightConnector1">
                        <a:avLst/>
                      </a:prstGeom>
                      <a:ln w="9525" cap="flat" cmpd="sng">
                        <a:noFill/>
                        <a:prstDash val="solid"/>
                        <a:headEnd type="none" w="med" len="med"/>
                        <a:tailEnd type="none" w="med" len="med"/>
                      </a:ln>
                      <a:effectLst/>
                    </wps:spPr>
                    <wps:bodyPr/>
                  </wps:wsp>
                </a:graphicData>
              </a:graphic>
            </wp:anchor>
          </w:drawing>
        </mc:Choice>
        <mc:Fallback>
          <w:pict>
            <v:shape id="自选图形 1026" o:spid="_x0000_s1026" o:spt="32" type="#_x0000_t32" style="position:absolute;left:0pt;margin-left:0pt;margin-top:11.3pt;height:2.25pt;width:699.75pt;z-index:251660288;mso-width-relative:page;mso-height-relative:page;" filled="f" stroked="f" coordsize="21600,21600" o:gfxdata="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Q3BXr1gAAAAcBAAAPAAAAAAAAAAEAIAAAACIAAABkcnMvZG93bnJldi54bWxQSwECFAAUAAAA&#10;CACHTuJAVLqHBvABAADPAwAADgAAAAAAAAABACAAAAAlAQAAZHJzL2Uyb0RvYy54bWxQSwUGAAAA&#10;AAYABgBZAQAAhwUAAAAA&#10;">
              <v:fill on="f" focussize="0,0"/>
              <v:stroke on="f"/>
              <v:imagedata o:title=""/>
              <o:lock v:ext="edit" aspectratio="f"/>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-30480</wp:posOffset>
              </wp:positionV>
              <wp:extent cx="5381625" cy="28575"/>
              <wp:effectExtent l="0" t="4445" r="9525" b="5080"/>
              <wp:wrapNone/>
              <wp:docPr id="6" name="自选图形 1027"/>
              <wp:cNvGraphicFramePr/>
              <a:graphic xmlns:a="http://schemas.openxmlformats.org/drawingml/2006/main">
                <a:graphicData uri="http://schemas.microsoft.com/office/word/2010/wordprocessingShape">
                  <wps:wsp>
                    <wps:cNvCnPr/>
                    <wps:spPr>
                      <a:xfrm>
                        <a:off x="0" y="0"/>
                        <a:ext cx="5381625" cy="28575"/>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自选图形 1027" o:spid="_x0000_s1026" o:spt="32" type="#_x0000_t32" style="position:absolute;left:0pt;margin-left:-2.25pt;margin-top:-2.4pt;height:2.25pt;width:423.75pt;z-index:251660288;mso-width-relative:page;mso-height-relative:page;" filled="f" stroked="t" coordsize="21600,21600" o:gfxdata="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AOZrHWAAAABwEAAA8AAAAAAAAAAQAgAAAAIgAAAGRycy9kb3ducmV2&#10;LnhtbFBLAQIUABQAAAAIAIdO4kC5E4mj/gEAAPgDAAAOAAAAAAAAAAEAIAAAACUBAABkcnMvZTJv&#10;RG9jLnhtbFBLBQYAAAAABgAGAFkBAACVBQAAAAA=&#10;">
              <v:fill on="f" focussize="0,0"/>
              <v:stroke color="#000000" joinstyle="round"/>
              <v:imagedata o:title=""/>
              <o:lock v:ext="edit" aspectratio="f"/>
            </v:shape>
          </w:pict>
        </mc:Fallback>
      </mc:AlternateContent>
    </w:r>
    <w:r>
      <w:fldChar w:fldCharType="begin"/>
    </w:r>
    <w:r>
      <w:instrText xml:space="preserve"> PAGE   \* MERGEFORMAT </w:instrText>
    </w:r>
    <w:r>
      <w:fldChar w:fldCharType="separate"/>
    </w:r>
    <w:r>
      <w:rPr>
        <w:lang w:val="zh-CN"/>
      </w:rPr>
      <w:t>23</w:t>
    </w:r>
    <w:r>
      <w:rPr>
        <w:lang w:val="zh-CN"/>
      </w:rPr>
      <w:fldChar w:fldCharType="end"/>
    </w:r>
  </w:p>
  <w:p>
    <w:pPr>
      <w:pStyle w:val="15"/>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6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7D"/>
    <w:rsid w:val="00003A4E"/>
    <w:rsid w:val="00004947"/>
    <w:rsid w:val="00006998"/>
    <w:rsid w:val="000172E4"/>
    <w:rsid w:val="000178C7"/>
    <w:rsid w:val="000339A8"/>
    <w:rsid w:val="0003684D"/>
    <w:rsid w:val="000440B3"/>
    <w:rsid w:val="00052F83"/>
    <w:rsid w:val="0006087B"/>
    <w:rsid w:val="000614C8"/>
    <w:rsid w:val="000626DA"/>
    <w:rsid w:val="00065AEE"/>
    <w:rsid w:val="00065E72"/>
    <w:rsid w:val="000667CE"/>
    <w:rsid w:val="00071214"/>
    <w:rsid w:val="000774F9"/>
    <w:rsid w:val="00091ECA"/>
    <w:rsid w:val="00094315"/>
    <w:rsid w:val="00094D2B"/>
    <w:rsid w:val="000D25EF"/>
    <w:rsid w:val="000E373F"/>
    <w:rsid w:val="000E3AD8"/>
    <w:rsid w:val="000E3C13"/>
    <w:rsid w:val="00106F38"/>
    <w:rsid w:val="00107079"/>
    <w:rsid w:val="00112A3E"/>
    <w:rsid w:val="0011442A"/>
    <w:rsid w:val="001243F9"/>
    <w:rsid w:val="00133881"/>
    <w:rsid w:val="00136799"/>
    <w:rsid w:val="00142BBA"/>
    <w:rsid w:val="00155097"/>
    <w:rsid w:val="001663FA"/>
    <w:rsid w:val="00180791"/>
    <w:rsid w:val="001816F6"/>
    <w:rsid w:val="00191767"/>
    <w:rsid w:val="001954C0"/>
    <w:rsid w:val="00197DD1"/>
    <w:rsid w:val="001A1F6C"/>
    <w:rsid w:val="001B3E82"/>
    <w:rsid w:val="001B69FE"/>
    <w:rsid w:val="001C53B2"/>
    <w:rsid w:val="001D0CC8"/>
    <w:rsid w:val="001D0DB8"/>
    <w:rsid w:val="001D2178"/>
    <w:rsid w:val="001D5B39"/>
    <w:rsid w:val="001E40DC"/>
    <w:rsid w:val="0020002E"/>
    <w:rsid w:val="00204526"/>
    <w:rsid w:val="00222432"/>
    <w:rsid w:val="0022430A"/>
    <w:rsid w:val="002441DD"/>
    <w:rsid w:val="00251DDE"/>
    <w:rsid w:val="0025223B"/>
    <w:rsid w:val="00253F2C"/>
    <w:rsid w:val="002547E0"/>
    <w:rsid w:val="00257940"/>
    <w:rsid w:val="002629AE"/>
    <w:rsid w:val="00264431"/>
    <w:rsid w:val="00271EE9"/>
    <w:rsid w:val="00285A9E"/>
    <w:rsid w:val="002A3109"/>
    <w:rsid w:val="002A5524"/>
    <w:rsid w:val="002B3254"/>
    <w:rsid w:val="002C28D2"/>
    <w:rsid w:val="002D096F"/>
    <w:rsid w:val="002D380F"/>
    <w:rsid w:val="002F33B8"/>
    <w:rsid w:val="002F450E"/>
    <w:rsid w:val="0030104B"/>
    <w:rsid w:val="00301DB8"/>
    <w:rsid w:val="00320069"/>
    <w:rsid w:val="003205F1"/>
    <w:rsid w:val="00327010"/>
    <w:rsid w:val="0035216A"/>
    <w:rsid w:val="003545D0"/>
    <w:rsid w:val="0036622E"/>
    <w:rsid w:val="00370B9A"/>
    <w:rsid w:val="003837A2"/>
    <w:rsid w:val="00387CD8"/>
    <w:rsid w:val="003C2936"/>
    <w:rsid w:val="003E678F"/>
    <w:rsid w:val="00406A68"/>
    <w:rsid w:val="00414B7D"/>
    <w:rsid w:val="00427588"/>
    <w:rsid w:val="0043476F"/>
    <w:rsid w:val="0044487F"/>
    <w:rsid w:val="00454F7C"/>
    <w:rsid w:val="00456D64"/>
    <w:rsid w:val="00465E0C"/>
    <w:rsid w:val="0047766F"/>
    <w:rsid w:val="00480C63"/>
    <w:rsid w:val="00482700"/>
    <w:rsid w:val="00493188"/>
    <w:rsid w:val="004976BC"/>
    <w:rsid w:val="004C4573"/>
    <w:rsid w:val="004E5D6D"/>
    <w:rsid w:val="004E7937"/>
    <w:rsid w:val="004F1CD7"/>
    <w:rsid w:val="00523BFA"/>
    <w:rsid w:val="005329A7"/>
    <w:rsid w:val="00533A1D"/>
    <w:rsid w:val="0053754E"/>
    <w:rsid w:val="005506C9"/>
    <w:rsid w:val="0055544A"/>
    <w:rsid w:val="00583A12"/>
    <w:rsid w:val="00593BBD"/>
    <w:rsid w:val="0059751C"/>
    <w:rsid w:val="00597E23"/>
    <w:rsid w:val="005A59CA"/>
    <w:rsid w:val="005A6BD5"/>
    <w:rsid w:val="005B0346"/>
    <w:rsid w:val="005B4B3A"/>
    <w:rsid w:val="00600A59"/>
    <w:rsid w:val="006012C0"/>
    <w:rsid w:val="00602B9B"/>
    <w:rsid w:val="006076A8"/>
    <w:rsid w:val="00615F60"/>
    <w:rsid w:val="006234C4"/>
    <w:rsid w:val="00625B3A"/>
    <w:rsid w:val="00634A35"/>
    <w:rsid w:val="006507BC"/>
    <w:rsid w:val="00652138"/>
    <w:rsid w:val="00656DF2"/>
    <w:rsid w:val="0065783A"/>
    <w:rsid w:val="00665C5D"/>
    <w:rsid w:val="00666771"/>
    <w:rsid w:val="0067257B"/>
    <w:rsid w:val="006A0C6F"/>
    <w:rsid w:val="006A291E"/>
    <w:rsid w:val="006A2FEC"/>
    <w:rsid w:val="006C5A80"/>
    <w:rsid w:val="006C7259"/>
    <w:rsid w:val="006F0E98"/>
    <w:rsid w:val="006F31CB"/>
    <w:rsid w:val="00706741"/>
    <w:rsid w:val="007067DC"/>
    <w:rsid w:val="007115C8"/>
    <w:rsid w:val="00716851"/>
    <w:rsid w:val="00724D20"/>
    <w:rsid w:val="00732EAB"/>
    <w:rsid w:val="00744519"/>
    <w:rsid w:val="00755FCC"/>
    <w:rsid w:val="00756401"/>
    <w:rsid w:val="007620C6"/>
    <w:rsid w:val="00797F57"/>
    <w:rsid w:val="007B06E2"/>
    <w:rsid w:val="007D370A"/>
    <w:rsid w:val="007E22AF"/>
    <w:rsid w:val="007E73C8"/>
    <w:rsid w:val="007F506C"/>
    <w:rsid w:val="00803336"/>
    <w:rsid w:val="00806B15"/>
    <w:rsid w:val="00812F0F"/>
    <w:rsid w:val="00861AB8"/>
    <w:rsid w:val="00862861"/>
    <w:rsid w:val="008848E3"/>
    <w:rsid w:val="0088585A"/>
    <w:rsid w:val="0088603C"/>
    <w:rsid w:val="0088681F"/>
    <w:rsid w:val="00887099"/>
    <w:rsid w:val="008874A1"/>
    <w:rsid w:val="008940B0"/>
    <w:rsid w:val="00894478"/>
    <w:rsid w:val="00897F4A"/>
    <w:rsid w:val="008A00B8"/>
    <w:rsid w:val="008B0D3D"/>
    <w:rsid w:val="008D6F5D"/>
    <w:rsid w:val="008E1B34"/>
    <w:rsid w:val="008F0410"/>
    <w:rsid w:val="00911D89"/>
    <w:rsid w:val="00912EDD"/>
    <w:rsid w:val="00914D86"/>
    <w:rsid w:val="00986432"/>
    <w:rsid w:val="00990FCE"/>
    <w:rsid w:val="00992585"/>
    <w:rsid w:val="00996C34"/>
    <w:rsid w:val="009A4B92"/>
    <w:rsid w:val="009B2869"/>
    <w:rsid w:val="009B5AE8"/>
    <w:rsid w:val="009C357F"/>
    <w:rsid w:val="009C67DB"/>
    <w:rsid w:val="009D16A3"/>
    <w:rsid w:val="009E4E46"/>
    <w:rsid w:val="009F1B2F"/>
    <w:rsid w:val="009F1FB9"/>
    <w:rsid w:val="009F5B0F"/>
    <w:rsid w:val="009F76EF"/>
    <w:rsid w:val="00A02C06"/>
    <w:rsid w:val="00A10229"/>
    <w:rsid w:val="00A308A2"/>
    <w:rsid w:val="00A426D9"/>
    <w:rsid w:val="00A6554D"/>
    <w:rsid w:val="00A65AA9"/>
    <w:rsid w:val="00A726DE"/>
    <w:rsid w:val="00A7335C"/>
    <w:rsid w:val="00A76219"/>
    <w:rsid w:val="00A76DD0"/>
    <w:rsid w:val="00A93261"/>
    <w:rsid w:val="00AC0F1C"/>
    <w:rsid w:val="00AD6A36"/>
    <w:rsid w:val="00AE7455"/>
    <w:rsid w:val="00B01873"/>
    <w:rsid w:val="00B057FB"/>
    <w:rsid w:val="00B05C3B"/>
    <w:rsid w:val="00B26134"/>
    <w:rsid w:val="00B271BC"/>
    <w:rsid w:val="00B27557"/>
    <w:rsid w:val="00B40A5B"/>
    <w:rsid w:val="00B514B5"/>
    <w:rsid w:val="00B54402"/>
    <w:rsid w:val="00B5553A"/>
    <w:rsid w:val="00B700CC"/>
    <w:rsid w:val="00B722B6"/>
    <w:rsid w:val="00B959FD"/>
    <w:rsid w:val="00BA18A3"/>
    <w:rsid w:val="00BC32E5"/>
    <w:rsid w:val="00BC723C"/>
    <w:rsid w:val="00BC72A2"/>
    <w:rsid w:val="00BE0ED9"/>
    <w:rsid w:val="00BF61D9"/>
    <w:rsid w:val="00C01D91"/>
    <w:rsid w:val="00C02C5B"/>
    <w:rsid w:val="00C05168"/>
    <w:rsid w:val="00C17DE5"/>
    <w:rsid w:val="00C26468"/>
    <w:rsid w:val="00C55830"/>
    <w:rsid w:val="00C558BC"/>
    <w:rsid w:val="00C56E48"/>
    <w:rsid w:val="00C628CC"/>
    <w:rsid w:val="00C73E9D"/>
    <w:rsid w:val="00C8166B"/>
    <w:rsid w:val="00C82001"/>
    <w:rsid w:val="00C86A88"/>
    <w:rsid w:val="00CA48EA"/>
    <w:rsid w:val="00CB0330"/>
    <w:rsid w:val="00CB4F91"/>
    <w:rsid w:val="00CB7D72"/>
    <w:rsid w:val="00CD529F"/>
    <w:rsid w:val="00CD6E80"/>
    <w:rsid w:val="00CE6897"/>
    <w:rsid w:val="00CE7209"/>
    <w:rsid w:val="00D036C4"/>
    <w:rsid w:val="00D12F25"/>
    <w:rsid w:val="00D2398C"/>
    <w:rsid w:val="00D23C99"/>
    <w:rsid w:val="00D26D27"/>
    <w:rsid w:val="00D47E9C"/>
    <w:rsid w:val="00D50DE7"/>
    <w:rsid w:val="00D676F1"/>
    <w:rsid w:val="00D71525"/>
    <w:rsid w:val="00D72696"/>
    <w:rsid w:val="00D80190"/>
    <w:rsid w:val="00D8213A"/>
    <w:rsid w:val="00D82180"/>
    <w:rsid w:val="00D92744"/>
    <w:rsid w:val="00DA2994"/>
    <w:rsid w:val="00DA3CDF"/>
    <w:rsid w:val="00DC3762"/>
    <w:rsid w:val="00DD52CE"/>
    <w:rsid w:val="00E01D81"/>
    <w:rsid w:val="00E02EF1"/>
    <w:rsid w:val="00E037D0"/>
    <w:rsid w:val="00E07B36"/>
    <w:rsid w:val="00E20D25"/>
    <w:rsid w:val="00E30AD7"/>
    <w:rsid w:val="00E34D21"/>
    <w:rsid w:val="00E52AFF"/>
    <w:rsid w:val="00E80A49"/>
    <w:rsid w:val="00E87004"/>
    <w:rsid w:val="00E87B44"/>
    <w:rsid w:val="00EA2F0A"/>
    <w:rsid w:val="00EB0C7B"/>
    <w:rsid w:val="00EB6583"/>
    <w:rsid w:val="00EC2CA4"/>
    <w:rsid w:val="00EE0E46"/>
    <w:rsid w:val="00EE1522"/>
    <w:rsid w:val="00EE1853"/>
    <w:rsid w:val="00EF7159"/>
    <w:rsid w:val="00F03284"/>
    <w:rsid w:val="00F12440"/>
    <w:rsid w:val="00F217E5"/>
    <w:rsid w:val="00F25EFA"/>
    <w:rsid w:val="00F2641D"/>
    <w:rsid w:val="00F319F5"/>
    <w:rsid w:val="00F36B2B"/>
    <w:rsid w:val="00F5460F"/>
    <w:rsid w:val="00F5491B"/>
    <w:rsid w:val="00F649A4"/>
    <w:rsid w:val="00F6675A"/>
    <w:rsid w:val="00F75809"/>
    <w:rsid w:val="00F806BF"/>
    <w:rsid w:val="00F845E1"/>
    <w:rsid w:val="00F874E5"/>
    <w:rsid w:val="00FA1407"/>
    <w:rsid w:val="00FA60C1"/>
    <w:rsid w:val="00FA7F62"/>
    <w:rsid w:val="00FB5F2A"/>
    <w:rsid w:val="00FC22AB"/>
    <w:rsid w:val="00FC24FB"/>
    <w:rsid w:val="00FC2CB6"/>
    <w:rsid w:val="00FC48B9"/>
    <w:rsid w:val="00FE160B"/>
    <w:rsid w:val="012E66CA"/>
    <w:rsid w:val="02446040"/>
    <w:rsid w:val="09D6647F"/>
    <w:rsid w:val="0CB848E5"/>
    <w:rsid w:val="0EFA1806"/>
    <w:rsid w:val="0FD23D2B"/>
    <w:rsid w:val="157A7A22"/>
    <w:rsid w:val="186F29D7"/>
    <w:rsid w:val="192F771A"/>
    <w:rsid w:val="1BE2534D"/>
    <w:rsid w:val="1F2266A5"/>
    <w:rsid w:val="20596BAC"/>
    <w:rsid w:val="2AE77555"/>
    <w:rsid w:val="2F69052C"/>
    <w:rsid w:val="300D5B56"/>
    <w:rsid w:val="317416C0"/>
    <w:rsid w:val="37A8442F"/>
    <w:rsid w:val="3A6925E2"/>
    <w:rsid w:val="3B84303F"/>
    <w:rsid w:val="3E273571"/>
    <w:rsid w:val="46300547"/>
    <w:rsid w:val="49FB11E3"/>
    <w:rsid w:val="4AFE00C9"/>
    <w:rsid w:val="4ED32A14"/>
    <w:rsid w:val="53CB7351"/>
    <w:rsid w:val="55463E73"/>
    <w:rsid w:val="57D72BEE"/>
    <w:rsid w:val="5A474B5D"/>
    <w:rsid w:val="5AF204C5"/>
    <w:rsid w:val="629D0610"/>
    <w:rsid w:val="63012505"/>
    <w:rsid w:val="69970A64"/>
    <w:rsid w:val="6A5834CA"/>
    <w:rsid w:val="6CC8404A"/>
    <w:rsid w:val="6D1A19C3"/>
    <w:rsid w:val="734A5D15"/>
    <w:rsid w:val="77A47E54"/>
    <w:rsid w:val="7E0C5327"/>
    <w:rsid w:val="7F6308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toc 7"/>
    <w:basedOn w:val="1"/>
    <w:next w:val="1"/>
    <w:unhideWhenUsed/>
    <w:qFormat/>
    <w:uiPriority w:val="39"/>
    <w:pPr>
      <w:ind w:left="1260"/>
      <w:jc w:val="left"/>
    </w:pPr>
    <w:rPr>
      <w:sz w:val="18"/>
      <w:szCs w:val="18"/>
    </w:rPr>
  </w:style>
  <w:style w:type="paragraph" w:styleId="8">
    <w:name w:val="annotation text"/>
    <w:basedOn w:val="1"/>
    <w:link w:val="41"/>
    <w:semiHidden/>
    <w:unhideWhenUsed/>
    <w:qFormat/>
    <w:uiPriority w:val="99"/>
    <w:pPr>
      <w:jc w:val="left"/>
    </w:pPr>
  </w:style>
  <w:style w:type="paragraph" w:styleId="9">
    <w:name w:val="Body Text"/>
    <w:basedOn w:val="1"/>
    <w:link w:val="34"/>
    <w:qFormat/>
    <w:uiPriority w:val="0"/>
    <w:pPr>
      <w:spacing w:after="120"/>
    </w:pPr>
    <w:rPr>
      <w:rFonts w:ascii="Times New Roman" w:hAnsi="Times New Roman" w:eastAsia="Times New Roman" w:cs="Times New Roman"/>
      <w:szCs w:val="20"/>
    </w:rPr>
  </w:style>
  <w:style w:type="paragraph" w:styleId="10">
    <w:name w:val="toc 5"/>
    <w:basedOn w:val="1"/>
    <w:next w:val="1"/>
    <w:unhideWhenUsed/>
    <w:qFormat/>
    <w:uiPriority w:val="39"/>
    <w:pPr>
      <w:ind w:left="840"/>
      <w:jc w:val="left"/>
    </w:pPr>
    <w:rPr>
      <w:sz w:val="18"/>
      <w:szCs w:val="18"/>
    </w:rPr>
  </w:style>
  <w:style w:type="paragraph" w:styleId="11">
    <w:name w:val="toc 3"/>
    <w:basedOn w:val="1"/>
    <w:next w:val="1"/>
    <w:unhideWhenUsed/>
    <w:qFormat/>
    <w:uiPriority w:val="39"/>
    <w:pPr>
      <w:ind w:left="420"/>
      <w:jc w:val="left"/>
    </w:pPr>
    <w:rPr>
      <w:i/>
      <w:iCs/>
      <w:sz w:val="20"/>
      <w:szCs w:val="20"/>
    </w:rPr>
  </w:style>
  <w:style w:type="paragraph" w:styleId="12">
    <w:name w:val="toc 8"/>
    <w:basedOn w:val="1"/>
    <w:next w:val="1"/>
    <w:unhideWhenUsed/>
    <w:qFormat/>
    <w:uiPriority w:val="39"/>
    <w:pPr>
      <w:ind w:left="1470"/>
      <w:jc w:val="left"/>
    </w:pPr>
    <w:rPr>
      <w:sz w:val="18"/>
      <w:szCs w:val="18"/>
    </w:rPr>
  </w:style>
  <w:style w:type="paragraph" w:styleId="13">
    <w:name w:val="Date"/>
    <w:basedOn w:val="1"/>
    <w:next w:val="1"/>
    <w:link w:val="35"/>
    <w:semiHidden/>
    <w:unhideWhenUsed/>
    <w:qFormat/>
    <w:uiPriority w:val="99"/>
    <w:pPr>
      <w:ind w:left="100" w:leftChars="2500"/>
    </w:pPr>
  </w:style>
  <w:style w:type="paragraph" w:styleId="14">
    <w:name w:val="Balloon Text"/>
    <w:basedOn w:val="1"/>
    <w:link w:val="39"/>
    <w:semiHidden/>
    <w:unhideWhenUsed/>
    <w:qFormat/>
    <w:uiPriority w:val="99"/>
    <w:rPr>
      <w:sz w:val="18"/>
      <w:szCs w:val="18"/>
    </w:rPr>
  </w:style>
  <w:style w:type="paragraph" w:styleId="15">
    <w:name w:val="footer"/>
    <w:basedOn w:val="1"/>
    <w:link w:val="28"/>
    <w:unhideWhenUsed/>
    <w:qFormat/>
    <w:uiPriority w:val="99"/>
    <w:pPr>
      <w:tabs>
        <w:tab w:val="center" w:pos="4153"/>
        <w:tab w:val="right" w:pos="8306"/>
      </w:tabs>
      <w:snapToGrid w:val="0"/>
      <w:jc w:val="left"/>
    </w:pPr>
    <w:rPr>
      <w:sz w:val="18"/>
      <w:szCs w:val="18"/>
    </w:rPr>
  </w:style>
  <w:style w:type="paragraph" w:styleId="16">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spacing w:before="120" w:after="120"/>
      <w:jc w:val="left"/>
    </w:pPr>
    <w:rPr>
      <w:b/>
      <w:bCs/>
      <w:caps/>
      <w:sz w:val="20"/>
      <w:szCs w:val="20"/>
    </w:rPr>
  </w:style>
  <w:style w:type="paragraph" w:styleId="18">
    <w:name w:val="toc 4"/>
    <w:basedOn w:val="1"/>
    <w:next w:val="1"/>
    <w:unhideWhenUsed/>
    <w:qFormat/>
    <w:uiPriority w:val="39"/>
    <w:pPr>
      <w:ind w:left="630"/>
      <w:jc w:val="left"/>
    </w:pPr>
    <w:rPr>
      <w:sz w:val="18"/>
      <w:szCs w:val="18"/>
    </w:rPr>
  </w:style>
  <w:style w:type="paragraph" w:styleId="19">
    <w:name w:val="toc 6"/>
    <w:basedOn w:val="1"/>
    <w:next w:val="1"/>
    <w:unhideWhenUsed/>
    <w:qFormat/>
    <w:uiPriority w:val="39"/>
    <w:pPr>
      <w:ind w:left="1050"/>
      <w:jc w:val="left"/>
    </w:pPr>
    <w:rPr>
      <w:sz w:val="18"/>
      <w:szCs w:val="18"/>
    </w:rPr>
  </w:style>
  <w:style w:type="paragraph" w:styleId="20">
    <w:name w:val="toc 2"/>
    <w:basedOn w:val="1"/>
    <w:next w:val="1"/>
    <w:unhideWhenUsed/>
    <w:qFormat/>
    <w:uiPriority w:val="39"/>
    <w:pPr>
      <w:tabs>
        <w:tab w:val="right" w:leader="dot" w:pos="8296"/>
      </w:tabs>
      <w:spacing w:line="400" w:lineRule="exact"/>
      <w:ind w:left="210"/>
      <w:jc w:val="left"/>
    </w:pPr>
    <w:rPr>
      <w:smallCaps/>
      <w:sz w:val="20"/>
      <w:szCs w:val="20"/>
    </w:rPr>
  </w:style>
  <w:style w:type="paragraph" w:styleId="21">
    <w:name w:val="toc 9"/>
    <w:basedOn w:val="1"/>
    <w:next w:val="1"/>
    <w:unhideWhenUsed/>
    <w:qFormat/>
    <w:uiPriority w:val="39"/>
    <w:pPr>
      <w:ind w:left="1680"/>
      <w:jc w:val="left"/>
    </w:pPr>
    <w:rPr>
      <w:sz w:val="18"/>
      <w:szCs w:val="18"/>
    </w:rPr>
  </w:style>
  <w:style w:type="paragraph" w:styleId="22">
    <w:name w:val="annotation subject"/>
    <w:basedOn w:val="8"/>
    <w:next w:val="8"/>
    <w:link w:val="42"/>
    <w:semiHidden/>
    <w:unhideWhenUsed/>
    <w:qFormat/>
    <w:uiPriority w:val="99"/>
    <w:rPr>
      <w:b/>
      <w:bCs/>
    </w:rPr>
  </w:style>
  <w:style w:type="character" w:styleId="25">
    <w:name w:val="Hyperlink"/>
    <w:basedOn w:val="24"/>
    <w:unhideWhenUsed/>
    <w:qFormat/>
    <w:uiPriority w:val="99"/>
    <w:rPr>
      <w:color w:val="0000FF" w:themeColor="hyperlink"/>
      <w:u w:val="single"/>
      <w14:textFill>
        <w14:solidFill>
          <w14:schemeClr w14:val="hlink"/>
        </w14:solidFill>
      </w14:textFill>
    </w:rPr>
  </w:style>
  <w:style w:type="character" w:styleId="26">
    <w:name w:val="annotation reference"/>
    <w:basedOn w:val="24"/>
    <w:semiHidden/>
    <w:unhideWhenUsed/>
    <w:qFormat/>
    <w:uiPriority w:val="99"/>
    <w:rPr>
      <w:sz w:val="21"/>
      <w:szCs w:val="21"/>
    </w:rPr>
  </w:style>
  <w:style w:type="character" w:customStyle="1" w:styleId="27">
    <w:name w:val="页眉 Char"/>
    <w:basedOn w:val="24"/>
    <w:link w:val="16"/>
    <w:qFormat/>
    <w:uiPriority w:val="99"/>
    <w:rPr>
      <w:sz w:val="18"/>
      <w:szCs w:val="18"/>
    </w:rPr>
  </w:style>
  <w:style w:type="character" w:customStyle="1" w:styleId="28">
    <w:name w:val="页脚 Char"/>
    <w:basedOn w:val="24"/>
    <w:link w:val="15"/>
    <w:qFormat/>
    <w:uiPriority w:val="99"/>
    <w:rPr>
      <w:sz w:val="18"/>
      <w:szCs w:val="18"/>
    </w:rPr>
  </w:style>
  <w:style w:type="paragraph" w:styleId="29">
    <w:name w:val="List Paragraph"/>
    <w:basedOn w:val="1"/>
    <w:link w:val="40"/>
    <w:qFormat/>
    <w:uiPriority w:val="99"/>
    <w:pPr>
      <w:ind w:firstLine="420" w:firstLineChars="200"/>
    </w:pPr>
  </w:style>
  <w:style w:type="character" w:customStyle="1" w:styleId="30">
    <w:name w:val="标题 1 Char"/>
    <w:basedOn w:val="24"/>
    <w:link w:val="3"/>
    <w:qFormat/>
    <w:uiPriority w:val="9"/>
    <w:rPr>
      <w:b/>
      <w:bCs/>
      <w:kern w:val="44"/>
      <w:sz w:val="44"/>
      <w:szCs w:val="44"/>
    </w:rPr>
  </w:style>
  <w:style w:type="character" w:customStyle="1" w:styleId="31">
    <w:name w:val="标题 2 Char"/>
    <w:basedOn w:val="24"/>
    <w:link w:val="4"/>
    <w:qFormat/>
    <w:uiPriority w:val="9"/>
    <w:rPr>
      <w:rFonts w:asciiTheme="majorHAnsi" w:hAnsiTheme="majorHAnsi" w:eastAsiaTheme="majorEastAsia" w:cstheme="majorBidi"/>
      <w:b/>
      <w:bCs/>
      <w:sz w:val="32"/>
      <w:szCs w:val="32"/>
    </w:rPr>
  </w:style>
  <w:style w:type="character" w:customStyle="1" w:styleId="32">
    <w:name w:val="标题 3 Char"/>
    <w:basedOn w:val="24"/>
    <w:link w:val="5"/>
    <w:qFormat/>
    <w:uiPriority w:val="9"/>
    <w:rPr>
      <w:b/>
      <w:bCs/>
      <w:sz w:val="32"/>
      <w:szCs w:val="32"/>
    </w:rPr>
  </w:style>
  <w:style w:type="character" w:customStyle="1" w:styleId="33">
    <w:name w:val="标题 4 Char"/>
    <w:basedOn w:val="24"/>
    <w:link w:val="6"/>
    <w:qFormat/>
    <w:uiPriority w:val="9"/>
    <w:rPr>
      <w:rFonts w:asciiTheme="majorHAnsi" w:hAnsiTheme="majorHAnsi" w:eastAsiaTheme="majorEastAsia" w:cstheme="majorBidi"/>
      <w:b/>
      <w:bCs/>
      <w:sz w:val="28"/>
      <w:szCs w:val="28"/>
    </w:rPr>
  </w:style>
  <w:style w:type="character" w:customStyle="1" w:styleId="34">
    <w:name w:val="正文文本 Char"/>
    <w:basedOn w:val="24"/>
    <w:link w:val="9"/>
    <w:qFormat/>
    <w:uiPriority w:val="0"/>
    <w:rPr>
      <w:rFonts w:ascii="Times New Roman" w:hAnsi="Times New Roman" w:eastAsia="Times New Roman" w:cs="Times New Roman"/>
      <w:szCs w:val="20"/>
    </w:rPr>
  </w:style>
  <w:style w:type="character" w:customStyle="1" w:styleId="35">
    <w:name w:val="日期 Char"/>
    <w:basedOn w:val="24"/>
    <w:link w:val="13"/>
    <w:semiHidden/>
    <w:qFormat/>
    <w:uiPriority w:val="99"/>
    <w:rPr>
      <w:szCs w:val="24"/>
    </w:rPr>
  </w:style>
  <w:style w:type="character" w:customStyle="1" w:styleId="36">
    <w:name w:val="闻政标题3 Char"/>
    <w:link w:val="37"/>
    <w:qFormat/>
    <w:uiPriority w:val="99"/>
    <w:rPr>
      <w:rFonts w:ascii="黑体" w:hAnsi="黑体" w:eastAsia="黑体"/>
      <w:bCs/>
      <w:sz w:val="32"/>
      <w:szCs w:val="32"/>
    </w:rPr>
  </w:style>
  <w:style w:type="paragraph" w:customStyle="1" w:styleId="37">
    <w:name w:val="闻政标题3"/>
    <w:basedOn w:val="5"/>
    <w:link w:val="36"/>
    <w:qFormat/>
    <w:uiPriority w:val="99"/>
    <w:pPr>
      <w:spacing w:before="120" w:after="60" w:line="500" w:lineRule="exact"/>
      <w:jc w:val="left"/>
      <w:outlineLvl w:val="0"/>
    </w:pPr>
    <w:rPr>
      <w:rFonts w:ascii="黑体" w:hAnsi="黑体" w:eastAsia="黑体"/>
      <w:b w:val="0"/>
    </w:rPr>
  </w:style>
  <w:style w:type="paragraph" w:customStyle="1" w:styleId="38">
    <w:name w:val="列出段落1"/>
    <w:basedOn w:val="1"/>
    <w:qFormat/>
    <w:uiPriority w:val="99"/>
    <w:pPr>
      <w:ind w:firstLine="420" w:firstLineChars="200"/>
    </w:pPr>
    <w:rPr>
      <w:rFonts w:ascii="Calibri" w:hAnsi="Calibri" w:eastAsia="宋体" w:cs="Times New Roman"/>
      <w:kern w:val="0"/>
      <w:sz w:val="20"/>
      <w:szCs w:val="20"/>
    </w:rPr>
  </w:style>
  <w:style w:type="character" w:customStyle="1" w:styleId="39">
    <w:name w:val="批注框文本 Char"/>
    <w:basedOn w:val="24"/>
    <w:link w:val="14"/>
    <w:semiHidden/>
    <w:qFormat/>
    <w:uiPriority w:val="99"/>
    <w:rPr>
      <w:sz w:val="18"/>
      <w:szCs w:val="18"/>
    </w:rPr>
  </w:style>
  <w:style w:type="character" w:customStyle="1" w:styleId="40">
    <w:name w:val="列出段落 Char"/>
    <w:link w:val="29"/>
    <w:qFormat/>
    <w:locked/>
    <w:uiPriority w:val="99"/>
    <w:rPr>
      <w:szCs w:val="24"/>
    </w:rPr>
  </w:style>
  <w:style w:type="character" w:customStyle="1" w:styleId="41">
    <w:name w:val="批注文字 Char"/>
    <w:basedOn w:val="24"/>
    <w:link w:val="8"/>
    <w:semiHidden/>
    <w:qFormat/>
    <w:uiPriority w:val="99"/>
    <w:rPr>
      <w:szCs w:val="24"/>
    </w:rPr>
  </w:style>
  <w:style w:type="character" w:customStyle="1" w:styleId="42">
    <w:name w:val="批注主题 Char"/>
    <w:basedOn w:val="41"/>
    <w:link w:val="22"/>
    <w:semiHidden/>
    <w:qFormat/>
    <w:uiPriority w:val="99"/>
    <w:rPr>
      <w:b/>
      <w:bCs/>
      <w:szCs w:val="24"/>
    </w:rPr>
  </w:style>
  <w:style w:type="paragraph" w:customStyle="1" w:styleId="43">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4">
    <w:name w:val="闻政正文 Char"/>
    <w:link w:val="45"/>
    <w:qFormat/>
    <w:uiPriority w:val="99"/>
    <w:rPr>
      <w:rFonts w:ascii="Times New Roman" w:hAnsi="Times New Roman" w:eastAsia="仿宋_GB2312"/>
      <w:sz w:val="28"/>
      <w:szCs w:val="28"/>
    </w:rPr>
  </w:style>
  <w:style w:type="paragraph" w:customStyle="1" w:styleId="45">
    <w:name w:val="闻政正文"/>
    <w:basedOn w:val="1"/>
    <w:link w:val="44"/>
    <w:qFormat/>
    <w:uiPriority w:val="99"/>
    <w:pPr>
      <w:spacing w:line="500" w:lineRule="exact"/>
      <w:ind w:firstLine="560" w:firstLineChars="200"/>
    </w:pPr>
    <w:rPr>
      <w:rFonts w:ascii="Times New Roman" w:hAnsi="Times New Roman" w:eastAsia="仿宋_GB2312"/>
      <w:sz w:val="28"/>
      <w:szCs w:val="28"/>
    </w:rPr>
  </w:style>
  <w:style w:type="character" w:customStyle="1" w:styleId="46">
    <w:name w:val="font31"/>
    <w:basedOn w:val="24"/>
    <w:qFormat/>
    <w:uiPriority w:val="0"/>
    <w:rPr>
      <w:rFonts w:hint="eastAsia"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E6DBDD-FF13-427C-8B92-5A0E572494D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1793</Words>
  <Characters>10225</Characters>
  <Lines>85</Lines>
  <Paragraphs>23</Paragraphs>
  <TotalTime>15</TotalTime>
  <ScaleCrop>false</ScaleCrop>
  <LinksUpToDate>false</LinksUpToDate>
  <CharactersWithSpaces>11995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2020-03-26T06:43:00Z</dcterms:created>
  <dc:creator>jc</dc:creator>
  <cp:lastModifiedBy>Administrator</cp:lastModifiedBy>
  <cp:lastPrinted>2021-03-22T08:41:00Z</cp:lastPrinted>
  <dcterms:modified xsi:type="dcterms:W3CDTF">2025-09-10T10:30:45Z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462561243_btnclosed</vt:lpwstr>
  </property>
  <property fmtid="{D5CDD505-2E9C-101B-9397-08002B2CF9AE}" pid="4" name="ICV">
    <vt:lpwstr>FC949AA48A494DFE8D024E4F23F916DD</vt:lpwstr>
  </property>
</Properties>
</file>