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1C13B2">
      <w:pPr>
        <w:spacing w:line="540" w:lineRule="exact"/>
        <w:rPr>
          <w:rFonts w:ascii="华文中宋" w:hAnsi="华文中宋" w:eastAsia="华文中宋" w:cs="宋体"/>
          <w:b/>
          <w:kern w:val="0"/>
          <w:sz w:val="52"/>
          <w:szCs w:val="52"/>
        </w:rPr>
      </w:pPr>
    </w:p>
    <w:p w14:paraId="66E3792E">
      <w:pPr>
        <w:spacing w:line="540" w:lineRule="exact"/>
        <w:jc w:val="center"/>
        <w:rPr>
          <w:rFonts w:ascii="华文中宋" w:hAnsi="华文中宋" w:eastAsia="华文中宋" w:cs="宋体"/>
          <w:b/>
          <w:kern w:val="0"/>
          <w:sz w:val="52"/>
          <w:szCs w:val="52"/>
        </w:rPr>
      </w:pPr>
    </w:p>
    <w:p w14:paraId="6F7D703D">
      <w:pPr>
        <w:pStyle w:val="2"/>
      </w:pPr>
    </w:p>
    <w:p w14:paraId="3CBAD057">
      <w:pPr>
        <w:spacing w:line="540" w:lineRule="exact"/>
        <w:jc w:val="center"/>
        <w:rPr>
          <w:rFonts w:hint="eastAsia"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rPr>
        <w:t>中共塔城地委党校（塔城地区行政学院）</w:t>
      </w:r>
    </w:p>
    <w:p w14:paraId="18475D3F">
      <w:pPr>
        <w:spacing w:line="540" w:lineRule="exact"/>
        <w:jc w:val="center"/>
        <w:rPr>
          <w:rFonts w:hint="eastAsia"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rPr>
        <w:t>党</w:t>
      </w:r>
      <w:r>
        <w:rPr>
          <w:rFonts w:hint="eastAsia" w:ascii="方正小标宋简体" w:hAnsi="方正小标宋简体" w:eastAsia="方正小标宋简体" w:cs="方正小标宋简体"/>
          <w:b/>
          <w:bCs/>
          <w:sz w:val="44"/>
          <w:szCs w:val="44"/>
          <w:lang w:val="en-US" w:eastAsia="zh-CN"/>
        </w:rPr>
        <w:t>校教育基地建设经费2019年结余</w:t>
      </w:r>
      <w:r>
        <w:rPr>
          <w:rFonts w:hint="eastAsia" w:ascii="方正小标宋简体" w:hAnsi="方正小标宋简体" w:eastAsia="方正小标宋简体" w:cs="方正小标宋简体"/>
          <w:b/>
          <w:bCs/>
          <w:sz w:val="44"/>
          <w:szCs w:val="44"/>
        </w:rPr>
        <w:t>项目</w:t>
      </w:r>
    </w:p>
    <w:p w14:paraId="2EE10D6F">
      <w:pPr>
        <w:spacing w:line="540" w:lineRule="exact"/>
        <w:jc w:val="center"/>
        <w:rPr>
          <w:rFonts w:hint="eastAsia"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kern w:val="0"/>
          <w:sz w:val="44"/>
          <w:szCs w:val="44"/>
        </w:rPr>
        <w:t>支出绩效评价报告</w:t>
      </w:r>
    </w:p>
    <w:p w14:paraId="7E92FF43">
      <w:pPr>
        <w:spacing w:line="540" w:lineRule="exact"/>
        <w:jc w:val="center"/>
        <w:rPr>
          <w:rFonts w:ascii="华文中宋" w:hAnsi="华文中宋" w:eastAsia="华文中宋" w:cs="宋体"/>
          <w:b/>
          <w:kern w:val="0"/>
          <w:sz w:val="52"/>
          <w:szCs w:val="52"/>
        </w:rPr>
      </w:pPr>
    </w:p>
    <w:p w14:paraId="142BE40D">
      <w:pPr>
        <w:spacing w:line="540" w:lineRule="exact"/>
        <w:jc w:val="center"/>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（20</w:t>
      </w:r>
      <w:r>
        <w:rPr>
          <w:rFonts w:hint="eastAsia" w:ascii="仿宋_GB2312" w:hAnsi="仿宋_GB2312" w:eastAsia="仿宋_GB2312" w:cs="仿宋_GB2312"/>
          <w:kern w:val="0"/>
          <w:sz w:val="36"/>
          <w:szCs w:val="36"/>
          <w:lang w:val="en-US" w:eastAsia="zh-CN"/>
        </w:rPr>
        <w:t>20</w:t>
      </w:r>
      <w:r>
        <w:rPr>
          <w:rFonts w:hint="eastAsia" w:ascii="仿宋_GB2312" w:hAnsi="仿宋_GB2312" w:eastAsia="仿宋_GB2312" w:cs="仿宋_GB2312"/>
          <w:kern w:val="0"/>
          <w:sz w:val="36"/>
          <w:szCs w:val="36"/>
        </w:rPr>
        <w:t>年度）</w:t>
      </w:r>
    </w:p>
    <w:p w14:paraId="10D9E185">
      <w:pPr>
        <w:spacing w:line="700" w:lineRule="exact"/>
        <w:jc w:val="left"/>
        <w:rPr>
          <w:rFonts w:hAnsi="宋体" w:eastAsia="仿宋_GB2312" w:cs="宋体"/>
          <w:kern w:val="0"/>
          <w:sz w:val="36"/>
          <w:szCs w:val="36"/>
        </w:rPr>
      </w:pPr>
    </w:p>
    <w:p w14:paraId="57E466C0"/>
    <w:p w14:paraId="79B9CF41"/>
    <w:p w14:paraId="55C58209">
      <w:pPr>
        <w:spacing w:line="700" w:lineRule="exact"/>
        <w:ind w:firstLine="720" w:firstLineChars="200"/>
        <w:jc w:val="left"/>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rPr>
        <w:t>项目名称：党</w:t>
      </w:r>
      <w:r>
        <w:rPr>
          <w:rFonts w:hint="eastAsia" w:ascii="仿宋_GB2312" w:hAnsi="仿宋_GB2312" w:eastAsia="仿宋_GB2312" w:cs="仿宋_GB2312"/>
          <w:kern w:val="0"/>
          <w:sz w:val="36"/>
          <w:szCs w:val="36"/>
          <w:lang w:val="en-US" w:eastAsia="zh-CN"/>
        </w:rPr>
        <w:t>校教育基地建设经费2019年结余</w:t>
      </w:r>
    </w:p>
    <w:p w14:paraId="5468E7A5">
      <w:pPr>
        <w:spacing w:line="700" w:lineRule="exact"/>
        <w:ind w:left="718" w:leftChars="342" w:firstLine="0" w:firstLineChars="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实施单位（公章）：中共塔城地委党校（塔城地区行政学院）</w:t>
      </w:r>
    </w:p>
    <w:p w14:paraId="17E92603">
      <w:pPr>
        <w:spacing w:line="700" w:lineRule="exact"/>
        <w:ind w:left="718" w:leftChars="342" w:firstLine="0" w:firstLineChars="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主管部门（公章）：中共塔城地委党校（塔城地区行政学院）</w:t>
      </w:r>
    </w:p>
    <w:p w14:paraId="5883D56B">
      <w:pPr>
        <w:spacing w:line="700" w:lineRule="exact"/>
        <w:ind w:firstLine="720" w:firstLineChars="200"/>
        <w:jc w:val="left"/>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rPr>
        <w:t>项目负责人（签章）：</w:t>
      </w:r>
      <w:r>
        <w:rPr>
          <w:rFonts w:hint="eastAsia" w:ascii="仿宋_GB2312" w:hAnsi="仿宋_GB2312" w:eastAsia="仿宋_GB2312" w:cs="仿宋_GB2312"/>
          <w:kern w:val="0"/>
          <w:sz w:val="36"/>
          <w:szCs w:val="36"/>
          <w:lang w:val="en-US" w:eastAsia="zh-CN"/>
        </w:rPr>
        <w:t>胡亚昆</w:t>
      </w:r>
    </w:p>
    <w:p w14:paraId="5821AAE4">
      <w:pPr>
        <w:spacing w:line="700" w:lineRule="exact"/>
        <w:ind w:firstLine="720" w:firstLineChars="20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填报时间：</w:t>
      </w:r>
      <w:r>
        <w:rPr>
          <w:rFonts w:hint="eastAsia" w:ascii="仿宋_GB2312" w:hAnsi="仿宋_GB2312" w:eastAsia="仿宋_GB2312" w:cs="仿宋_GB2312"/>
          <w:kern w:val="0"/>
          <w:sz w:val="36"/>
          <w:szCs w:val="36"/>
          <w:lang w:val="en-US" w:eastAsia="zh-CN"/>
        </w:rPr>
        <w:t>2021</w:t>
      </w:r>
      <w:r>
        <w:rPr>
          <w:rFonts w:hint="eastAsia" w:ascii="仿宋_GB2312" w:hAnsi="仿宋_GB2312" w:eastAsia="仿宋_GB2312" w:cs="仿宋_GB2312"/>
          <w:kern w:val="0"/>
          <w:sz w:val="36"/>
          <w:szCs w:val="36"/>
        </w:rPr>
        <w:t>年</w:t>
      </w:r>
      <w:r>
        <w:rPr>
          <w:rFonts w:hint="eastAsia" w:ascii="仿宋_GB2312" w:hAnsi="仿宋_GB2312" w:eastAsia="仿宋_GB2312" w:cs="仿宋_GB2312"/>
          <w:kern w:val="0"/>
          <w:sz w:val="36"/>
          <w:szCs w:val="36"/>
          <w:lang w:val="en-US" w:eastAsia="zh-CN"/>
        </w:rPr>
        <w:t>4</w:t>
      </w:r>
      <w:r>
        <w:rPr>
          <w:rFonts w:hint="eastAsia" w:ascii="仿宋_GB2312" w:hAnsi="仿宋_GB2312" w:eastAsia="仿宋_GB2312" w:cs="仿宋_GB2312"/>
          <w:kern w:val="0"/>
          <w:sz w:val="36"/>
          <w:szCs w:val="36"/>
        </w:rPr>
        <w:t>月</w:t>
      </w:r>
      <w:r>
        <w:rPr>
          <w:rFonts w:hint="eastAsia" w:ascii="仿宋_GB2312" w:hAnsi="仿宋_GB2312" w:eastAsia="仿宋_GB2312" w:cs="仿宋_GB2312"/>
          <w:kern w:val="0"/>
          <w:sz w:val="36"/>
          <w:szCs w:val="36"/>
          <w:lang w:val="en-US" w:eastAsia="zh-CN"/>
        </w:rPr>
        <w:t>7</w:t>
      </w:r>
      <w:r>
        <w:rPr>
          <w:rFonts w:hint="eastAsia" w:ascii="仿宋_GB2312" w:hAnsi="仿宋_GB2312" w:eastAsia="仿宋_GB2312" w:cs="仿宋_GB2312"/>
          <w:kern w:val="0"/>
          <w:sz w:val="36"/>
          <w:szCs w:val="36"/>
        </w:rPr>
        <w:t>日</w:t>
      </w:r>
    </w:p>
    <w:p w14:paraId="0FF8B749">
      <w:pPr>
        <w:spacing w:line="20" w:lineRule="atLeast"/>
        <w:contextualSpacing/>
        <w:rPr>
          <w:rFonts w:hint="eastAsia" w:ascii="仿宋" w:hAnsi="仿宋" w:eastAsia="仿宋" w:cs="仿宋"/>
          <w:sz w:val="36"/>
          <w:szCs w:val="36"/>
        </w:rPr>
      </w:pPr>
    </w:p>
    <w:p w14:paraId="16782627">
      <w:pPr>
        <w:spacing w:line="600" w:lineRule="exact"/>
        <w:jc w:val="center"/>
        <w:rPr>
          <w:rFonts w:hint="eastAsia" w:ascii="仿宋" w:hAnsi="仿宋" w:eastAsia="仿宋" w:cs="仿宋"/>
          <w:bCs/>
          <w:sz w:val="36"/>
          <w:szCs w:val="36"/>
          <w:lang w:val="en-US" w:eastAsia="zh-CN"/>
        </w:rPr>
        <w:sectPr>
          <w:footerReference r:id="rId3" w:type="default"/>
          <w:footerReference r:id="rId4" w:type="even"/>
          <w:pgSz w:w="11906" w:h="16838"/>
          <w:pgMar w:top="2098" w:right="1531" w:bottom="1985" w:left="1531" w:header="851" w:footer="992" w:gutter="0"/>
          <w:pgNumType w:fmt="numberInDash" w:start="0"/>
          <w:cols w:space="720" w:num="1"/>
          <w:docGrid w:type="lines" w:linePitch="579" w:charSpace="-1675"/>
        </w:sectPr>
      </w:pPr>
    </w:p>
    <w:p w14:paraId="1CA95A30">
      <w:pPr>
        <w:keepNext w:val="0"/>
        <w:keepLines w:val="0"/>
        <w:pageBreakBefore w:val="0"/>
        <w:kinsoku/>
        <w:wordWrap/>
        <w:overflowPunct/>
        <w:topLinePunct w:val="0"/>
        <w:autoSpaceDE/>
        <w:autoSpaceDN/>
        <w:bidi w:val="0"/>
        <w:adjustRightInd/>
        <w:snapToGrid/>
        <w:spacing w:line="560" w:lineRule="atLeast"/>
        <w:textAlignment w:val="auto"/>
        <w:rPr>
          <w:rFonts w:hint="eastAsia" w:ascii="黑体" w:hAnsi="黑体" w:eastAsia="黑体" w:cs="黑体"/>
          <w:b w:val="0"/>
          <w:bCs w:val="0"/>
          <w:sz w:val="32"/>
          <w:szCs w:val="32"/>
        </w:rPr>
      </w:pPr>
    </w:p>
    <w:p w14:paraId="438F9CFE">
      <w:pPr>
        <w:keepNext w:val="0"/>
        <w:keepLines w:val="0"/>
        <w:pageBreakBefore w:val="0"/>
        <w:kinsoku/>
        <w:wordWrap/>
        <w:overflowPunct/>
        <w:topLinePunct w:val="0"/>
        <w:autoSpaceDE/>
        <w:autoSpaceDN/>
        <w:bidi w:val="0"/>
        <w:adjustRightInd/>
        <w:snapToGrid/>
        <w:spacing w:line="560" w:lineRule="atLeast"/>
        <w:textAlignment w:val="auto"/>
        <w:rPr>
          <w:rFonts w:hint="eastAsia" w:ascii="黑体" w:hAnsi="黑体" w:eastAsia="黑体" w:cs="黑体"/>
          <w:b w:val="0"/>
          <w:bCs w:val="0"/>
          <w:sz w:val="32"/>
          <w:szCs w:val="32"/>
        </w:rPr>
      </w:pPr>
      <w:bookmarkStart w:id="0" w:name="_Toc32068_WPSOffice_Level1"/>
      <w:r>
        <w:rPr>
          <w:rFonts w:hint="eastAsia" w:ascii="黑体" w:hAnsi="黑体" w:eastAsia="黑体" w:cs="黑体"/>
          <w:b w:val="0"/>
          <w:bCs w:val="0"/>
          <w:sz w:val="32"/>
          <w:szCs w:val="32"/>
        </w:rPr>
        <w:t>一、基本情况</w:t>
      </w:r>
      <w:bookmarkEnd w:id="0"/>
    </w:p>
    <w:p w14:paraId="15B2985E">
      <w:pPr>
        <w:keepNext w:val="0"/>
        <w:keepLines w:val="0"/>
        <w:pageBreakBefore w:val="0"/>
        <w:kinsoku/>
        <w:wordWrap/>
        <w:overflowPunct/>
        <w:topLinePunct w:val="0"/>
        <w:autoSpaceDE/>
        <w:autoSpaceDN/>
        <w:bidi w:val="0"/>
        <w:adjustRightInd/>
        <w:snapToGrid/>
        <w:spacing w:line="560" w:lineRule="atLeast"/>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14:paraId="5C1DEEDB">
      <w:pPr>
        <w:keepNext w:val="0"/>
        <w:keepLines w:val="0"/>
        <w:pageBreakBefore w:val="0"/>
        <w:kinsoku/>
        <w:wordWrap/>
        <w:overflowPunct/>
        <w:topLinePunct w:val="0"/>
        <w:autoSpaceDE/>
        <w:autoSpaceDN/>
        <w:bidi w:val="0"/>
        <w:adjustRightInd/>
        <w:snapToGrid/>
        <w:spacing w:line="560" w:lineRule="atLeast"/>
        <w:ind w:firstLine="643"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1、项目背景</w:t>
      </w:r>
    </w:p>
    <w:p w14:paraId="4E02E195">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（1）项目实施的政策背景</w:t>
      </w:r>
    </w:p>
    <w:p w14:paraId="2B2DDADC">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中共塔城地委党校（塔城地区行政学院）是地区各族党员干部培训轮训的主阵地主渠道，主要承担地区各级各类党员干部理论教育和党性教育培训任务。</w:t>
      </w:r>
      <w:r>
        <w:rPr>
          <w:rFonts w:hint="eastAsia" w:ascii="仿宋_GB2312" w:hAnsi="仿宋_GB2312" w:eastAsia="仿宋_GB2312" w:cs="仿宋_GB2312"/>
          <w:sz w:val="32"/>
          <w:szCs w:val="32"/>
          <w:lang w:val="en-US" w:eastAsia="zh-CN"/>
        </w:rPr>
        <w:t>我校依据收费标准,关于凡财政未拨付班次培训经费的,可根据收费文件,收取相关培训费、住宿费用于单位教育培训办班成本支出以及弥补我校日常公用经费不足，保障我单位教育教学正常工作运转</w:t>
      </w:r>
    </w:p>
    <w:p w14:paraId="77EFD51D">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项目实施的历史概况</w:t>
      </w:r>
    </w:p>
    <w:p w14:paraId="7CCDDDF3">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default" w:ascii="仿宋_GB2312" w:hAnsi="仿宋_GB2312" w:eastAsia="仿宋_GB2312" w:cs="仿宋_GB2312"/>
          <w:sz w:val="32"/>
          <w:szCs w:val="32"/>
          <w:lang w:val="en-US" w:eastAsia="zh-CN"/>
        </w:rPr>
      </w:pPr>
      <w:r>
        <w:rPr>
          <w:rFonts w:ascii="仿宋_GB2312" w:hAnsi="仿宋_GB2312" w:eastAsia="仿宋_GB2312" w:cs="仿宋_GB2312"/>
          <w:sz w:val="32"/>
          <w:szCs w:val="32"/>
        </w:rPr>
        <w:t>该项目</w:t>
      </w:r>
      <w:r>
        <w:rPr>
          <w:rFonts w:hint="eastAsia" w:ascii="仿宋_GB2312" w:hAnsi="仿宋_GB2312" w:eastAsia="仿宋_GB2312" w:cs="仿宋_GB2312"/>
          <w:sz w:val="32"/>
          <w:szCs w:val="32"/>
          <w:lang w:val="en-US" w:eastAsia="zh-CN"/>
        </w:rPr>
        <w:t>全部资金来源于我校2019年全年教育培训办班收费结余，我校2019年预算外教育收费一共147.78万元,全年支出84.14万元,结余63.64万元。结余经费安排至2020年预算项目库。</w:t>
      </w:r>
    </w:p>
    <w:p w14:paraId="372572AA">
      <w:pPr>
        <w:keepNext w:val="0"/>
        <w:keepLines w:val="0"/>
        <w:pageBreakBefore w:val="0"/>
        <w:numPr>
          <w:ilvl w:val="0"/>
          <w:numId w:val="1"/>
        </w:numPr>
        <w:kinsoku/>
        <w:wordWrap/>
        <w:overflowPunct/>
        <w:topLinePunct w:val="0"/>
        <w:autoSpaceDE/>
        <w:autoSpaceDN/>
        <w:bidi w:val="0"/>
        <w:adjustRightInd/>
        <w:snapToGrid/>
        <w:spacing w:line="560" w:lineRule="atLeast"/>
        <w:ind w:firstLine="643" w:firstLineChars="200"/>
        <w:textAlignment w:val="auto"/>
        <w:rPr>
          <w:rFonts w:hint="default" w:ascii="仿宋_GB2312" w:hAnsi="仿宋_GB2312" w:eastAsia="仿宋_GB2312" w:cs="仿宋_GB2312"/>
          <w:b/>
          <w:bCs/>
          <w:sz w:val="32"/>
          <w:szCs w:val="32"/>
          <w:lang w:val="en-US" w:eastAsia="zh-CN"/>
        </w:rPr>
      </w:pPr>
      <w:r>
        <w:rPr>
          <w:rFonts w:hint="default" w:ascii="仿宋_GB2312" w:hAnsi="仿宋_GB2312" w:eastAsia="仿宋_GB2312" w:cs="仿宋_GB2312"/>
          <w:b/>
          <w:bCs/>
          <w:sz w:val="32"/>
          <w:szCs w:val="32"/>
          <w:lang w:val="en-US" w:eastAsia="zh-CN"/>
        </w:rPr>
        <w:t>项目主要内容及实施情况</w:t>
      </w:r>
    </w:p>
    <w:p w14:paraId="3F0490D6">
      <w:pPr>
        <w:keepNext w:val="0"/>
        <w:keepLines w:val="0"/>
        <w:pageBreakBefore w:val="0"/>
        <w:kinsoku/>
        <w:wordWrap/>
        <w:overflowPunct/>
        <w:topLinePunct w:val="0"/>
        <w:autoSpaceDE/>
        <w:autoSpaceDN/>
        <w:bidi w:val="0"/>
        <w:adjustRightInd/>
        <w:snapToGrid/>
        <w:spacing w:line="560" w:lineRule="atLeast"/>
        <w:ind w:firstLine="64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b w:val="0"/>
          <w:bCs w:val="0"/>
          <w:kern w:val="2"/>
          <w:sz w:val="32"/>
          <w:szCs w:val="32"/>
          <w:lang w:val="en-US" w:eastAsia="zh-CN" w:bidi="ar-SA"/>
        </w:rPr>
        <w:t>项目主要内容：</w:t>
      </w:r>
      <w:r>
        <w:rPr>
          <w:rFonts w:hint="eastAsia" w:ascii="仿宋_GB2312" w:hAnsi="仿宋_GB2312" w:eastAsia="仿宋_GB2312" w:cs="仿宋_GB2312"/>
          <w:b w:val="0"/>
          <w:bCs w:val="0"/>
          <w:kern w:val="2"/>
          <w:sz w:val="32"/>
          <w:szCs w:val="32"/>
          <w:lang w:val="en-US" w:eastAsia="zh-CN" w:bidi="ar-SA"/>
        </w:rPr>
        <w:t>项目经费来源</w:t>
      </w:r>
      <w:r>
        <w:rPr>
          <w:rFonts w:hint="eastAsia" w:ascii="仿宋_GB2312" w:hAnsi="仿宋_GB2312" w:eastAsia="仿宋_GB2312" w:cs="仿宋_GB2312"/>
          <w:sz w:val="32"/>
          <w:szCs w:val="32"/>
          <w:lang w:val="en-US" w:eastAsia="zh-CN"/>
        </w:rPr>
        <w:t>主要包括2019年我校参训学员所交纳的培训费和住宿费，我校收取相关的费用属于预算外教育收费，资金全部上缴财政局国库统一管理,属于非税收入,使用权隶属单位，单位开展相关工作业务在资金收取范围内申请使用。</w:t>
      </w:r>
    </w:p>
    <w:p w14:paraId="3BF7EF8D">
      <w:pPr>
        <w:keepNext w:val="0"/>
        <w:keepLines w:val="0"/>
        <w:pageBreakBefore w:val="0"/>
        <w:kinsoku/>
        <w:wordWrap/>
        <w:overflowPunct/>
        <w:topLinePunct w:val="0"/>
        <w:autoSpaceDE/>
        <w:autoSpaceDN/>
        <w:bidi w:val="0"/>
        <w:adjustRightInd/>
        <w:snapToGrid/>
        <w:spacing w:line="560" w:lineRule="atLeast"/>
        <w:ind w:firstLine="640"/>
        <w:textAlignment w:val="auto"/>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项目实施情况：项目目前已经完成实际设立的目标，项目在实施过程中严格按照目标设立的各阶段任务进行开展工作，在前期立项过程中严格把质量关，建立安全防护机制，保证项目实施各段安全顺利进行。</w:t>
      </w:r>
    </w:p>
    <w:p w14:paraId="40431DD0">
      <w:pPr>
        <w:keepNext w:val="0"/>
        <w:keepLines w:val="0"/>
        <w:pageBreakBefore w:val="0"/>
        <w:kinsoku/>
        <w:wordWrap/>
        <w:overflowPunct/>
        <w:topLinePunct w:val="0"/>
        <w:autoSpaceDE/>
        <w:autoSpaceDN/>
        <w:bidi w:val="0"/>
        <w:adjustRightInd/>
        <w:snapToGrid/>
        <w:spacing w:line="560" w:lineRule="atLeast"/>
        <w:ind w:firstLine="640"/>
        <w:textAlignment w:val="auto"/>
        <w:rPr>
          <w:rFonts w:hint="default"/>
          <w:lang w:val="en-US" w:eastAsia="zh-CN"/>
        </w:rPr>
      </w:pPr>
      <w:r>
        <w:rPr>
          <w:rFonts w:hint="default" w:ascii="仿宋_GB2312" w:hAnsi="仿宋_GB2312" w:eastAsia="仿宋_GB2312" w:cs="仿宋_GB2312"/>
          <w:b w:val="0"/>
          <w:bCs w:val="0"/>
          <w:kern w:val="2"/>
          <w:sz w:val="32"/>
          <w:szCs w:val="32"/>
          <w:lang w:val="en-US" w:eastAsia="zh-CN" w:bidi="ar-SA"/>
        </w:rPr>
        <w:t>本项目总投资</w:t>
      </w:r>
      <w:r>
        <w:rPr>
          <w:rFonts w:hint="eastAsia" w:ascii="仿宋_GB2312" w:hAnsi="仿宋_GB2312" w:eastAsia="仿宋_GB2312" w:cs="仿宋_GB2312"/>
          <w:b w:val="0"/>
          <w:bCs w:val="0"/>
          <w:kern w:val="2"/>
          <w:sz w:val="32"/>
          <w:szCs w:val="32"/>
          <w:lang w:val="en-US" w:eastAsia="zh-CN" w:bidi="ar-SA"/>
        </w:rPr>
        <w:t>63.64</w:t>
      </w:r>
      <w:r>
        <w:rPr>
          <w:rFonts w:hint="default" w:ascii="仿宋_GB2312" w:hAnsi="仿宋_GB2312" w:eastAsia="仿宋_GB2312" w:cs="仿宋_GB2312"/>
          <w:b w:val="0"/>
          <w:bCs w:val="0"/>
          <w:kern w:val="2"/>
          <w:sz w:val="32"/>
          <w:szCs w:val="32"/>
          <w:lang w:val="en-US" w:eastAsia="zh-CN" w:bidi="ar-SA"/>
        </w:rPr>
        <w:t>万元，其中：财政本级资金</w:t>
      </w:r>
      <w:r>
        <w:rPr>
          <w:rFonts w:hint="eastAsia" w:ascii="仿宋_GB2312" w:hAnsi="仿宋_GB2312" w:eastAsia="仿宋_GB2312" w:cs="仿宋_GB2312"/>
          <w:b w:val="0"/>
          <w:bCs w:val="0"/>
          <w:kern w:val="2"/>
          <w:sz w:val="32"/>
          <w:szCs w:val="32"/>
          <w:lang w:val="en-US" w:eastAsia="zh-CN" w:bidi="ar-SA"/>
        </w:rPr>
        <w:t>63.64</w:t>
      </w:r>
      <w:r>
        <w:rPr>
          <w:rFonts w:hint="default" w:ascii="仿宋_GB2312" w:hAnsi="仿宋_GB2312" w:eastAsia="仿宋_GB2312" w:cs="仿宋_GB2312"/>
          <w:b w:val="0"/>
          <w:bCs w:val="0"/>
          <w:kern w:val="2"/>
          <w:sz w:val="32"/>
          <w:szCs w:val="32"/>
          <w:lang w:val="en-US" w:eastAsia="zh-CN" w:bidi="ar-SA"/>
        </w:rPr>
        <w:t>万元。项目实际支出</w:t>
      </w:r>
      <w:r>
        <w:rPr>
          <w:rFonts w:hint="eastAsia" w:ascii="仿宋_GB2312" w:hAnsi="仿宋_GB2312" w:eastAsia="仿宋_GB2312" w:cs="仿宋_GB2312"/>
          <w:b w:val="0"/>
          <w:bCs w:val="0"/>
          <w:kern w:val="2"/>
          <w:sz w:val="32"/>
          <w:szCs w:val="32"/>
          <w:lang w:val="en-US" w:eastAsia="zh-CN" w:bidi="ar-SA"/>
        </w:rPr>
        <w:t>63.44</w:t>
      </w:r>
      <w:r>
        <w:rPr>
          <w:rFonts w:hint="default" w:ascii="仿宋_GB2312" w:hAnsi="仿宋_GB2312" w:eastAsia="仿宋_GB2312" w:cs="仿宋_GB2312"/>
          <w:b w:val="0"/>
          <w:bCs w:val="0"/>
          <w:kern w:val="2"/>
          <w:sz w:val="32"/>
          <w:szCs w:val="32"/>
          <w:lang w:val="en-US" w:eastAsia="zh-CN" w:bidi="ar-SA"/>
        </w:rPr>
        <w:t>万元</w:t>
      </w:r>
      <w:r>
        <w:rPr>
          <w:rFonts w:hint="eastAsia" w:ascii="仿宋_GB2312" w:hAnsi="仿宋_GB2312" w:eastAsia="仿宋_GB2312" w:cs="仿宋_GB2312"/>
          <w:b w:val="0"/>
          <w:bCs w:val="0"/>
          <w:kern w:val="2"/>
          <w:sz w:val="32"/>
          <w:szCs w:val="32"/>
          <w:lang w:val="en-US" w:eastAsia="zh-CN" w:bidi="ar-SA"/>
        </w:rPr>
        <w:t>,</w:t>
      </w:r>
      <w:r>
        <w:rPr>
          <w:rFonts w:hint="default" w:ascii="仿宋_GB2312" w:hAnsi="仿宋_GB2312" w:eastAsia="仿宋_GB2312" w:cs="仿宋_GB2312"/>
          <w:b w:val="0"/>
          <w:bCs w:val="0"/>
          <w:kern w:val="2"/>
          <w:sz w:val="32"/>
          <w:szCs w:val="32"/>
          <w:lang w:val="en-US" w:eastAsia="zh-CN" w:bidi="ar-SA"/>
        </w:rPr>
        <w:t>支出率为</w:t>
      </w:r>
      <w:r>
        <w:rPr>
          <w:rFonts w:hint="eastAsia" w:ascii="仿宋_GB2312" w:hAnsi="仿宋_GB2312" w:eastAsia="仿宋_GB2312" w:cs="仿宋_GB2312"/>
          <w:b w:val="0"/>
          <w:bCs w:val="0"/>
          <w:kern w:val="2"/>
          <w:sz w:val="32"/>
          <w:szCs w:val="32"/>
          <w:lang w:val="en-US" w:eastAsia="zh-CN" w:bidi="ar-SA"/>
        </w:rPr>
        <w:t>99.68</w:t>
      </w:r>
      <w:r>
        <w:rPr>
          <w:rFonts w:hint="default" w:ascii="仿宋_GB2312" w:hAnsi="仿宋_GB2312" w:eastAsia="仿宋_GB2312" w:cs="仿宋_GB2312"/>
          <w:b w:val="0"/>
          <w:bCs w:val="0"/>
          <w:kern w:val="2"/>
          <w:sz w:val="32"/>
          <w:szCs w:val="32"/>
          <w:lang w:val="en-US" w:eastAsia="zh-CN" w:bidi="ar-SA"/>
        </w:rPr>
        <w:t>%。</w:t>
      </w:r>
    </w:p>
    <w:p w14:paraId="496EF1E2">
      <w:pPr>
        <w:keepNext w:val="0"/>
        <w:keepLines w:val="0"/>
        <w:pageBreakBefore w:val="0"/>
        <w:numPr>
          <w:ilvl w:val="0"/>
          <w:numId w:val="1"/>
        </w:numPr>
        <w:kinsoku/>
        <w:wordWrap/>
        <w:overflowPunct/>
        <w:topLinePunct w:val="0"/>
        <w:autoSpaceDE/>
        <w:autoSpaceDN/>
        <w:bidi w:val="0"/>
        <w:adjustRightInd/>
        <w:snapToGrid/>
        <w:spacing w:line="560" w:lineRule="atLeast"/>
        <w:ind w:left="0" w:leftChars="0" w:firstLine="643" w:firstLineChars="200"/>
        <w:textAlignment w:val="auto"/>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资金投入和使用情况</w:t>
      </w:r>
    </w:p>
    <w:p w14:paraId="1DB6C9E4">
      <w:pPr>
        <w:keepNext w:val="0"/>
        <w:keepLines w:val="0"/>
        <w:pageBreakBefore w:val="0"/>
        <w:numPr>
          <w:ilvl w:val="0"/>
          <w:numId w:val="2"/>
        </w:numPr>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sz w:val="32"/>
          <w:szCs w:val="32"/>
        </w:rPr>
        <w:t>资金安排</w:t>
      </w:r>
    </w:p>
    <w:p w14:paraId="297EE395">
      <w:pPr>
        <w:keepNext w:val="0"/>
        <w:keepLines w:val="0"/>
        <w:pageBreakBefore w:val="0"/>
        <w:numPr>
          <w:ilvl w:val="0"/>
          <w:numId w:val="0"/>
        </w:numPr>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项目总投资63.64万元</w:t>
      </w:r>
      <w:r>
        <w:rPr>
          <w:rFonts w:hint="eastAsia" w:ascii="仿宋_GB2312" w:hAnsi="仿宋_GB2312" w:eastAsia="仿宋_GB2312" w:cs="仿宋_GB2312"/>
          <w:b w:val="0"/>
          <w:bCs w:val="0"/>
          <w:kern w:val="2"/>
          <w:sz w:val="32"/>
          <w:szCs w:val="32"/>
          <w:highlight w:val="none"/>
          <w:lang w:val="en-US" w:eastAsia="zh-CN" w:bidi="ar-SA"/>
        </w:rPr>
        <w:t>，按照《专项资金管理办法》及单位财务制度等相关规定，资金支出符合党校教育基地建设经费2019年结余专项资金费用范围，做到了专款专用。在项目资金拨付和使用过程中，为确保项目资金的安全性，提高项目资金使用效率，严格遵循专项资金的拨</w:t>
      </w:r>
      <w:r>
        <w:rPr>
          <w:rFonts w:hint="eastAsia" w:ascii="仿宋_GB2312" w:hAnsi="仿宋_GB2312" w:eastAsia="仿宋_GB2312" w:cs="仿宋_GB2312"/>
          <w:b w:val="0"/>
          <w:bCs w:val="0"/>
          <w:kern w:val="2"/>
          <w:sz w:val="32"/>
          <w:szCs w:val="32"/>
          <w:lang w:val="en-US" w:eastAsia="zh-CN" w:bidi="ar-SA"/>
        </w:rPr>
        <w:t>付程序，认真审核项目实施各阶段的相关材料和手续，根据项目实施进展情况拨付资金。</w:t>
      </w:r>
    </w:p>
    <w:p w14:paraId="1CBBE2C6">
      <w:pPr>
        <w:keepNext w:val="0"/>
        <w:keepLines w:val="0"/>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（2）预算资金来源及使用情况</w:t>
      </w:r>
      <w:bookmarkStart w:id="1" w:name="page10"/>
      <w:bookmarkEnd w:id="1"/>
    </w:p>
    <w:p w14:paraId="58DCF7EA">
      <w:pPr>
        <w:keepNext w:val="0"/>
        <w:keepLines w:val="0"/>
        <w:pageBreakBefore w:val="0"/>
        <w:numPr>
          <w:ilvl w:val="0"/>
          <w:numId w:val="0"/>
        </w:numPr>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项目预算资金来源于预算批复的资金，项目资金到位63.64万元，用于支付项目实施进程中的各项费用。</w:t>
      </w:r>
    </w:p>
    <w:p w14:paraId="73BAAD90">
      <w:pPr>
        <w:keepNext w:val="0"/>
        <w:keepLines w:val="0"/>
        <w:pageBreakBefore w:val="0"/>
        <w:kinsoku/>
        <w:wordWrap/>
        <w:overflowPunct/>
        <w:topLinePunct w:val="0"/>
        <w:autoSpaceDE/>
        <w:autoSpaceDN/>
        <w:bidi w:val="0"/>
        <w:adjustRightInd/>
        <w:snapToGrid/>
        <w:spacing w:line="560" w:lineRule="atLeast"/>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（二）项目绩效目标</w:t>
      </w:r>
    </w:p>
    <w:p w14:paraId="1BCF60D7">
      <w:pPr>
        <w:keepNext w:val="0"/>
        <w:keepLines w:val="0"/>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1、总体目标</w:t>
      </w:r>
    </w:p>
    <w:p w14:paraId="15FC0C68">
      <w:pPr>
        <w:keepNext w:val="0"/>
        <w:keepLines w:val="0"/>
        <w:pageBreakBefore w:val="0"/>
        <w:kinsoku/>
        <w:wordWrap/>
        <w:overflowPunct/>
        <w:topLinePunct w:val="0"/>
        <w:autoSpaceDE/>
        <w:autoSpaceDN/>
        <w:bidi w:val="0"/>
        <w:adjustRightInd/>
        <w:snapToGrid/>
        <w:spacing w:line="560" w:lineRule="atLeast"/>
        <w:ind w:firstLine="640" w:firstLineChars="200"/>
        <w:contextualSpacing/>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项目资金按</w:t>
      </w:r>
      <w:r>
        <w:rPr>
          <w:rFonts w:hint="eastAsia" w:ascii="仿宋_GB2312" w:hAnsi="仿宋_GB2312" w:eastAsia="仿宋_GB2312" w:cs="仿宋_GB2312"/>
          <w:sz w:val="32"/>
          <w:szCs w:val="32"/>
          <w:lang w:val="en-US" w:eastAsia="zh-CN"/>
        </w:rPr>
        <w:t>我单位开展工作有序地进行日常</w:t>
      </w:r>
      <w:r>
        <w:rPr>
          <w:rFonts w:hint="eastAsia" w:ascii="仿宋_GB2312" w:hAnsi="仿宋_GB2312" w:eastAsia="仿宋_GB2312" w:cs="仿宋_GB2312"/>
          <w:sz w:val="32"/>
          <w:szCs w:val="32"/>
        </w:rPr>
        <w:t>支付</w:t>
      </w:r>
      <w:r>
        <w:rPr>
          <w:rFonts w:hint="eastAsia" w:ascii="仿宋_GB2312" w:hAnsi="仿宋_GB2312" w:eastAsia="仿宋_GB2312" w:cs="仿宋_GB2312"/>
          <w:sz w:val="32"/>
          <w:szCs w:val="32"/>
          <w:lang w:val="en-US" w:eastAsia="zh-CN"/>
        </w:rPr>
        <w:t>需求</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项目支出保障了我单位2020</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正常开展教育教学培训及业务工作运转。</w:t>
      </w:r>
    </w:p>
    <w:p w14:paraId="7BD3AF87">
      <w:pPr>
        <w:keepNext w:val="0"/>
        <w:keepLines w:val="0"/>
        <w:pageBreakBefore w:val="0"/>
        <w:kinsoku/>
        <w:wordWrap/>
        <w:overflowPunct/>
        <w:topLinePunct w:val="0"/>
        <w:autoSpaceDE/>
        <w:autoSpaceDN/>
        <w:bidi w:val="0"/>
        <w:adjustRightInd/>
        <w:snapToGrid/>
        <w:spacing w:line="560" w:lineRule="atLeast"/>
        <w:ind w:firstLine="643" w:firstLineChars="200"/>
        <w:contextualSpacing/>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、阶段性目标</w:t>
      </w:r>
    </w:p>
    <w:p w14:paraId="4EC83FED">
      <w:pPr>
        <w:keepNext w:val="0"/>
        <w:keepLines w:val="0"/>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（1）前期准备：根据《</w:t>
      </w:r>
      <w:r>
        <w:rPr>
          <w:rFonts w:hint="eastAsia" w:ascii="仿宋_GB2312" w:hAnsi="仿宋_GB2312" w:eastAsia="仿宋_GB2312" w:cs="仿宋_GB2312"/>
          <w:sz w:val="32"/>
          <w:szCs w:val="32"/>
          <w:highlight w:val="none"/>
          <w:lang w:val="en-US" w:eastAsia="zh-CN"/>
        </w:rPr>
        <w:t>项目实施</w:t>
      </w:r>
      <w:r>
        <w:rPr>
          <w:rFonts w:hint="eastAsia" w:ascii="仿宋_GB2312" w:hAnsi="仿宋_GB2312" w:eastAsia="仿宋_GB2312" w:cs="仿宋_GB2312"/>
          <w:sz w:val="32"/>
          <w:szCs w:val="32"/>
        </w:rPr>
        <w:t>方案》，通过制定项目实施方案，经项目负责人审核通过后，有序开展后续工程。</w:t>
      </w:r>
    </w:p>
    <w:p w14:paraId="0D227DBC">
      <w:pPr>
        <w:keepNext w:val="0"/>
        <w:keepLines w:val="0"/>
        <w:pageBreakBefore w:val="0"/>
        <w:kinsoku/>
        <w:wordWrap/>
        <w:overflowPunct/>
        <w:topLinePunct w:val="0"/>
        <w:autoSpaceDE/>
        <w:autoSpaceDN/>
        <w:bidi w:val="0"/>
        <w:adjustRightInd/>
        <w:snapToGrid/>
        <w:spacing w:line="560" w:lineRule="atLeast"/>
        <w:ind w:firstLine="640" w:firstLineChars="200"/>
        <w:contextualSpacing/>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（2）组织实施：资金一到位，立即根据项目要求实施项目。项目责任人按照《</w:t>
      </w:r>
      <w:r>
        <w:rPr>
          <w:rFonts w:hint="eastAsia" w:ascii="仿宋_GB2312" w:hAnsi="仿宋_GB2312" w:eastAsia="仿宋_GB2312" w:cs="仿宋_GB2312"/>
          <w:sz w:val="32"/>
          <w:szCs w:val="32"/>
          <w:highlight w:val="none"/>
          <w:lang w:val="en-US" w:eastAsia="zh-CN"/>
        </w:rPr>
        <w:t>项目实施</w:t>
      </w:r>
      <w:r>
        <w:rPr>
          <w:rFonts w:hint="eastAsia" w:ascii="仿宋_GB2312" w:hAnsi="仿宋_GB2312" w:eastAsia="仿宋_GB2312" w:cs="仿宋_GB2312"/>
          <w:sz w:val="32"/>
          <w:szCs w:val="32"/>
        </w:rPr>
        <w:t>方案》要求逐一进行项目部署安排，提高项目质量及效率性。根据工作</w:t>
      </w:r>
      <w:r>
        <w:rPr>
          <w:rFonts w:hint="eastAsia" w:ascii="仿宋_GB2312" w:hAnsi="仿宋_GB2312" w:eastAsia="仿宋_GB2312" w:cs="仿宋_GB2312"/>
          <w:sz w:val="32"/>
          <w:szCs w:val="32"/>
          <w:lang w:val="en-US" w:eastAsia="zh-CN"/>
        </w:rPr>
        <w:t>日常需求</w:t>
      </w:r>
      <w:r>
        <w:rPr>
          <w:rFonts w:hint="eastAsia" w:ascii="仿宋_GB2312" w:hAnsi="仿宋_GB2312" w:eastAsia="仿宋_GB2312" w:cs="仿宋_GB2312"/>
          <w:sz w:val="32"/>
          <w:szCs w:val="32"/>
        </w:rPr>
        <w:t>安排，</w:t>
      </w:r>
      <w:r>
        <w:rPr>
          <w:rFonts w:hint="eastAsia" w:ascii="仿宋_GB2312" w:hAnsi="仿宋_GB2312" w:eastAsia="仿宋_GB2312" w:cs="仿宋_GB2312"/>
          <w:sz w:val="32"/>
          <w:szCs w:val="32"/>
          <w:lang w:val="en-US" w:eastAsia="zh-CN"/>
        </w:rPr>
        <w:t>项目分月度、季度进行相关费用支出结算。单位的日常公用经费做到开源节流、手续齐全、合理支出、日清月结。</w:t>
      </w:r>
    </w:p>
    <w:p w14:paraId="2543431E">
      <w:pPr>
        <w:keepNext w:val="0"/>
        <w:keepLines w:val="0"/>
        <w:pageBreakBefore w:val="0"/>
        <w:kinsoku/>
        <w:wordWrap/>
        <w:overflowPunct/>
        <w:topLinePunct w:val="0"/>
        <w:autoSpaceDE/>
        <w:autoSpaceDN/>
        <w:bidi w:val="0"/>
        <w:adjustRightInd/>
        <w:snapToGrid/>
        <w:spacing w:line="560" w:lineRule="atLeast"/>
        <w:textAlignment w:val="auto"/>
        <w:rPr>
          <w:rFonts w:ascii="黑体" w:hAnsi="黑体" w:eastAsia="黑体"/>
          <w:sz w:val="32"/>
          <w:szCs w:val="32"/>
        </w:rPr>
      </w:pPr>
      <w:bookmarkStart w:id="2" w:name="_Toc8059_WPSOffice_Level1"/>
      <w:r>
        <w:rPr>
          <w:rFonts w:hint="eastAsia" w:ascii="黑体" w:hAnsi="黑体" w:eastAsia="黑体"/>
          <w:sz w:val="32"/>
          <w:szCs w:val="32"/>
        </w:rPr>
        <w:t>二、绩效评价工作开展情况</w:t>
      </w:r>
      <w:bookmarkEnd w:id="2"/>
    </w:p>
    <w:p w14:paraId="22A85562">
      <w:pPr>
        <w:keepNext w:val="0"/>
        <w:keepLines w:val="0"/>
        <w:pageBreakBefore w:val="0"/>
        <w:kinsoku/>
        <w:wordWrap/>
        <w:overflowPunct/>
        <w:topLinePunct w:val="0"/>
        <w:autoSpaceDE/>
        <w:autoSpaceDN/>
        <w:bidi w:val="0"/>
        <w:adjustRightInd/>
        <w:snapToGrid/>
        <w:spacing w:line="560" w:lineRule="atLeast"/>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（一）绩效评价目的、对象和范围</w:t>
      </w:r>
    </w:p>
    <w:p w14:paraId="0A238C14">
      <w:pPr>
        <w:keepNext w:val="0"/>
        <w:keepLines w:val="0"/>
        <w:pageBreakBefore w:val="0"/>
        <w:kinsoku/>
        <w:wordWrap/>
        <w:overflowPunct/>
        <w:topLinePunct w:val="0"/>
        <w:autoSpaceDE/>
        <w:autoSpaceDN/>
        <w:bidi w:val="0"/>
        <w:adjustRightInd/>
        <w:snapToGrid/>
        <w:spacing w:line="560" w:lineRule="atLeast"/>
        <w:ind w:firstLine="643" w:firstLineChars="200"/>
        <w:contextualSpacing/>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1、绩效评价的目的</w:t>
      </w:r>
    </w:p>
    <w:p w14:paraId="22060545">
      <w:pPr>
        <w:keepNext w:val="0"/>
        <w:keepLines w:val="0"/>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0B53400A">
      <w:pPr>
        <w:keepNext w:val="0"/>
        <w:keepLines w:val="0"/>
        <w:pageBreakBefore w:val="0"/>
        <w:numPr>
          <w:ilvl w:val="0"/>
          <w:numId w:val="3"/>
        </w:numPr>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项目在实施前向项目负责人提供财政支出绩效方面的资金管理信息，促进项目支出严格按照资金管理规定进行。</w:t>
      </w:r>
    </w:p>
    <w:p w14:paraId="7DE69081">
      <w:pPr>
        <w:keepNext w:val="0"/>
        <w:keepLines w:val="0"/>
        <w:pageBreakBefore w:val="0"/>
        <w:kinsoku/>
        <w:wordWrap/>
        <w:overflowPunct/>
        <w:topLinePunct w:val="0"/>
        <w:autoSpaceDE/>
        <w:autoSpaceDN/>
        <w:bidi w:val="0"/>
        <w:adjustRightInd/>
        <w:snapToGrid/>
        <w:spacing w:line="560" w:lineRule="atLeast"/>
        <w:ind w:left="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（2）项目绩效管理财政支出运行提供及时、有效的信息。</w:t>
      </w:r>
    </w:p>
    <w:p w14:paraId="20BCCDB4">
      <w:pPr>
        <w:keepNext w:val="0"/>
        <w:keepLines w:val="0"/>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综合来看，通过开展有效的财政支出绩效评价管理，达到改进预算管理、控制节约成本，提高预算资金使用效益的目的。</w:t>
      </w:r>
    </w:p>
    <w:p w14:paraId="698F2D87">
      <w:pPr>
        <w:keepNext w:val="0"/>
        <w:keepLines w:val="0"/>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2、绩效评价的对象</w:t>
      </w:r>
    </w:p>
    <w:p w14:paraId="672E6913">
      <w:pPr>
        <w:keepNext w:val="0"/>
        <w:keepLines w:val="0"/>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党校教育基地建设经费2019年结余项目</w:t>
      </w:r>
    </w:p>
    <w:p w14:paraId="07325001">
      <w:pPr>
        <w:keepNext w:val="0"/>
        <w:keepLines w:val="0"/>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3、绩效评价的范围</w:t>
      </w:r>
    </w:p>
    <w:p w14:paraId="5845898B">
      <w:pPr>
        <w:keepNext w:val="0"/>
        <w:keepLines w:val="0"/>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从党校教育基地建设经费2019年结余项目的决策、过程、产出、效益等方面进行评价。</w:t>
      </w:r>
    </w:p>
    <w:p w14:paraId="02929AF6">
      <w:pPr>
        <w:keepNext w:val="0"/>
        <w:keepLines w:val="0"/>
        <w:pageBreakBefore w:val="0"/>
        <w:kinsoku/>
        <w:wordWrap/>
        <w:overflowPunct/>
        <w:topLinePunct w:val="0"/>
        <w:autoSpaceDE/>
        <w:autoSpaceDN/>
        <w:bidi w:val="0"/>
        <w:adjustRightInd/>
        <w:snapToGrid/>
        <w:spacing w:line="560" w:lineRule="atLeast"/>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（二）绩效评价原则、评价指标体系（详情见表1）、评价方法、评价标准。</w:t>
      </w:r>
    </w:p>
    <w:p w14:paraId="51A8B86C">
      <w:pPr>
        <w:keepNext w:val="0"/>
        <w:keepLines w:val="0"/>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1、绩效评价原则</w:t>
      </w:r>
    </w:p>
    <w:p w14:paraId="6832C878">
      <w:pPr>
        <w:keepNext w:val="0"/>
        <w:keepLines w:val="0"/>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本次项目绩效评价遵循以下基本原则：</w:t>
      </w:r>
    </w:p>
    <w:p w14:paraId="24BCF60C">
      <w:pPr>
        <w:keepNext w:val="0"/>
        <w:keepLines w:val="0"/>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（1）科学公正。绩效评价应当运用科学合理的方法，按照规范的程序，对项目绩效进行客观、公正的反映。</w:t>
      </w:r>
    </w:p>
    <w:p w14:paraId="6BA77AF2">
      <w:pPr>
        <w:keepNext w:val="0"/>
        <w:keepLines w:val="0"/>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（2）统筹兼顾。单位自评、部门评价和财政评价应职责明确，各有侧重，相互衔接。单位自评应由项目单位自主实施，即“谁支出、谁自评”。部门评价和财政评价应在单位自评的基础上开展。</w:t>
      </w:r>
    </w:p>
    <w:p w14:paraId="36EDE363">
      <w:pPr>
        <w:keepNext w:val="0"/>
        <w:keepLines w:val="0"/>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（3）激励约束。绩效评价结果应与预算安排、政策调整、改进管理实质性挂钩，体现奖优罚劣和激励相容导向，有效要安排、低效要压减、无效要问责。</w:t>
      </w:r>
    </w:p>
    <w:p w14:paraId="70E8E16F">
      <w:pPr>
        <w:keepNext w:val="0"/>
        <w:keepLines w:val="0"/>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（4）公开透明。绩效评价结果应依法依规公开，并自觉接受社会监督。</w:t>
      </w:r>
    </w:p>
    <w:p w14:paraId="5C52E99D">
      <w:pPr>
        <w:keepNext w:val="0"/>
        <w:keepLines w:val="0"/>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2、评价指标体系</w:t>
      </w:r>
    </w:p>
    <w:p w14:paraId="42F763C9">
      <w:pPr>
        <w:keepNext w:val="0"/>
        <w:keepLines w:val="0"/>
        <w:pageBreakBefore w:val="0"/>
        <w:kinsoku/>
        <w:wordWrap/>
        <w:overflowPunct/>
        <w:topLinePunct w:val="0"/>
        <w:autoSpaceDE/>
        <w:autoSpaceDN/>
        <w:bidi w:val="0"/>
        <w:adjustRightInd/>
        <w:snapToGrid/>
        <w:spacing w:line="560" w:lineRule="atLeast"/>
        <w:ind w:firstLine="641"/>
        <w:textAlignment w:val="auto"/>
        <w:rPr>
          <w:rFonts w:ascii="宋体" w:hAnsi="宋体" w:cs="宋体"/>
          <w:color w:val="000000"/>
          <w:spacing w:val="17"/>
          <w:sz w:val="32"/>
          <w:szCs w:val="32"/>
        </w:rPr>
      </w:pPr>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14:paraId="398DCA40">
      <w:pPr>
        <w:keepNext w:val="0"/>
        <w:keepLines w:val="0"/>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14:paraId="3A1D8BF1">
      <w:pPr>
        <w:keepNext w:val="0"/>
        <w:keepLines w:val="0"/>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1B8809DB">
      <w:pPr>
        <w:keepNext w:val="0"/>
        <w:keepLines w:val="0"/>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14:paraId="33A8EAD1">
      <w:pPr>
        <w:keepNext w:val="0"/>
        <w:keepLines w:val="0"/>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确定各个指标相对于项目总体绩效的权重分值。在绩效评价指标体系中，</w:t>
      </w:r>
      <w:r>
        <w:rPr>
          <w:rFonts w:hint="eastAsia" w:ascii="仿宋_GB2312" w:hAnsi="仿宋_GB2312" w:eastAsia="仿宋_GB2312" w:cs="仿宋_GB2312"/>
          <w:color w:val="000000"/>
          <w:spacing w:val="17"/>
          <w:sz w:val="32"/>
          <w:szCs w:val="32"/>
        </w:rPr>
        <w:t>项</w:t>
      </w:r>
      <w:r>
        <w:rPr>
          <w:rFonts w:hint="eastAsia" w:ascii="仿宋_GB2312" w:hAnsi="仿宋_GB2312" w:eastAsia="仿宋_GB2312" w:cs="仿宋_GB2312"/>
          <w:color w:val="000000"/>
          <w:spacing w:val="17"/>
          <w:sz w:val="32"/>
          <w:szCs w:val="32"/>
          <w:lang w:val="en-US" w:eastAsia="zh-CN"/>
        </w:rPr>
        <w:t>目决策</w:t>
      </w:r>
      <w:r>
        <w:rPr>
          <w:rFonts w:hint="eastAsia" w:ascii="仿宋_GB2312" w:hAnsi="仿宋_GB2312" w:eastAsia="仿宋_GB2312" w:cs="仿宋_GB2312"/>
          <w:color w:val="000000"/>
          <w:spacing w:val="17"/>
          <w:sz w:val="32"/>
          <w:szCs w:val="32"/>
          <w:highlight w:val="none"/>
        </w:rPr>
        <w:t>权重为</w:t>
      </w:r>
      <w:r>
        <w:rPr>
          <w:rFonts w:hint="eastAsia" w:ascii="仿宋_GB2312" w:hAnsi="仿宋_GB2312" w:eastAsia="仿宋_GB2312" w:cs="仿宋_GB2312"/>
          <w:color w:val="000000"/>
          <w:spacing w:val="17"/>
          <w:sz w:val="32"/>
          <w:szCs w:val="32"/>
          <w:highlight w:val="none"/>
          <w:lang w:val="en-US" w:eastAsia="zh-CN"/>
        </w:rPr>
        <w:t>5</w:t>
      </w:r>
      <w:r>
        <w:rPr>
          <w:rFonts w:hint="eastAsia" w:ascii="仿宋_GB2312" w:hAnsi="仿宋_GB2312" w:eastAsia="仿宋_GB2312" w:cs="仿宋_GB2312"/>
          <w:color w:val="000000"/>
          <w:spacing w:val="17"/>
          <w:sz w:val="32"/>
          <w:szCs w:val="32"/>
          <w:highlight w:val="none"/>
        </w:rPr>
        <w:t>，项目</w:t>
      </w:r>
      <w:r>
        <w:rPr>
          <w:rFonts w:hint="eastAsia" w:ascii="仿宋_GB2312" w:hAnsi="仿宋_GB2312" w:eastAsia="仿宋_GB2312" w:cs="仿宋_GB2312"/>
          <w:color w:val="000000"/>
          <w:spacing w:val="17"/>
          <w:sz w:val="32"/>
          <w:szCs w:val="32"/>
          <w:lang w:val="en-US" w:eastAsia="zh-CN"/>
        </w:rPr>
        <w:t>过程</w:t>
      </w:r>
      <w:r>
        <w:rPr>
          <w:rFonts w:hint="eastAsia" w:ascii="仿宋_GB2312" w:hAnsi="仿宋_GB2312" w:eastAsia="仿宋_GB2312" w:cs="仿宋_GB2312"/>
          <w:color w:val="000000"/>
          <w:spacing w:val="17"/>
          <w:sz w:val="32"/>
          <w:szCs w:val="32"/>
          <w:highlight w:val="none"/>
        </w:rPr>
        <w:t>权重占</w:t>
      </w:r>
      <w:r>
        <w:rPr>
          <w:rFonts w:hint="eastAsia" w:ascii="仿宋_GB2312" w:hAnsi="仿宋_GB2312" w:eastAsia="仿宋_GB2312" w:cs="仿宋_GB2312"/>
          <w:color w:val="000000"/>
          <w:spacing w:val="17"/>
          <w:sz w:val="32"/>
          <w:szCs w:val="32"/>
          <w:highlight w:val="none"/>
          <w:lang w:val="en-US" w:eastAsia="zh-CN"/>
        </w:rPr>
        <w:t>5，</w:t>
      </w:r>
      <w:r>
        <w:rPr>
          <w:rFonts w:hint="eastAsia" w:ascii="仿宋_GB2312" w:hAnsi="仿宋_GB2312" w:eastAsia="仿宋_GB2312" w:cs="仿宋_GB2312"/>
          <w:color w:val="000000"/>
          <w:spacing w:val="17"/>
          <w:sz w:val="32"/>
          <w:szCs w:val="32"/>
          <w:highlight w:val="none"/>
        </w:rPr>
        <w:t>项目产出权重值占</w:t>
      </w:r>
      <w:r>
        <w:rPr>
          <w:rFonts w:hint="eastAsia" w:ascii="仿宋_GB2312" w:hAnsi="仿宋_GB2312" w:eastAsia="仿宋_GB2312" w:cs="仿宋_GB2312"/>
          <w:color w:val="000000"/>
          <w:spacing w:val="17"/>
          <w:sz w:val="32"/>
          <w:szCs w:val="32"/>
          <w:highlight w:val="none"/>
          <w:lang w:val="en-US" w:eastAsia="zh-CN"/>
        </w:rPr>
        <w:t>50</w:t>
      </w:r>
      <w:r>
        <w:rPr>
          <w:rFonts w:hint="eastAsia" w:ascii="仿宋_GB2312" w:hAnsi="仿宋_GB2312" w:eastAsia="仿宋_GB2312" w:cs="仿宋_GB2312"/>
          <w:color w:val="000000"/>
          <w:spacing w:val="17"/>
          <w:sz w:val="32"/>
          <w:szCs w:val="32"/>
          <w:highlight w:val="none"/>
        </w:rPr>
        <w:t>，项目效益权重值占</w:t>
      </w:r>
      <w:r>
        <w:rPr>
          <w:rFonts w:hint="eastAsia" w:ascii="仿宋_GB2312" w:hAnsi="仿宋_GB2312" w:eastAsia="仿宋_GB2312" w:cs="仿宋_GB2312"/>
          <w:color w:val="000000"/>
          <w:spacing w:val="17"/>
          <w:sz w:val="32"/>
          <w:szCs w:val="32"/>
          <w:highlight w:val="none"/>
          <w:lang w:val="en-US" w:eastAsia="zh-CN"/>
        </w:rPr>
        <w:t>40</w:t>
      </w:r>
      <w:r>
        <w:rPr>
          <w:rFonts w:hint="eastAsia" w:ascii="仿宋_GB2312" w:hAnsi="仿宋_GB2312" w:eastAsia="仿宋_GB2312" w:cs="仿宋_GB2312"/>
          <w:color w:val="000000"/>
          <w:spacing w:val="17"/>
          <w:sz w:val="32"/>
          <w:szCs w:val="32"/>
          <w:highlight w:val="none"/>
        </w:rPr>
        <w:t>。</w:t>
      </w:r>
    </w:p>
    <w:p w14:paraId="788AEBB0">
      <w:pPr>
        <w:keepNext w:val="0"/>
        <w:keepLines w:val="0"/>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14:paraId="0F30AEA5">
      <w:pPr>
        <w:keepNext w:val="0"/>
        <w:keepLines w:val="0"/>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3C125B76">
      <w:pPr>
        <w:keepNext w:val="0"/>
        <w:keepLines w:val="0"/>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632D32C4">
      <w:pPr>
        <w:keepNext w:val="0"/>
        <w:keepLines w:val="0"/>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具体评价指标体系详情见</w:t>
      </w:r>
      <w:r>
        <w:rPr>
          <w:rFonts w:hint="eastAsia" w:ascii="仿宋_GB2312" w:hAnsi="仿宋_GB2312" w:eastAsia="仿宋_GB2312" w:cs="仿宋_GB2312"/>
          <w:color w:val="000000"/>
          <w:spacing w:val="17"/>
          <w:sz w:val="32"/>
          <w:szCs w:val="32"/>
          <w:lang w:val="en-US" w:eastAsia="zh-CN"/>
        </w:rPr>
        <w:t>附件</w:t>
      </w:r>
      <w:r>
        <w:rPr>
          <w:rFonts w:hint="eastAsia" w:ascii="仿宋_GB2312" w:hAnsi="仿宋_GB2312" w:eastAsia="仿宋_GB2312" w:cs="仿宋_GB2312"/>
          <w:color w:val="000000"/>
          <w:spacing w:val="17"/>
          <w:sz w:val="32"/>
          <w:szCs w:val="32"/>
        </w:rPr>
        <w:t>1</w:t>
      </w:r>
    </w:p>
    <w:p w14:paraId="317AFCE3">
      <w:pPr>
        <w:keepNext w:val="0"/>
        <w:keepLines w:val="0"/>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b/>
          <w:bCs/>
          <w:color w:val="000000"/>
          <w:spacing w:val="17"/>
          <w:sz w:val="32"/>
          <w:szCs w:val="32"/>
        </w:rPr>
      </w:pPr>
      <w:r>
        <w:rPr>
          <w:rFonts w:hint="eastAsia" w:ascii="仿宋_GB2312" w:hAnsi="仿宋_GB2312" w:eastAsia="仿宋_GB2312" w:cs="仿宋_GB2312"/>
          <w:b/>
          <w:bCs/>
          <w:color w:val="000000"/>
          <w:spacing w:val="17"/>
          <w:sz w:val="32"/>
          <w:szCs w:val="32"/>
        </w:rPr>
        <w:t>3、绩效评价方法</w:t>
      </w:r>
    </w:p>
    <w:p w14:paraId="25398453">
      <w:pPr>
        <w:keepNext w:val="0"/>
        <w:keepLines w:val="0"/>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010EB463">
      <w:pPr>
        <w:keepNext w:val="0"/>
        <w:keepLines w:val="0"/>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4AC0695A">
      <w:pPr>
        <w:keepNext w:val="0"/>
        <w:keepLines w:val="0"/>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（1）比较法</w:t>
      </w:r>
    </w:p>
    <w:p w14:paraId="1D4F6C10">
      <w:pPr>
        <w:keepNext w:val="0"/>
        <w:keepLines w:val="0"/>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通过对绩效目标与实施效果、历史与当期情况，综合分析绩效目标实现程度。对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最终验收情况与年度绩效目标对比、预算资金执行情况等相关因素进行比较。</w:t>
      </w:r>
    </w:p>
    <w:p w14:paraId="5E722B7A">
      <w:pPr>
        <w:keepNext w:val="0"/>
        <w:keepLines w:val="0"/>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（2）因素分析法</w:t>
      </w:r>
    </w:p>
    <w:p w14:paraId="439609C1">
      <w:pPr>
        <w:keepNext w:val="0"/>
        <w:keepLines w:val="0"/>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通过综合分析影响绩效目标实现、实施效果的内外因素，评价绩效目标实现程度。通过对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的开展情况、项目产出数量、成本控制、资金拨付文件及自评报告等相关资料的收集和审核，综合分析各因素对绩效目标实现的影响。</w:t>
      </w:r>
    </w:p>
    <w:p w14:paraId="2C8E5360">
      <w:pPr>
        <w:keepNext w:val="0"/>
        <w:keepLines w:val="0"/>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b/>
          <w:bCs/>
          <w:color w:val="000000"/>
          <w:spacing w:val="17"/>
          <w:sz w:val="32"/>
          <w:szCs w:val="32"/>
          <w:lang w:val="en-US" w:eastAsia="zh-CN"/>
        </w:rPr>
      </w:pPr>
      <w:r>
        <w:rPr>
          <w:rFonts w:hint="eastAsia" w:ascii="仿宋_GB2312" w:hAnsi="仿宋_GB2312" w:eastAsia="仿宋_GB2312" w:cs="仿宋_GB2312"/>
          <w:b/>
          <w:bCs/>
          <w:color w:val="000000"/>
          <w:spacing w:val="17"/>
          <w:sz w:val="32"/>
          <w:szCs w:val="32"/>
          <w:lang w:val="en-US" w:eastAsia="zh-CN"/>
        </w:rPr>
        <w:t>4</w:t>
      </w:r>
      <w:r>
        <w:rPr>
          <w:rFonts w:hint="eastAsia" w:ascii="仿宋_GB2312" w:hAnsi="仿宋_GB2312" w:eastAsia="仿宋_GB2312" w:cs="仿宋_GB2312"/>
          <w:b/>
          <w:bCs/>
          <w:color w:val="000000"/>
          <w:spacing w:val="17"/>
          <w:sz w:val="32"/>
          <w:szCs w:val="32"/>
        </w:rPr>
        <w:t>、绩效评价</w:t>
      </w:r>
      <w:r>
        <w:rPr>
          <w:rFonts w:hint="eastAsia" w:ascii="仿宋_GB2312" w:hAnsi="仿宋_GB2312" w:eastAsia="仿宋_GB2312" w:cs="仿宋_GB2312"/>
          <w:b/>
          <w:bCs/>
          <w:color w:val="000000"/>
          <w:spacing w:val="17"/>
          <w:sz w:val="32"/>
          <w:szCs w:val="32"/>
          <w:lang w:val="en-US" w:eastAsia="zh-CN"/>
        </w:rPr>
        <w:t>标准</w:t>
      </w:r>
    </w:p>
    <w:p w14:paraId="07CEDC3B">
      <w:pPr>
        <w:keepNext w:val="0"/>
        <w:keepLines w:val="0"/>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pacing w:val="17"/>
          <w:sz w:val="32"/>
          <w:szCs w:val="32"/>
          <w:highlight w:val="none"/>
          <w:lang w:eastAsia="zh-CN"/>
        </w:rPr>
      </w:pPr>
      <w:r>
        <w:rPr>
          <w:rFonts w:hint="eastAsia" w:ascii="仿宋_GB2312" w:hAnsi="仿宋_GB2312" w:eastAsia="仿宋_GB2312" w:cs="仿宋_GB2312"/>
          <w:color w:val="000000"/>
          <w:spacing w:val="17"/>
          <w:sz w:val="32"/>
          <w:szCs w:val="32"/>
        </w:rPr>
        <w:t>绩效评价标准通常包括计划标准、行业标准、历史标准等，用于对绩效指标完成情况进行比较。</w:t>
      </w:r>
      <w:r>
        <w:rPr>
          <w:rFonts w:hint="eastAsia" w:ascii="仿宋_GB2312" w:hAnsi="仿宋_GB2312" w:eastAsia="仿宋_GB2312" w:cs="仿宋_GB2312"/>
          <w:color w:val="000000"/>
          <w:spacing w:val="17"/>
          <w:sz w:val="32"/>
          <w:szCs w:val="32"/>
          <w:highlight w:val="none"/>
        </w:rPr>
        <w:t>本次评价主要采用了计划标准</w:t>
      </w:r>
      <w:r>
        <w:rPr>
          <w:rFonts w:hint="eastAsia" w:ascii="仿宋_GB2312" w:hAnsi="仿宋_GB2312" w:eastAsia="仿宋_GB2312" w:cs="仿宋_GB2312"/>
          <w:color w:val="000000"/>
          <w:spacing w:val="17"/>
          <w:sz w:val="32"/>
          <w:szCs w:val="32"/>
          <w:highlight w:val="none"/>
          <w:lang w:eastAsia="zh-CN"/>
        </w:rPr>
        <w:t>。</w:t>
      </w:r>
    </w:p>
    <w:p w14:paraId="5169EA09">
      <w:pPr>
        <w:keepNext w:val="0"/>
        <w:keepLines w:val="0"/>
        <w:pageBreakBefore w:val="0"/>
        <w:kinsoku/>
        <w:wordWrap/>
        <w:overflowPunct/>
        <w:topLinePunct w:val="0"/>
        <w:autoSpaceDE/>
        <w:autoSpaceDN/>
        <w:bidi w:val="0"/>
        <w:adjustRightInd/>
        <w:snapToGrid/>
        <w:spacing w:line="560" w:lineRule="atLeast"/>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（三）绩效评价工作过程。</w:t>
      </w:r>
    </w:p>
    <w:p w14:paraId="6F2F7037">
      <w:pPr>
        <w:keepNext w:val="0"/>
        <w:keepLines w:val="0"/>
        <w:pageBreakBefore w:val="0"/>
        <w:widowControl w:val="0"/>
        <w:kinsoku/>
        <w:wordWrap/>
        <w:overflowPunct/>
        <w:topLinePunct w:val="0"/>
        <w:autoSpaceDE/>
        <w:autoSpaceDN/>
        <w:bidi w:val="0"/>
        <w:adjustRightInd/>
        <w:snapToGrid/>
        <w:spacing w:line="560" w:lineRule="atLeast"/>
        <w:ind w:firstLine="641"/>
        <w:textAlignment w:val="auto"/>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1、前期准备。首先成立评价工作组，开展前期调研；其次明确项目绩效目标，设计绩效评价指标体系并确定绩效评价方法；接着确定现场和非现场评价范围，设计资料清单；最后制定评价实施方案并进行论证。</w:t>
      </w:r>
    </w:p>
    <w:p w14:paraId="7B9D5BB2">
      <w:pPr>
        <w:keepNext w:val="0"/>
        <w:keepLines w:val="0"/>
        <w:pageBreakBefore w:val="0"/>
        <w:widowControl w:val="0"/>
        <w:kinsoku/>
        <w:wordWrap/>
        <w:overflowPunct/>
        <w:topLinePunct w:val="0"/>
        <w:autoSpaceDE/>
        <w:autoSpaceDN/>
        <w:bidi w:val="0"/>
        <w:adjustRightInd/>
        <w:snapToGrid/>
        <w:spacing w:line="560" w:lineRule="atLeast"/>
        <w:ind w:firstLine="641"/>
        <w:textAlignment w:val="auto"/>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2、组织实施。制定绩效评价工作方案，具体包括项目概况、评价思路、方法手段、组织实施、进度安排等。收集项目立项依据、相关会议纪要、实施方案、财政资金分配方案、支付管理情况等相关评价资料并进行梳理。</w:t>
      </w:r>
    </w:p>
    <w:p w14:paraId="15D6DD93">
      <w:pPr>
        <w:keepNext w:val="0"/>
        <w:keepLines w:val="0"/>
        <w:pageBreakBefore w:val="0"/>
        <w:widowControl w:val="0"/>
        <w:kinsoku/>
        <w:wordWrap/>
        <w:overflowPunct/>
        <w:topLinePunct w:val="0"/>
        <w:autoSpaceDE/>
        <w:autoSpaceDN/>
        <w:bidi w:val="0"/>
        <w:adjustRightInd/>
        <w:snapToGrid/>
        <w:spacing w:line="560" w:lineRule="atLeast"/>
        <w:ind w:firstLine="641"/>
        <w:textAlignment w:val="auto"/>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3、分析评价。根据收集梳理的资料围绕项目立项、资金落实、业务管理、财务管理、项目产出、项目效益等内容，对照已确定的绩效评价指标进行详细全面的分析评价，逐项打分并形成绩效评价最终结果。</w:t>
      </w:r>
    </w:p>
    <w:p w14:paraId="6AAB584E">
      <w:pPr>
        <w:keepNext w:val="0"/>
        <w:keepLines w:val="0"/>
        <w:pageBreakBefore w:val="0"/>
        <w:numPr>
          <w:ilvl w:val="0"/>
          <w:numId w:val="0"/>
        </w:numPr>
        <w:kinsoku/>
        <w:wordWrap/>
        <w:overflowPunct/>
        <w:topLinePunct w:val="0"/>
        <w:autoSpaceDE/>
        <w:autoSpaceDN/>
        <w:bidi w:val="0"/>
        <w:adjustRightInd/>
        <w:snapToGrid/>
        <w:spacing w:line="560" w:lineRule="atLeast"/>
        <w:textAlignment w:val="auto"/>
        <w:rPr>
          <w:rFonts w:ascii="仿宋_GB2312" w:hAnsi="仿宋_GB2312" w:eastAsia="仿宋_GB2312" w:cs="仿宋_GB2312"/>
          <w:b w:val="0"/>
          <w:bCs w:val="0"/>
          <w:sz w:val="32"/>
          <w:szCs w:val="32"/>
          <w:highlight w:val="none"/>
        </w:rPr>
      </w:pPr>
      <w:bookmarkStart w:id="3" w:name="_Toc18439_WPSOffice_Level1"/>
      <w:r>
        <w:rPr>
          <w:rFonts w:hint="eastAsia" w:ascii="黑体" w:hAnsi="黑体" w:eastAsia="黑体" w:cs="黑体"/>
          <w:sz w:val="32"/>
          <w:szCs w:val="32"/>
          <w:lang w:eastAsia="zh-CN"/>
        </w:rPr>
        <w:t>三、</w:t>
      </w:r>
      <w:r>
        <w:rPr>
          <w:rFonts w:hint="eastAsia" w:ascii="黑体" w:hAnsi="黑体" w:eastAsia="黑体" w:cs="黑体"/>
          <w:sz w:val="32"/>
          <w:szCs w:val="32"/>
        </w:rPr>
        <w:t>综合评价情况及评价结论（附相关评分表）</w:t>
      </w:r>
      <w:bookmarkEnd w:id="3"/>
    </w:p>
    <w:p w14:paraId="42AFDB39">
      <w:pPr>
        <w:keepNext w:val="0"/>
        <w:keepLines w:val="0"/>
        <w:pageBreakBefore w:val="0"/>
        <w:widowControl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对党校教育基地建设经费2019年结余项目进行客观评价，最终评分结果：总得分为 96.49分，属于“优”。其中，项目决策类指标权重为5分，得分为 4.5分，得分率为91.67%。项目过程类指标权重为5分，得分为4.99 分，得分率为 99.68%。项目产出类指标权重为50分，得分为50分，得分率为 100%。项目效益类指标权重为40分，得分为37分，得分率为93.33%。</w:t>
      </w:r>
    </w:p>
    <w:p w14:paraId="57A26C80">
      <w:pPr>
        <w:pStyle w:val="2"/>
        <w:keepNext w:val="0"/>
        <w:keepLines w:val="0"/>
        <w:pageBreakBefore w:val="0"/>
        <w:kinsoku/>
        <w:wordWrap/>
        <w:overflowPunct/>
        <w:topLinePunct w:val="0"/>
        <w:autoSpaceDE/>
        <w:autoSpaceDN/>
        <w:bidi w:val="0"/>
        <w:adjustRightInd/>
        <w:snapToGrid/>
        <w:spacing w:before="0" w:after="0" w:line="560" w:lineRule="atLeas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表</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综合评分表</w:t>
      </w:r>
    </w:p>
    <w:tbl>
      <w:tblPr>
        <w:tblStyle w:val="10"/>
        <w:tblpPr w:leftFromText="180" w:rightFromText="180" w:vertAnchor="text" w:horzAnchor="page" w:tblpX="1016" w:tblpY="-67"/>
        <w:tblOverlap w:val="never"/>
        <w:tblW w:w="944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47"/>
        <w:gridCol w:w="939"/>
        <w:gridCol w:w="1217"/>
        <w:gridCol w:w="1618"/>
        <w:gridCol w:w="690"/>
        <w:gridCol w:w="990"/>
        <w:gridCol w:w="876"/>
        <w:gridCol w:w="1153"/>
        <w:gridCol w:w="910"/>
      </w:tblGrid>
      <w:tr w14:paraId="7710FC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5" w:hRule="atLeast"/>
          <w:tblHeader/>
        </w:trPr>
        <w:tc>
          <w:tcPr>
            <w:tcW w:w="1047" w:type="dxa"/>
            <w:shd w:val="clear" w:color="auto" w:fill="BFBFBF"/>
            <w:vAlign w:val="center"/>
          </w:tcPr>
          <w:p w14:paraId="4DFAB55A">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939" w:type="dxa"/>
            <w:shd w:val="clear" w:color="auto" w:fill="BFBFBF"/>
            <w:vAlign w:val="center"/>
          </w:tcPr>
          <w:p w14:paraId="398DB83F">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1217" w:type="dxa"/>
            <w:shd w:val="clear" w:color="auto" w:fill="BFBFBF"/>
            <w:vAlign w:val="center"/>
          </w:tcPr>
          <w:p w14:paraId="2A63C479">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618" w:type="dxa"/>
            <w:shd w:val="clear" w:color="auto" w:fill="BFBFBF"/>
            <w:vAlign w:val="center"/>
          </w:tcPr>
          <w:p w14:paraId="544E01F2">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690" w:type="dxa"/>
            <w:shd w:val="clear" w:color="auto" w:fill="BFBFBF"/>
            <w:vAlign w:val="center"/>
          </w:tcPr>
          <w:p w14:paraId="237161EE">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990" w:type="dxa"/>
            <w:shd w:val="clear" w:color="auto" w:fill="BFBFBF"/>
            <w:vAlign w:val="center"/>
          </w:tcPr>
          <w:p w14:paraId="5592BBDA">
            <w:pPr>
              <w:keepNext w:val="0"/>
              <w:keepLines w:val="0"/>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目标值</w:t>
            </w:r>
          </w:p>
        </w:tc>
        <w:tc>
          <w:tcPr>
            <w:tcW w:w="876" w:type="dxa"/>
            <w:shd w:val="clear" w:color="auto" w:fill="BFBFBF"/>
            <w:vAlign w:val="center"/>
          </w:tcPr>
          <w:p w14:paraId="3663B43F">
            <w:pPr>
              <w:keepNext w:val="0"/>
              <w:keepLines w:val="0"/>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业绩值</w:t>
            </w:r>
          </w:p>
        </w:tc>
        <w:tc>
          <w:tcPr>
            <w:tcW w:w="1153" w:type="dxa"/>
            <w:shd w:val="clear" w:color="auto" w:fill="BFBFBF"/>
            <w:vAlign w:val="center"/>
          </w:tcPr>
          <w:p w14:paraId="407A3EAC">
            <w:pPr>
              <w:keepNext w:val="0"/>
              <w:keepLines w:val="0"/>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910" w:type="dxa"/>
            <w:shd w:val="clear" w:color="auto" w:fill="BFBFBF"/>
            <w:vAlign w:val="center"/>
          </w:tcPr>
          <w:p w14:paraId="3BC16DCC">
            <w:pPr>
              <w:keepNext w:val="0"/>
              <w:keepLines w:val="0"/>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14:paraId="0C158E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72" w:hRule="atLeast"/>
        </w:trPr>
        <w:tc>
          <w:tcPr>
            <w:tcW w:w="1047" w:type="dxa"/>
            <w:vMerge w:val="restart"/>
            <w:shd w:val="clear" w:color="auto" w:fill="FFFFFF"/>
            <w:vAlign w:val="center"/>
          </w:tcPr>
          <w:p w14:paraId="55C5CA71">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决策　</w:t>
            </w:r>
          </w:p>
          <w:p w14:paraId="5E40CB85">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p w14:paraId="1813F878">
            <w:pPr>
              <w:keepNext w:val="0"/>
              <w:keepLines w:val="0"/>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p w14:paraId="06279C4A">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tc>
        <w:tc>
          <w:tcPr>
            <w:tcW w:w="939" w:type="dxa"/>
            <w:vMerge w:val="restart"/>
            <w:shd w:val="clear" w:color="auto" w:fill="FFFFFF"/>
            <w:vAlign w:val="center"/>
          </w:tcPr>
          <w:p w14:paraId="2F5EA923">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kern w:val="0"/>
                <w:sz w:val="22"/>
                <w:szCs w:val="22"/>
              </w:rPr>
              <w:t>5分</w:t>
            </w:r>
          </w:p>
        </w:tc>
        <w:tc>
          <w:tcPr>
            <w:tcW w:w="1217" w:type="dxa"/>
            <w:vMerge w:val="restart"/>
            <w:shd w:val="clear" w:color="auto" w:fill="FFFFFF"/>
            <w:vAlign w:val="center"/>
          </w:tcPr>
          <w:p w14:paraId="1B3A3B05">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项目立项　</w:t>
            </w:r>
          </w:p>
        </w:tc>
        <w:tc>
          <w:tcPr>
            <w:tcW w:w="1618" w:type="dxa"/>
            <w:shd w:val="clear" w:color="auto" w:fill="FFFFFF"/>
            <w:vAlign w:val="center"/>
          </w:tcPr>
          <w:p w14:paraId="5EFE70B6">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立项依据</w:t>
            </w:r>
          </w:p>
          <w:p w14:paraId="76CD36C5">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充分性</w:t>
            </w:r>
          </w:p>
        </w:tc>
        <w:tc>
          <w:tcPr>
            <w:tcW w:w="690" w:type="dxa"/>
            <w:shd w:val="clear" w:color="auto" w:fill="FFFFFF"/>
            <w:vAlign w:val="center"/>
          </w:tcPr>
          <w:p w14:paraId="15F23F83">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990" w:type="dxa"/>
            <w:shd w:val="clear" w:color="auto" w:fill="FFFFFF"/>
            <w:vAlign w:val="center"/>
          </w:tcPr>
          <w:p w14:paraId="6D01E970">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876" w:type="dxa"/>
            <w:shd w:val="clear" w:color="auto" w:fill="FFFFFF"/>
            <w:vAlign w:val="center"/>
          </w:tcPr>
          <w:p w14:paraId="7CD0960F">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1153" w:type="dxa"/>
            <w:shd w:val="clear" w:color="auto" w:fill="FFFFFF"/>
            <w:vAlign w:val="center"/>
          </w:tcPr>
          <w:p w14:paraId="411E86D4">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10" w:type="dxa"/>
            <w:shd w:val="clear" w:color="auto" w:fill="FFFFFF"/>
            <w:vAlign w:val="center"/>
          </w:tcPr>
          <w:p w14:paraId="1D2DACFD">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r>
      <w:tr w14:paraId="217943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72" w:hRule="atLeast"/>
        </w:trPr>
        <w:tc>
          <w:tcPr>
            <w:tcW w:w="1047" w:type="dxa"/>
            <w:vMerge w:val="continue"/>
            <w:shd w:val="clear" w:color="auto" w:fill="FFFFFF"/>
            <w:vAlign w:val="center"/>
          </w:tcPr>
          <w:p w14:paraId="7E02AB5A">
            <w:pPr>
              <w:keepNext w:val="0"/>
              <w:keepLines w:val="0"/>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39" w:type="dxa"/>
            <w:vMerge w:val="continue"/>
            <w:shd w:val="clear" w:color="auto" w:fill="FFFFFF"/>
            <w:vAlign w:val="center"/>
          </w:tcPr>
          <w:p w14:paraId="4BFA32B0">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17" w:type="dxa"/>
            <w:vMerge w:val="continue"/>
            <w:shd w:val="clear" w:color="auto" w:fill="FFFFFF"/>
            <w:vAlign w:val="center"/>
          </w:tcPr>
          <w:p w14:paraId="1E08EE42">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618" w:type="dxa"/>
            <w:shd w:val="clear" w:color="auto" w:fill="FFFFFF"/>
            <w:vAlign w:val="center"/>
          </w:tcPr>
          <w:p w14:paraId="3A941C7C">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立项程序</w:t>
            </w:r>
          </w:p>
          <w:p w14:paraId="0727036B">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规范性</w:t>
            </w:r>
          </w:p>
        </w:tc>
        <w:tc>
          <w:tcPr>
            <w:tcW w:w="690" w:type="dxa"/>
            <w:shd w:val="clear" w:color="auto" w:fill="FFFFFF"/>
            <w:vAlign w:val="center"/>
          </w:tcPr>
          <w:p w14:paraId="28660602">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990" w:type="dxa"/>
            <w:shd w:val="clear" w:color="auto" w:fill="FFFFFF"/>
            <w:vAlign w:val="center"/>
          </w:tcPr>
          <w:p w14:paraId="3B5C84AF">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876" w:type="dxa"/>
            <w:shd w:val="clear" w:color="auto" w:fill="FFFFFF"/>
            <w:vAlign w:val="center"/>
          </w:tcPr>
          <w:p w14:paraId="4531F18E">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1153" w:type="dxa"/>
            <w:shd w:val="clear" w:color="auto" w:fill="FFFFFF"/>
            <w:vAlign w:val="center"/>
          </w:tcPr>
          <w:p w14:paraId="2C4E5B3F">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10" w:type="dxa"/>
            <w:shd w:val="clear" w:color="auto" w:fill="FFFFFF"/>
            <w:vAlign w:val="center"/>
          </w:tcPr>
          <w:p w14:paraId="62BA2346">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0.5</w:t>
            </w:r>
          </w:p>
        </w:tc>
      </w:tr>
      <w:tr w14:paraId="66E951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72" w:hRule="atLeast"/>
        </w:trPr>
        <w:tc>
          <w:tcPr>
            <w:tcW w:w="1047" w:type="dxa"/>
            <w:vMerge w:val="continue"/>
            <w:shd w:val="clear" w:color="auto" w:fill="FFFFFF"/>
            <w:vAlign w:val="center"/>
          </w:tcPr>
          <w:p w14:paraId="78512AB0">
            <w:pPr>
              <w:keepNext w:val="0"/>
              <w:keepLines w:val="0"/>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39" w:type="dxa"/>
            <w:vMerge w:val="continue"/>
            <w:shd w:val="clear" w:color="auto" w:fill="FFFFFF"/>
            <w:vAlign w:val="center"/>
          </w:tcPr>
          <w:p w14:paraId="5BB6DD73">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17" w:type="dxa"/>
            <w:vMerge w:val="restart"/>
            <w:shd w:val="clear" w:color="auto" w:fill="FFFFFF"/>
            <w:vAlign w:val="center"/>
          </w:tcPr>
          <w:p w14:paraId="2A344324">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绩效目标　</w:t>
            </w:r>
          </w:p>
        </w:tc>
        <w:tc>
          <w:tcPr>
            <w:tcW w:w="1618" w:type="dxa"/>
            <w:shd w:val="clear" w:color="auto" w:fill="FFFFFF"/>
            <w:vAlign w:val="center"/>
          </w:tcPr>
          <w:p w14:paraId="2A0A9B25">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绩效目标</w:t>
            </w:r>
          </w:p>
          <w:p w14:paraId="4AA1B9C3">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690" w:type="dxa"/>
            <w:shd w:val="clear" w:color="000000" w:fill="FFFFFF"/>
            <w:vAlign w:val="center"/>
          </w:tcPr>
          <w:p w14:paraId="57F9F01A">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90" w:type="dxa"/>
            <w:shd w:val="clear" w:color="000000" w:fill="FFFFFF"/>
            <w:vAlign w:val="center"/>
          </w:tcPr>
          <w:p w14:paraId="7B9211EF">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876" w:type="dxa"/>
            <w:shd w:val="clear" w:color="000000" w:fill="FFFFFF"/>
            <w:vAlign w:val="center"/>
          </w:tcPr>
          <w:p w14:paraId="3370D579">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c>
          <w:tcPr>
            <w:tcW w:w="1153" w:type="dxa"/>
            <w:shd w:val="clear" w:color="000000" w:fill="FFFFFF"/>
            <w:vAlign w:val="center"/>
          </w:tcPr>
          <w:p w14:paraId="4A280F04">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50%</w:t>
            </w:r>
          </w:p>
        </w:tc>
        <w:tc>
          <w:tcPr>
            <w:tcW w:w="910" w:type="dxa"/>
            <w:shd w:val="clear" w:color="000000" w:fill="FFFFFF"/>
            <w:vAlign w:val="center"/>
          </w:tcPr>
          <w:p w14:paraId="2BBBB993">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r>
      <w:tr w14:paraId="50E9D3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72" w:hRule="atLeast"/>
        </w:trPr>
        <w:tc>
          <w:tcPr>
            <w:tcW w:w="1047" w:type="dxa"/>
            <w:vMerge w:val="continue"/>
            <w:shd w:val="clear" w:color="auto" w:fill="FFFFFF"/>
            <w:vAlign w:val="center"/>
          </w:tcPr>
          <w:p w14:paraId="6C739E40">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39" w:type="dxa"/>
            <w:vMerge w:val="continue"/>
            <w:shd w:val="clear" w:color="auto" w:fill="FFFFFF"/>
            <w:vAlign w:val="center"/>
          </w:tcPr>
          <w:p w14:paraId="318D42DF">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17" w:type="dxa"/>
            <w:vMerge w:val="continue"/>
            <w:shd w:val="clear" w:color="auto" w:fill="FFFFFF"/>
            <w:vAlign w:val="center"/>
          </w:tcPr>
          <w:p w14:paraId="6535C14A">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618" w:type="dxa"/>
            <w:shd w:val="clear" w:color="auto" w:fill="FFFFFF"/>
            <w:vAlign w:val="center"/>
          </w:tcPr>
          <w:p w14:paraId="2FA72752">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绩效指标</w:t>
            </w:r>
          </w:p>
          <w:p w14:paraId="52657AF4">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明确性</w:t>
            </w:r>
          </w:p>
        </w:tc>
        <w:tc>
          <w:tcPr>
            <w:tcW w:w="690" w:type="dxa"/>
            <w:shd w:val="clear" w:color="000000" w:fill="FFFFFF"/>
            <w:vAlign w:val="center"/>
          </w:tcPr>
          <w:p w14:paraId="73F8EC90">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90" w:type="dxa"/>
            <w:shd w:val="clear" w:color="000000" w:fill="FFFFFF"/>
            <w:vAlign w:val="center"/>
          </w:tcPr>
          <w:p w14:paraId="7008A403">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c>
          <w:tcPr>
            <w:tcW w:w="876" w:type="dxa"/>
            <w:shd w:val="clear" w:color="000000" w:fill="FFFFFF"/>
            <w:vAlign w:val="center"/>
          </w:tcPr>
          <w:p w14:paraId="29C30F39">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c>
          <w:tcPr>
            <w:tcW w:w="1153" w:type="dxa"/>
            <w:shd w:val="clear" w:color="000000" w:fill="FFFFFF"/>
            <w:vAlign w:val="center"/>
          </w:tcPr>
          <w:p w14:paraId="49105980">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10" w:type="dxa"/>
            <w:shd w:val="clear" w:color="000000" w:fill="FFFFFF"/>
            <w:vAlign w:val="center"/>
          </w:tcPr>
          <w:p w14:paraId="4CC0B1EA">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r>
      <w:tr w14:paraId="55507B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72" w:hRule="atLeast"/>
        </w:trPr>
        <w:tc>
          <w:tcPr>
            <w:tcW w:w="1047" w:type="dxa"/>
            <w:vMerge w:val="continue"/>
            <w:shd w:val="clear" w:color="auto" w:fill="FFFFFF"/>
            <w:vAlign w:val="center"/>
          </w:tcPr>
          <w:p w14:paraId="59A6F179">
            <w:pPr>
              <w:keepNext w:val="0"/>
              <w:keepLines w:val="0"/>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39" w:type="dxa"/>
            <w:vMerge w:val="continue"/>
            <w:shd w:val="clear" w:color="auto" w:fill="FFFFFF"/>
            <w:vAlign w:val="center"/>
          </w:tcPr>
          <w:p w14:paraId="1B0429FD">
            <w:pPr>
              <w:keepNext w:val="0"/>
              <w:keepLines w:val="0"/>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17" w:type="dxa"/>
            <w:vMerge w:val="restart"/>
            <w:shd w:val="clear" w:color="auto" w:fill="FFFFFF"/>
            <w:vAlign w:val="center"/>
          </w:tcPr>
          <w:p w14:paraId="70102985">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资金投入</w:t>
            </w:r>
          </w:p>
        </w:tc>
        <w:tc>
          <w:tcPr>
            <w:tcW w:w="1618" w:type="dxa"/>
            <w:shd w:val="clear" w:color="auto" w:fill="FFFFFF"/>
            <w:vAlign w:val="center"/>
          </w:tcPr>
          <w:p w14:paraId="2508D78D">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预算编制</w:t>
            </w:r>
          </w:p>
          <w:p w14:paraId="621D8CB8">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科学性</w:t>
            </w:r>
          </w:p>
        </w:tc>
        <w:tc>
          <w:tcPr>
            <w:tcW w:w="690" w:type="dxa"/>
            <w:shd w:val="clear" w:color="auto" w:fill="FFFFFF"/>
            <w:vAlign w:val="center"/>
          </w:tcPr>
          <w:p w14:paraId="2BDB70B6">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90" w:type="dxa"/>
            <w:shd w:val="clear" w:color="auto" w:fill="FFFFFF"/>
            <w:vAlign w:val="center"/>
          </w:tcPr>
          <w:p w14:paraId="31BF6CD2">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c>
          <w:tcPr>
            <w:tcW w:w="876" w:type="dxa"/>
            <w:shd w:val="clear" w:color="auto" w:fill="FFFFFF"/>
            <w:vAlign w:val="center"/>
          </w:tcPr>
          <w:p w14:paraId="181E9300">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cs="宋体"/>
                <w:color w:val="000000"/>
                <w:kern w:val="0"/>
                <w:sz w:val="22"/>
                <w:szCs w:val="22"/>
                <w:lang w:val="en-US"/>
              </w:rPr>
            </w:pPr>
            <w:r>
              <w:rPr>
                <w:rFonts w:hint="eastAsia" w:ascii="宋体" w:hAnsi="宋体" w:cs="宋体"/>
                <w:color w:val="000000"/>
                <w:kern w:val="0"/>
                <w:sz w:val="22"/>
                <w:szCs w:val="22"/>
                <w:lang w:val="en-US" w:eastAsia="zh-CN"/>
              </w:rPr>
              <w:t>1</w:t>
            </w:r>
          </w:p>
        </w:tc>
        <w:tc>
          <w:tcPr>
            <w:tcW w:w="1153" w:type="dxa"/>
            <w:shd w:val="clear" w:color="auto" w:fill="FFFFFF"/>
            <w:vAlign w:val="center"/>
          </w:tcPr>
          <w:p w14:paraId="03CC61F1">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10" w:type="dxa"/>
            <w:shd w:val="clear" w:color="auto" w:fill="FFFFFF"/>
            <w:vAlign w:val="center"/>
          </w:tcPr>
          <w:p w14:paraId="194C106B">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cs="宋体"/>
                <w:color w:val="000000"/>
                <w:kern w:val="0"/>
                <w:sz w:val="22"/>
                <w:szCs w:val="22"/>
                <w:lang w:val="en-US"/>
              </w:rPr>
            </w:pPr>
            <w:r>
              <w:rPr>
                <w:rFonts w:hint="eastAsia" w:ascii="宋体" w:hAnsi="宋体" w:cs="宋体"/>
                <w:color w:val="000000"/>
                <w:kern w:val="0"/>
                <w:sz w:val="22"/>
                <w:szCs w:val="22"/>
                <w:lang w:val="en-US" w:eastAsia="zh-CN"/>
              </w:rPr>
              <w:t>1</w:t>
            </w:r>
          </w:p>
        </w:tc>
      </w:tr>
      <w:tr w14:paraId="7DD421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72" w:hRule="atLeast"/>
        </w:trPr>
        <w:tc>
          <w:tcPr>
            <w:tcW w:w="1047" w:type="dxa"/>
            <w:vMerge w:val="continue"/>
            <w:shd w:val="clear" w:color="auto" w:fill="FFFFFF"/>
            <w:vAlign w:val="center"/>
          </w:tcPr>
          <w:p w14:paraId="54FB4E77">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39" w:type="dxa"/>
            <w:vMerge w:val="continue"/>
            <w:shd w:val="clear" w:color="auto" w:fill="FFFFFF"/>
            <w:vAlign w:val="center"/>
          </w:tcPr>
          <w:p w14:paraId="094EAA95">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17" w:type="dxa"/>
            <w:vMerge w:val="continue"/>
            <w:shd w:val="clear" w:color="auto" w:fill="FFFFFF"/>
            <w:vAlign w:val="center"/>
          </w:tcPr>
          <w:p w14:paraId="303E5007">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618" w:type="dxa"/>
            <w:shd w:val="clear" w:color="auto" w:fill="FFFFFF"/>
            <w:vAlign w:val="center"/>
          </w:tcPr>
          <w:p w14:paraId="4AECCB71">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资金分配</w:t>
            </w:r>
          </w:p>
          <w:p w14:paraId="0A29876D">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690" w:type="dxa"/>
            <w:shd w:val="clear" w:color="auto" w:fill="FFFFFF"/>
            <w:vAlign w:val="center"/>
          </w:tcPr>
          <w:p w14:paraId="4E71A53C">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90" w:type="dxa"/>
            <w:shd w:val="clear" w:color="auto" w:fill="FFFFFF"/>
            <w:vAlign w:val="center"/>
          </w:tcPr>
          <w:p w14:paraId="75511893">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c>
          <w:tcPr>
            <w:tcW w:w="876" w:type="dxa"/>
            <w:shd w:val="clear" w:color="auto" w:fill="FFFFFF"/>
            <w:vAlign w:val="center"/>
          </w:tcPr>
          <w:p w14:paraId="2F8E6DC5">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c>
          <w:tcPr>
            <w:tcW w:w="1153" w:type="dxa"/>
            <w:shd w:val="clear" w:color="auto" w:fill="FFFFFF"/>
            <w:vAlign w:val="center"/>
          </w:tcPr>
          <w:p w14:paraId="3F8EDD9E">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10" w:type="dxa"/>
            <w:shd w:val="clear" w:color="auto" w:fill="FFFFFF"/>
            <w:vAlign w:val="center"/>
          </w:tcPr>
          <w:p w14:paraId="543F8A84">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r>
      <w:tr w14:paraId="22C65C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1" w:hRule="atLeast"/>
        </w:trPr>
        <w:tc>
          <w:tcPr>
            <w:tcW w:w="1047" w:type="dxa"/>
            <w:vMerge w:val="restart"/>
            <w:shd w:val="clear" w:color="auto" w:fill="FFFFFF"/>
            <w:vAlign w:val="center"/>
          </w:tcPr>
          <w:p w14:paraId="63E9A564">
            <w:pPr>
              <w:keepNext w:val="0"/>
              <w:keepLines w:val="0"/>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过程</w:t>
            </w:r>
          </w:p>
          <w:p w14:paraId="5DC5755F">
            <w:pPr>
              <w:keepNext w:val="0"/>
              <w:keepLines w:val="0"/>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tc>
        <w:tc>
          <w:tcPr>
            <w:tcW w:w="939" w:type="dxa"/>
            <w:vMerge w:val="restart"/>
            <w:shd w:val="clear" w:color="auto" w:fill="FFFFFF"/>
            <w:vAlign w:val="center"/>
          </w:tcPr>
          <w:p w14:paraId="65D86DC0">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kern w:val="0"/>
                <w:sz w:val="22"/>
                <w:szCs w:val="22"/>
              </w:rPr>
              <w:t>5分</w:t>
            </w:r>
          </w:p>
        </w:tc>
        <w:tc>
          <w:tcPr>
            <w:tcW w:w="1217" w:type="dxa"/>
            <w:vMerge w:val="restart"/>
            <w:shd w:val="clear" w:color="auto" w:fill="FFFFFF"/>
            <w:vAlign w:val="center"/>
          </w:tcPr>
          <w:p w14:paraId="5C4ACDEA">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618" w:type="dxa"/>
            <w:shd w:val="clear" w:color="auto" w:fill="FFFFFF"/>
            <w:vAlign w:val="center"/>
          </w:tcPr>
          <w:p w14:paraId="3BD24F38">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资金到位率</w:t>
            </w:r>
          </w:p>
        </w:tc>
        <w:tc>
          <w:tcPr>
            <w:tcW w:w="690" w:type="dxa"/>
            <w:shd w:val="clear" w:color="000000" w:fill="FFFFFF"/>
            <w:vAlign w:val="center"/>
          </w:tcPr>
          <w:p w14:paraId="0504DE01">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90" w:type="dxa"/>
            <w:shd w:val="clear" w:color="000000" w:fill="FFFFFF"/>
            <w:vAlign w:val="center"/>
          </w:tcPr>
          <w:p w14:paraId="7136E6AD">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c>
          <w:tcPr>
            <w:tcW w:w="876" w:type="dxa"/>
            <w:shd w:val="clear" w:color="000000" w:fill="FFFFFF"/>
            <w:vAlign w:val="center"/>
          </w:tcPr>
          <w:p w14:paraId="14881590">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c>
          <w:tcPr>
            <w:tcW w:w="1153" w:type="dxa"/>
            <w:shd w:val="clear" w:color="000000" w:fill="FFFFFF"/>
            <w:vAlign w:val="center"/>
          </w:tcPr>
          <w:p w14:paraId="2C427642">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10" w:type="dxa"/>
            <w:shd w:val="clear" w:color="000000" w:fill="FFFFFF"/>
            <w:vAlign w:val="center"/>
          </w:tcPr>
          <w:p w14:paraId="2CF132D8">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r>
      <w:tr w14:paraId="1E1847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1" w:hRule="atLeast"/>
        </w:trPr>
        <w:tc>
          <w:tcPr>
            <w:tcW w:w="1047" w:type="dxa"/>
            <w:vMerge w:val="continue"/>
            <w:shd w:val="clear" w:color="auto" w:fill="FFFFFF"/>
            <w:vAlign w:val="center"/>
          </w:tcPr>
          <w:p w14:paraId="7078B8B2">
            <w:pPr>
              <w:keepNext w:val="0"/>
              <w:keepLines w:val="0"/>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39" w:type="dxa"/>
            <w:vMerge w:val="continue"/>
            <w:shd w:val="clear" w:color="auto" w:fill="FFFFFF"/>
            <w:vAlign w:val="center"/>
          </w:tcPr>
          <w:p w14:paraId="2A0DF55C">
            <w:pPr>
              <w:keepNext w:val="0"/>
              <w:keepLines w:val="0"/>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17" w:type="dxa"/>
            <w:vMerge w:val="continue"/>
            <w:shd w:val="clear" w:color="auto" w:fill="FFFFFF"/>
            <w:vAlign w:val="center"/>
          </w:tcPr>
          <w:p w14:paraId="2A6FAF70">
            <w:pPr>
              <w:keepNext w:val="0"/>
              <w:keepLines w:val="0"/>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618" w:type="dxa"/>
            <w:shd w:val="clear" w:color="auto" w:fill="FFFFFF"/>
            <w:vAlign w:val="center"/>
          </w:tcPr>
          <w:p w14:paraId="42E148E1">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预算执行率</w:t>
            </w:r>
          </w:p>
        </w:tc>
        <w:tc>
          <w:tcPr>
            <w:tcW w:w="690" w:type="dxa"/>
            <w:shd w:val="clear" w:color="auto" w:fill="FFFFFF"/>
            <w:vAlign w:val="center"/>
          </w:tcPr>
          <w:p w14:paraId="16767DED">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90" w:type="dxa"/>
            <w:shd w:val="clear" w:color="auto" w:fill="FFFFFF"/>
            <w:vAlign w:val="center"/>
          </w:tcPr>
          <w:p w14:paraId="515BC583">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876" w:type="dxa"/>
            <w:shd w:val="clear" w:color="auto" w:fill="FFFFFF"/>
            <w:vAlign w:val="center"/>
          </w:tcPr>
          <w:p w14:paraId="6213B40A">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0.99</w:t>
            </w:r>
          </w:p>
        </w:tc>
        <w:tc>
          <w:tcPr>
            <w:tcW w:w="1153" w:type="dxa"/>
            <w:shd w:val="clear" w:color="auto" w:fill="FFFFFF"/>
            <w:vAlign w:val="center"/>
          </w:tcPr>
          <w:p w14:paraId="5D56A38E">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99.68%</w:t>
            </w:r>
          </w:p>
        </w:tc>
        <w:tc>
          <w:tcPr>
            <w:tcW w:w="910" w:type="dxa"/>
            <w:shd w:val="clear" w:color="auto" w:fill="FFFFFF"/>
            <w:vAlign w:val="center"/>
          </w:tcPr>
          <w:p w14:paraId="46191B69">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0.99</w:t>
            </w:r>
          </w:p>
        </w:tc>
      </w:tr>
      <w:tr w14:paraId="5DF52F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72" w:hRule="atLeast"/>
        </w:trPr>
        <w:tc>
          <w:tcPr>
            <w:tcW w:w="1047" w:type="dxa"/>
            <w:vMerge w:val="continue"/>
            <w:shd w:val="clear" w:color="auto" w:fill="FFFFFF"/>
            <w:vAlign w:val="center"/>
          </w:tcPr>
          <w:p w14:paraId="0C763ABA">
            <w:pPr>
              <w:keepNext w:val="0"/>
              <w:keepLines w:val="0"/>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39" w:type="dxa"/>
            <w:vMerge w:val="continue"/>
            <w:shd w:val="clear" w:color="auto" w:fill="FFFFFF"/>
            <w:vAlign w:val="center"/>
          </w:tcPr>
          <w:p w14:paraId="526368D3">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17" w:type="dxa"/>
            <w:shd w:val="clear" w:color="auto" w:fill="FFFFFF"/>
            <w:vAlign w:val="center"/>
          </w:tcPr>
          <w:p w14:paraId="7ED5632C">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618" w:type="dxa"/>
            <w:shd w:val="clear" w:color="auto" w:fill="FFFFFF"/>
            <w:vAlign w:val="center"/>
          </w:tcPr>
          <w:p w14:paraId="7FA4E870">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资金使用</w:t>
            </w:r>
          </w:p>
          <w:p w14:paraId="450285BB">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合规性</w:t>
            </w:r>
          </w:p>
        </w:tc>
        <w:tc>
          <w:tcPr>
            <w:tcW w:w="690" w:type="dxa"/>
            <w:shd w:val="clear" w:color="000000" w:fill="FFFFFF"/>
            <w:vAlign w:val="center"/>
          </w:tcPr>
          <w:p w14:paraId="75FA8B99">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90" w:type="dxa"/>
            <w:shd w:val="clear" w:color="000000" w:fill="FFFFFF"/>
            <w:vAlign w:val="center"/>
          </w:tcPr>
          <w:p w14:paraId="2C598CE7">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c>
          <w:tcPr>
            <w:tcW w:w="876" w:type="dxa"/>
            <w:shd w:val="clear" w:color="000000" w:fill="FFFFFF"/>
            <w:vAlign w:val="center"/>
          </w:tcPr>
          <w:p w14:paraId="7FAB5074">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c>
          <w:tcPr>
            <w:tcW w:w="1153" w:type="dxa"/>
            <w:shd w:val="clear" w:color="000000" w:fill="FFFFFF"/>
            <w:vAlign w:val="center"/>
          </w:tcPr>
          <w:p w14:paraId="7C7A7D6B">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10" w:type="dxa"/>
            <w:shd w:val="clear" w:color="000000" w:fill="FFFFFF"/>
            <w:vAlign w:val="center"/>
          </w:tcPr>
          <w:p w14:paraId="4A34C0C6">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r>
      <w:tr w14:paraId="15D06E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72" w:hRule="atLeast"/>
        </w:trPr>
        <w:tc>
          <w:tcPr>
            <w:tcW w:w="1047" w:type="dxa"/>
            <w:vMerge w:val="continue"/>
            <w:shd w:val="clear" w:color="auto" w:fill="FFFFFF"/>
            <w:vAlign w:val="center"/>
          </w:tcPr>
          <w:p w14:paraId="644E093F">
            <w:pPr>
              <w:keepNext w:val="0"/>
              <w:keepLines w:val="0"/>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39" w:type="dxa"/>
            <w:vMerge w:val="continue"/>
            <w:shd w:val="clear" w:color="auto" w:fill="FFFFFF"/>
            <w:vAlign w:val="center"/>
          </w:tcPr>
          <w:p w14:paraId="74B0E723">
            <w:pPr>
              <w:keepNext w:val="0"/>
              <w:keepLines w:val="0"/>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17" w:type="dxa"/>
            <w:vMerge w:val="restart"/>
            <w:shd w:val="clear" w:color="auto" w:fill="FFFFFF"/>
            <w:vAlign w:val="center"/>
          </w:tcPr>
          <w:p w14:paraId="14350780">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组织实施</w:t>
            </w:r>
          </w:p>
        </w:tc>
        <w:tc>
          <w:tcPr>
            <w:tcW w:w="1618" w:type="dxa"/>
            <w:shd w:val="clear" w:color="auto" w:fill="FFFFFF"/>
            <w:vAlign w:val="center"/>
          </w:tcPr>
          <w:p w14:paraId="3DF50AAD">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管理制度</w:t>
            </w:r>
          </w:p>
          <w:p w14:paraId="61DA7513">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健全性</w:t>
            </w:r>
          </w:p>
        </w:tc>
        <w:tc>
          <w:tcPr>
            <w:tcW w:w="690" w:type="dxa"/>
            <w:shd w:val="clear" w:color="000000" w:fill="FFFFFF"/>
            <w:vAlign w:val="center"/>
          </w:tcPr>
          <w:p w14:paraId="151122CB">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90" w:type="dxa"/>
            <w:shd w:val="clear" w:color="000000" w:fill="FFFFFF"/>
            <w:vAlign w:val="center"/>
          </w:tcPr>
          <w:p w14:paraId="6FEBC13A">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c>
          <w:tcPr>
            <w:tcW w:w="876" w:type="dxa"/>
            <w:shd w:val="clear" w:color="000000" w:fill="FFFFFF"/>
            <w:vAlign w:val="center"/>
          </w:tcPr>
          <w:p w14:paraId="63C325E6">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c>
          <w:tcPr>
            <w:tcW w:w="1153" w:type="dxa"/>
            <w:shd w:val="clear" w:color="000000" w:fill="FFFFFF"/>
            <w:vAlign w:val="center"/>
          </w:tcPr>
          <w:p w14:paraId="4A21A059">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10" w:type="dxa"/>
            <w:shd w:val="clear" w:color="000000" w:fill="FFFFFF"/>
            <w:vAlign w:val="center"/>
          </w:tcPr>
          <w:p w14:paraId="11636064">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r>
      <w:tr w14:paraId="7D3601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72" w:hRule="atLeast"/>
        </w:trPr>
        <w:tc>
          <w:tcPr>
            <w:tcW w:w="1047" w:type="dxa"/>
            <w:vMerge w:val="continue"/>
            <w:shd w:val="clear" w:color="auto" w:fill="FFFFFF"/>
            <w:vAlign w:val="center"/>
          </w:tcPr>
          <w:p w14:paraId="522F9157">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39" w:type="dxa"/>
            <w:vMerge w:val="continue"/>
            <w:shd w:val="clear" w:color="auto" w:fill="FFFFFF"/>
            <w:vAlign w:val="center"/>
          </w:tcPr>
          <w:p w14:paraId="3B5FD1D6">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17" w:type="dxa"/>
            <w:vMerge w:val="continue"/>
            <w:shd w:val="clear" w:color="auto" w:fill="FFFFFF"/>
            <w:vAlign w:val="center"/>
          </w:tcPr>
          <w:p w14:paraId="50A18535">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618" w:type="dxa"/>
            <w:shd w:val="clear" w:color="auto" w:fill="FFFFFF"/>
            <w:vAlign w:val="center"/>
          </w:tcPr>
          <w:p w14:paraId="5BFB7295">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制度执行</w:t>
            </w:r>
          </w:p>
          <w:p w14:paraId="2B6A83BD">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有效性</w:t>
            </w:r>
          </w:p>
        </w:tc>
        <w:tc>
          <w:tcPr>
            <w:tcW w:w="690" w:type="dxa"/>
            <w:shd w:val="clear" w:color="000000" w:fill="FFFFFF"/>
            <w:vAlign w:val="center"/>
          </w:tcPr>
          <w:p w14:paraId="4688CF22">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90" w:type="dxa"/>
            <w:shd w:val="clear" w:color="000000" w:fill="FFFFFF"/>
            <w:vAlign w:val="center"/>
          </w:tcPr>
          <w:p w14:paraId="2D5BAD97">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c>
          <w:tcPr>
            <w:tcW w:w="876" w:type="dxa"/>
            <w:shd w:val="clear" w:color="000000" w:fill="FFFFFF"/>
            <w:vAlign w:val="center"/>
          </w:tcPr>
          <w:p w14:paraId="1355F163">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c>
          <w:tcPr>
            <w:tcW w:w="1153" w:type="dxa"/>
            <w:shd w:val="clear" w:color="000000" w:fill="FFFFFF"/>
            <w:vAlign w:val="center"/>
          </w:tcPr>
          <w:p w14:paraId="4497163B">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10" w:type="dxa"/>
            <w:shd w:val="clear" w:color="000000" w:fill="FFFFFF"/>
            <w:vAlign w:val="center"/>
          </w:tcPr>
          <w:p w14:paraId="5B4FBBD9">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r>
      <w:tr w14:paraId="630283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1" w:hRule="atLeast"/>
        </w:trPr>
        <w:tc>
          <w:tcPr>
            <w:tcW w:w="1047" w:type="dxa"/>
            <w:vMerge w:val="restart"/>
            <w:shd w:val="clear" w:color="auto" w:fill="FFFFFF"/>
            <w:vAlign w:val="center"/>
          </w:tcPr>
          <w:p w14:paraId="2CE7404E">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w:t>
            </w:r>
          </w:p>
        </w:tc>
        <w:tc>
          <w:tcPr>
            <w:tcW w:w="939" w:type="dxa"/>
            <w:vMerge w:val="restart"/>
            <w:shd w:val="clear" w:color="auto" w:fill="FFFFFF"/>
            <w:vAlign w:val="center"/>
          </w:tcPr>
          <w:p w14:paraId="693F20BF">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kern w:val="0"/>
                <w:sz w:val="22"/>
                <w:szCs w:val="22"/>
              </w:rPr>
              <w:t>50分</w:t>
            </w:r>
          </w:p>
        </w:tc>
        <w:tc>
          <w:tcPr>
            <w:tcW w:w="1217" w:type="dxa"/>
            <w:shd w:val="clear" w:color="auto" w:fill="FFFFFF"/>
            <w:vAlign w:val="center"/>
          </w:tcPr>
          <w:p w14:paraId="37DF1181">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产出数量</w:t>
            </w:r>
          </w:p>
        </w:tc>
        <w:tc>
          <w:tcPr>
            <w:tcW w:w="1618" w:type="dxa"/>
            <w:shd w:val="clear" w:color="auto" w:fill="FFFFFF"/>
            <w:vAlign w:val="center"/>
          </w:tcPr>
          <w:p w14:paraId="4F883611">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cs="宋体"/>
                <w:color w:val="000000"/>
                <w:kern w:val="0"/>
                <w:sz w:val="22"/>
                <w:szCs w:val="22"/>
              </w:rPr>
            </w:pPr>
            <w:r>
              <w:rPr>
                <w:rFonts w:hint="eastAsia" w:ascii="宋体" w:hAnsi="宋体" w:cs="宋体"/>
                <w:color w:val="000000"/>
                <w:kern w:val="0"/>
                <w:sz w:val="22"/>
                <w:szCs w:val="22"/>
                <w:lang w:val="en-US" w:eastAsia="zh-CN"/>
              </w:rPr>
              <w:t>经费保障人数</w:t>
            </w:r>
          </w:p>
        </w:tc>
        <w:tc>
          <w:tcPr>
            <w:tcW w:w="690" w:type="dxa"/>
            <w:shd w:val="clear" w:color="000000" w:fill="FFFFFF"/>
            <w:vAlign w:val="center"/>
          </w:tcPr>
          <w:p w14:paraId="2EF330EA">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15</w:t>
            </w:r>
          </w:p>
        </w:tc>
        <w:tc>
          <w:tcPr>
            <w:tcW w:w="990" w:type="dxa"/>
            <w:shd w:val="clear" w:color="000000" w:fill="FFFFFF"/>
            <w:vAlign w:val="center"/>
          </w:tcPr>
          <w:p w14:paraId="02A35B7D">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876" w:type="dxa"/>
            <w:shd w:val="clear" w:color="000000" w:fill="FFFFFF"/>
            <w:vAlign w:val="center"/>
          </w:tcPr>
          <w:p w14:paraId="22DBD52C">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1153" w:type="dxa"/>
            <w:shd w:val="clear" w:color="000000" w:fill="FFFFFF"/>
            <w:vAlign w:val="center"/>
          </w:tcPr>
          <w:p w14:paraId="6E768965">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10" w:type="dxa"/>
            <w:shd w:val="clear" w:color="000000" w:fill="FFFFFF"/>
            <w:vAlign w:val="center"/>
          </w:tcPr>
          <w:p w14:paraId="6E03928B">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r>
      <w:tr w14:paraId="5D0905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72" w:hRule="atLeast"/>
        </w:trPr>
        <w:tc>
          <w:tcPr>
            <w:tcW w:w="1047" w:type="dxa"/>
            <w:vMerge w:val="continue"/>
            <w:shd w:val="clear" w:color="auto" w:fill="FFFFFF"/>
            <w:vAlign w:val="center"/>
          </w:tcPr>
          <w:p w14:paraId="1AAEC5A2">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39" w:type="dxa"/>
            <w:vMerge w:val="continue"/>
            <w:shd w:val="clear" w:color="auto" w:fill="FFFFFF"/>
            <w:vAlign w:val="center"/>
          </w:tcPr>
          <w:p w14:paraId="257CCAD3">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17" w:type="dxa"/>
            <w:shd w:val="clear" w:color="auto" w:fill="FFFFFF"/>
            <w:vAlign w:val="center"/>
          </w:tcPr>
          <w:p w14:paraId="13059876">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产出质量</w:t>
            </w:r>
          </w:p>
        </w:tc>
        <w:tc>
          <w:tcPr>
            <w:tcW w:w="1618" w:type="dxa"/>
            <w:shd w:val="clear" w:color="auto" w:fill="FFFFFF"/>
            <w:vAlign w:val="center"/>
          </w:tcPr>
          <w:p w14:paraId="2E0A8486">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cs="宋体"/>
                <w:color w:val="000000"/>
                <w:kern w:val="0"/>
                <w:sz w:val="22"/>
                <w:szCs w:val="22"/>
              </w:rPr>
            </w:pPr>
            <w:r>
              <w:rPr>
                <w:rFonts w:hint="eastAsia" w:ascii="宋体" w:hAnsi="宋体" w:cs="宋体"/>
                <w:color w:val="000000"/>
                <w:kern w:val="0"/>
                <w:sz w:val="22"/>
                <w:szCs w:val="22"/>
                <w:lang w:val="en-US" w:eastAsia="zh-CN"/>
              </w:rPr>
              <w:t>经费保障覆盖率</w:t>
            </w:r>
          </w:p>
        </w:tc>
        <w:tc>
          <w:tcPr>
            <w:tcW w:w="690" w:type="dxa"/>
            <w:shd w:val="clear" w:color="000000" w:fill="FFFFFF"/>
            <w:vAlign w:val="center"/>
          </w:tcPr>
          <w:p w14:paraId="133EEC7A">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990" w:type="dxa"/>
            <w:shd w:val="clear" w:color="000000" w:fill="FFFFFF"/>
            <w:vAlign w:val="center"/>
          </w:tcPr>
          <w:p w14:paraId="56470B11">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876" w:type="dxa"/>
            <w:shd w:val="clear" w:color="000000" w:fill="FFFFFF"/>
            <w:vAlign w:val="center"/>
          </w:tcPr>
          <w:p w14:paraId="5C5F4AB0">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1153" w:type="dxa"/>
            <w:shd w:val="clear" w:color="000000" w:fill="FFFFFF"/>
            <w:vAlign w:val="center"/>
          </w:tcPr>
          <w:p w14:paraId="59AFDBDE">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10" w:type="dxa"/>
            <w:shd w:val="clear" w:color="000000" w:fill="FFFFFF"/>
            <w:vAlign w:val="center"/>
          </w:tcPr>
          <w:p w14:paraId="489F8B76">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r w14:paraId="064345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72" w:hRule="atLeast"/>
        </w:trPr>
        <w:tc>
          <w:tcPr>
            <w:tcW w:w="1047" w:type="dxa"/>
            <w:vMerge w:val="continue"/>
            <w:shd w:val="clear" w:color="auto" w:fill="FFFFFF"/>
            <w:vAlign w:val="center"/>
          </w:tcPr>
          <w:p w14:paraId="0451A4B5">
            <w:pPr>
              <w:keepNext w:val="0"/>
              <w:keepLines w:val="0"/>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39" w:type="dxa"/>
            <w:vMerge w:val="continue"/>
            <w:shd w:val="clear" w:color="auto" w:fill="FFFFFF"/>
            <w:vAlign w:val="center"/>
          </w:tcPr>
          <w:p w14:paraId="342C0074">
            <w:pPr>
              <w:keepNext w:val="0"/>
              <w:keepLines w:val="0"/>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17" w:type="dxa"/>
            <w:shd w:val="clear" w:color="auto" w:fill="FFFFFF"/>
            <w:vAlign w:val="center"/>
          </w:tcPr>
          <w:p w14:paraId="08D4A6C5">
            <w:pPr>
              <w:keepNext w:val="0"/>
              <w:keepLines w:val="0"/>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产出时效</w:t>
            </w:r>
          </w:p>
        </w:tc>
        <w:tc>
          <w:tcPr>
            <w:tcW w:w="1618" w:type="dxa"/>
            <w:shd w:val="clear" w:color="auto" w:fill="FFFFFF"/>
            <w:vAlign w:val="center"/>
          </w:tcPr>
          <w:p w14:paraId="28D56359">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cs="宋体"/>
                <w:color w:val="000000"/>
                <w:kern w:val="0"/>
                <w:sz w:val="22"/>
                <w:szCs w:val="22"/>
              </w:rPr>
            </w:pPr>
            <w:r>
              <w:rPr>
                <w:rFonts w:hint="eastAsia" w:ascii="宋体" w:hAnsi="宋体" w:cs="宋体"/>
                <w:color w:val="000000"/>
                <w:kern w:val="0"/>
                <w:sz w:val="22"/>
                <w:szCs w:val="22"/>
                <w:lang w:val="en-US" w:eastAsia="zh-CN"/>
              </w:rPr>
              <w:t>资金拨付</w:t>
            </w:r>
            <w:r>
              <w:rPr>
                <w:rFonts w:hint="eastAsia" w:ascii="宋体" w:hAnsi="宋体" w:cs="宋体"/>
                <w:color w:val="000000"/>
                <w:kern w:val="0"/>
                <w:sz w:val="22"/>
                <w:szCs w:val="22"/>
              </w:rPr>
              <w:t>及时率</w:t>
            </w:r>
          </w:p>
        </w:tc>
        <w:tc>
          <w:tcPr>
            <w:tcW w:w="690" w:type="dxa"/>
            <w:shd w:val="clear" w:color="000000" w:fill="FFFFFF"/>
            <w:vAlign w:val="center"/>
          </w:tcPr>
          <w:p w14:paraId="71299CD4">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15</w:t>
            </w:r>
          </w:p>
        </w:tc>
        <w:tc>
          <w:tcPr>
            <w:tcW w:w="990" w:type="dxa"/>
            <w:shd w:val="clear" w:color="000000" w:fill="FFFFFF"/>
            <w:vAlign w:val="center"/>
          </w:tcPr>
          <w:p w14:paraId="1135F05B">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876" w:type="dxa"/>
            <w:shd w:val="clear" w:color="000000" w:fill="FFFFFF"/>
            <w:vAlign w:val="center"/>
          </w:tcPr>
          <w:p w14:paraId="20CD7943">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1153" w:type="dxa"/>
            <w:shd w:val="clear" w:color="000000" w:fill="FFFFFF"/>
            <w:vAlign w:val="center"/>
          </w:tcPr>
          <w:p w14:paraId="7C09403A">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10" w:type="dxa"/>
            <w:shd w:val="clear" w:color="000000" w:fill="FFFFFF"/>
            <w:vAlign w:val="center"/>
          </w:tcPr>
          <w:p w14:paraId="5BB18229">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r>
      <w:tr w14:paraId="5BFF86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1" w:hRule="atLeast"/>
        </w:trPr>
        <w:tc>
          <w:tcPr>
            <w:tcW w:w="1047" w:type="dxa"/>
            <w:vMerge w:val="continue"/>
            <w:shd w:val="clear" w:color="auto" w:fill="FFFFFF"/>
            <w:vAlign w:val="center"/>
          </w:tcPr>
          <w:p w14:paraId="2A264FB0">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39" w:type="dxa"/>
            <w:vMerge w:val="continue"/>
            <w:shd w:val="clear" w:color="auto" w:fill="FFFFFF"/>
            <w:vAlign w:val="center"/>
          </w:tcPr>
          <w:p w14:paraId="6ED7A3B8">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17" w:type="dxa"/>
            <w:shd w:val="clear" w:color="auto" w:fill="FFFFFF"/>
            <w:vAlign w:val="center"/>
          </w:tcPr>
          <w:p w14:paraId="0CA4C77E">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产出成本</w:t>
            </w:r>
          </w:p>
        </w:tc>
        <w:tc>
          <w:tcPr>
            <w:tcW w:w="1618" w:type="dxa"/>
            <w:shd w:val="clear" w:color="auto" w:fill="FFFFFF"/>
            <w:vAlign w:val="center"/>
          </w:tcPr>
          <w:p w14:paraId="1B45401C">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cs="宋体"/>
                <w:color w:val="000000"/>
                <w:kern w:val="0"/>
                <w:sz w:val="22"/>
                <w:szCs w:val="22"/>
              </w:rPr>
            </w:pPr>
            <w:r>
              <w:rPr>
                <w:rFonts w:hint="eastAsia" w:ascii="宋体" w:hAnsi="宋体" w:cs="宋体"/>
                <w:color w:val="000000"/>
                <w:kern w:val="0"/>
                <w:sz w:val="22"/>
                <w:szCs w:val="22"/>
                <w:lang w:val="en-US" w:eastAsia="zh-CN"/>
              </w:rPr>
              <w:t>项目支出成本</w:t>
            </w:r>
          </w:p>
        </w:tc>
        <w:tc>
          <w:tcPr>
            <w:tcW w:w="690" w:type="dxa"/>
            <w:shd w:val="clear" w:color="000000" w:fill="FFFFFF"/>
            <w:vAlign w:val="center"/>
          </w:tcPr>
          <w:p w14:paraId="3520CDB5">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990" w:type="dxa"/>
            <w:shd w:val="clear" w:color="000000" w:fill="FFFFFF"/>
            <w:vAlign w:val="center"/>
          </w:tcPr>
          <w:p w14:paraId="7E8B7CAF">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876" w:type="dxa"/>
            <w:shd w:val="clear" w:color="000000" w:fill="FFFFFF"/>
            <w:vAlign w:val="center"/>
          </w:tcPr>
          <w:p w14:paraId="3901A534">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1153" w:type="dxa"/>
            <w:shd w:val="clear" w:color="000000" w:fill="FFFFFF"/>
            <w:vAlign w:val="center"/>
          </w:tcPr>
          <w:p w14:paraId="4E706D56">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10" w:type="dxa"/>
            <w:shd w:val="clear" w:color="000000" w:fill="FFFFFF"/>
            <w:vAlign w:val="center"/>
          </w:tcPr>
          <w:p w14:paraId="33C43F4D">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r w14:paraId="587F07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72" w:hRule="atLeast"/>
        </w:trPr>
        <w:tc>
          <w:tcPr>
            <w:tcW w:w="1047" w:type="dxa"/>
            <w:vMerge w:val="restart"/>
            <w:shd w:val="clear" w:color="auto" w:fill="FFFFFF"/>
            <w:vAlign w:val="center"/>
          </w:tcPr>
          <w:p w14:paraId="0CE003DB">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效益　</w:t>
            </w:r>
          </w:p>
        </w:tc>
        <w:tc>
          <w:tcPr>
            <w:tcW w:w="939" w:type="dxa"/>
            <w:vMerge w:val="restart"/>
            <w:shd w:val="clear" w:color="auto" w:fill="FFFFFF"/>
            <w:vAlign w:val="center"/>
          </w:tcPr>
          <w:p w14:paraId="59163879">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40分</w:t>
            </w:r>
          </w:p>
        </w:tc>
        <w:tc>
          <w:tcPr>
            <w:tcW w:w="1217" w:type="dxa"/>
            <w:vMerge w:val="restart"/>
            <w:shd w:val="clear" w:color="auto" w:fill="FFFFFF"/>
            <w:vAlign w:val="center"/>
          </w:tcPr>
          <w:p w14:paraId="61B7C4BB">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eastAsia="zh-CN"/>
              </w:rPr>
              <w:t>社会</w:t>
            </w:r>
            <w:r>
              <w:rPr>
                <w:rFonts w:hint="eastAsia" w:ascii="宋体" w:hAnsi="宋体" w:cs="宋体"/>
                <w:color w:val="000000"/>
                <w:kern w:val="0"/>
                <w:sz w:val="22"/>
                <w:szCs w:val="22"/>
              </w:rPr>
              <w:t>效益　</w:t>
            </w:r>
          </w:p>
        </w:tc>
        <w:tc>
          <w:tcPr>
            <w:tcW w:w="1618" w:type="dxa"/>
            <w:shd w:val="clear" w:color="auto" w:fill="FFFFFF"/>
            <w:vAlign w:val="center"/>
          </w:tcPr>
          <w:p w14:paraId="4F60441B">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cs="宋体"/>
                <w:color w:val="000000"/>
                <w:kern w:val="0"/>
                <w:sz w:val="22"/>
                <w:szCs w:val="22"/>
                <w:lang w:val="en-US" w:eastAsia="zh-CN"/>
              </w:rPr>
            </w:pPr>
            <w:r>
              <w:rPr>
                <w:rFonts w:hint="eastAsia" w:ascii="宋体" w:hAnsi="宋体" w:cs="宋体"/>
                <w:color w:val="000000"/>
                <w:kern w:val="0"/>
                <w:sz w:val="22"/>
                <w:szCs w:val="22"/>
                <w:lang w:val="en-US" w:eastAsia="zh-CN"/>
              </w:rPr>
              <w:t>提升教职工教研能力</w:t>
            </w:r>
          </w:p>
        </w:tc>
        <w:tc>
          <w:tcPr>
            <w:tcW w:w="690" w:type="dxa"/>
            <w:shd w:val="clear" w:color="auto" w:fill="FFFFFF"/>
            <w:vAlign w:val="center"/>
          </w:tcPr>
          <w:p w14:paraId="709F852E">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990" w:type="dxa"/>
            <w:shd w:val="clear" w:color="auto" w:fill="FFFFFF"/>
            <w:vAlign w:val="center"/>
          </w:tcPr>
          <w:p w14:paraId="19EA4CFA">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876" w:type="dxa"/>
            <w:shd w:val="clear" w:color="auto" w:fill="FFFFFF"/>
            <w:vAlign w:val="center"/>
          </w:tcPr>
          <w:p w14:paraId="1C807C7F">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cs="宋体"/>
                <w:color w:val="000000"/>
                <w:kern w:val="0"/>
                <w:sz w:val="22"/>
                <w:szCs w:val="22"/>
                <w:lang w:val="en-US" w:eastAsia="zh-CN"/>
              </w:rPr>
            </w:pPr>
            <w:r>
              <w:rPr>
                <w:rFonts w:hint="eastAsia" w:ascii="宋体" w:hAnsi="宋体" w:cs="宋体"/>
                <w:color w:val="000000"/>
                <w:kern w:val="0"/>
                <w:sz w:val="22"/>
                <w:szCs w:val="22"/>
                <w:lang w:val="en-US" w:eastAsia="zh-CN"/>
              </w:rPr>
              <w:t>12</w:t>
            </w:r>
          </w:p>
        </w:tc>
        <w:tc>
          <w:tcPr>
            <w:tcW w:w="1153" w:type="dxa"/>
            <w:shd w:val="clear" w:color="auto" w:fill="FFFFFF"/>
            <w:vAlign w:val="center"/>
          </w:tcPr>
          <w:p w14:paraId="037580B2">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cs="宋体"/>
                <w:color w:val="000000"/>
                <w:kern w:val="0"/>
                <w:sz w:val="22"/>
                <w:szCs w:val="22"/>
                <w:lang w:val="en-US" w:eastAsia="zh-CN"/>
              </w:rPr>
            </w:pPr>
            <w:r>
              <w:rPr>
                <w:rFonts w:hint="eastAsia" w:ascii="宋体" w:hAnsi="宋体" w:cs="宋体"/>
                <w:color w:val="000000"/>
                <w:kern w:val="0"/>
                <w:sz w:val="22"/>
                <w:szCs w:val="22"/>
                <w:lang w:val="en-US" w:eastAsia="zh-CN"/>
              </w:rPr>
              <w:t>80%</w:t>
            </w:r>
          </w:p>
        </w:tc>
        <w:tc>
          <w:tcPr>
            <w:tcW w:w="910" w:type="dxa"/>
            <w:shd w:val="clear" w:color="auto" w:fill="FFFFFF"/>
            <w:vAlign w:val="center"/>
          </w:tcPr>
          <w:p w14:paraId="16811D8A">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cs="宋体"/>
                <w:color w:val="000000"/>
                <w:kern w:val="0"/>
                <w:sz w:val="22"/>
                <w:szCs w:val="22"/>
                <w:lang w:val="en-US" w:eastAsia="zh-CN"/>
              </w:rPr>
            </w:pPr>
            <w:r>
              <w:rPr>
                <w:rFonts w:hint="eastAsia" w:ascii="宋体" w:hAnsi="宋体" w:cs="宋体"/>
                <w:color w:val="000000"/>
                <w:kern w:val="0"/>
                <w:sz w:val="22"/>
                <w:szCs w:val="22"/>
                <w:lang w:val="en-US" w:eastAsia="zh-CN"/>
              </w:rPr>
              <w:t>12</w:t>
            </w:r>
          </w:p>
        </w:tc>
      </w:tr>
      <w:tr w14:paraId="4EC270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72" w:hRule="atLeast"/>
        </w:trPr>
        <w:tc>
          <w:tcPr>
            <w:tcW w:w="1047" w:type="dxa"/>
            <w:vMerge w:val="continue"/>
            <w:shd w:val="clear" w:color="auto" w:fill="FFFFFF"/>
            <w:vAlign w:val="center"/>
          </w:tcPr>
          <w:p w14:paraId="62878D95">
            <w:pPr>
              <w:keepNext w:val="0"/>
              <w:keepLines w:val="0"/>
              <w:pageBreakBefore w:val="0"/>
              <w:widowControl/>
              <w:kinsoku/>
              <w:wordWrap/>
              <w:overflowPunct/>
              <w:topLinePunct w:val="0"/>
              <w:autoSpaceDE/>
              <w:autoSpaceDN/>
              <w:bidi w:val="0"/>
              <w:adjustRightInd/>
              <w:snapToGrid/>
              <w:spacing w:line="560" w:lineRule="atLeast"/>
              <w:jc w:val="center"/>
              <w:textAlignment w:val="auto"/>
            </w:pPr>
          </w:p>
        </w:tc>
        <w:tc>
          <w:tcPr>
            <w:tcW w:w="939" w:type="dxa"/>
            <w:vMerge w:val="continue"/>
            <w:shd w:val="clear" w:color="auto" w:fill="FFFFFF"/>
            <w:vAlign w:val="center"/>
          </w:tcPr>
          <w:p w14:paraId="509AF0D2">
            <w:pPr>
              <w:keepNext w:val="0"/>
              <w:keepLines w:val="0"/>
              <w:pageBreakBefore w:val="0"/>
              <w:widowControl/>
              <w:kinsoku/>
              <w:wordWrap/>
              <w:overflowPunct/>
              <w:topLinePunct w:val="0"/>
              <w:autoSpaceDE/>
              <w:autoSpaceDN/>
              <w:bidi w:val="0"/>
              <w:adjustRightInd/>
              <w:snapToGrid/>
              <w:spacing w:line="560" w:lineRule="atLeast"/>
              <w:jc w:val="center"/>
              <w:textAlignment w:val="auto"/>
            </w:pPr>
          </w:p>
        </w:tc>
        <w:tc>
          <w:tcPr>
            <w:tcW w:w="1217" w:type="dxa"/>
            <w:vMerge w:val="continue"/>
            <w:shd w:val="clear" w:color="auto" w:fill="FFFFFF"/>
            <w:vAlign w:val="center"/>
          </w:tcPr>
          <w:p w14:paraId="52219ADD">
            <w:pPr>
              <w:keepNext w:val="0"/>
              <w:keepLines w:val="0"/>
              <w:pageBreakBefore w:val="0"/>
              <w:widowControl/>
              <w:kinsoku/>
              <w:wordWrap/>
              <w:overflowPunct/>
              <w:topLinePunct w:val="0"/>
              <w:autoSpaceDE/>
              <w:autoSpaceDN/>
              <w:bidi w:val="0"/>
              <w:adjustRightInd/>
              <w:snapToGrid/>
              <w:spacing w:line="560" w:lineRule="atLeast"/>
              <w:jc w:val="center"/>
              <w:textAlignment w:val="auto"/>
            </w:pPr>
          </w:p>
        </w:tc>
        <w:tc>
          <w:tcPr>
            <w:tcW w:w="1618" w:type="dxa"/>
            <w:shd w:val="clear" w:color="auto" w:fill="FFFFFF"/>
            <w:vAlign w:val="center"/>
          </w:tcPr>
          <w:p w14:paraId="239DA82C">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cs="宋体"/>
                <w:color w:val="000000"/>
                <w:kern w:val="0"/>
                <w:sz w:val="22"/>
                <w:szCs w:val="22"/>
                <w:lang w:val="en-US" w:eastAsia="zh-CN"/>
              </w:rPr>
            </w:pPr>
            <w:r>
              <w:rPr>
                <w:rFonts w:hint="eastAsia" w:ascii="宋体" w:hAnsi="宋体" w:cs="宋体"/>
                <w:color w:val="000000"/>
                <w:kern w:val="0"/>
                <w:sz w:val="22"/>
                <w:szCs w:val="22"/>
                <w:lang w:val="en-US" w:eastAsia="zh-CN"/>
              </w:rPr>
              <w:t>保障日常工作的正常开展</w:t>
            </w:r>
          </w:p>
        </w:tc>
        <w:tc>
          <w:tcPr>
            <w:tcW w:w="690" w:type="dxa"/>
            <w:shd w:val="clear" w:color="auto" w:fill="FFFFFF"/>
            <w:vAlign w:val="center"/>
          </w:tcPr>
          <w:p w14:paraId="51521FDD">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990" w:type="dxa"/>
            <w:shd w:val="clear" w:color="auto" w:fill="FFFFFF"/>
            <w:vAlign w:val="center"/>
          </w:tcPr>
          <w:p w14:paraId="406C2514">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876" w:type="dxa"/>
            <w:shd w:val="clear" w:color="auto" w:fill="FFFFFF"/>
            <w:vAlign w:val="center"/>
          </w:tcPr>
          <w:p w14:paraId="7F5DA94F">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1153" w:type="dxa"/>
            <w:shd w:val="clear" w:color="auto" w:fill="FFFFFF"/>
            <w:vAlign w:val="center"/>
          </w:tcPr>
          <w:p w14:paraId="2F60CA1D">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10" w:type="dxa"/>
            <w:shd w:val="clear" w:color="auto" w:fill="FFFFFF"/>
            <w:vAlign w:val="center"/>
          </w:tcPr>
          <w:p w14:paraId="295B72E6">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r>
      <w:tr w14:paraId="4D48A5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89" w:hRule="atLeast"/>
        </w:trPr>
        <w:tc>
          <w:tcPr>
            <w:tcW w:w="1047" w:type="dxa"/>
            <w:vMerge w:val="continue"/>
            <w:shd w:val="clear" w:color="auto" w:fill="FFFFFF"/>
            <w:vAlign w:val="center"/>
          </w:tcPr>
          <w:p w14:paraId="44C7F88C">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39" w:type="dxa"/>
            <w:vMerge w:val="continue"/>
            <w:shd w:val="clear" w:color="auto" w:fill="FFFFFF"/>
            <w:vAlign w:val="center"/>
          </w:tcPr>
          <w:p w14:paraId="4C49AD0B">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17" w:type="dxa"/>
            <w:shd w:val="clear" w:color="auto" w:fill="FFFFFF"/>
            <w:vAlign w:val="center"/>
          </w:tcPr>
          <w:p w14:paraId="28DB3EE2">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满意度</w:t>
            </w:r>
          </w:p>
        </w:tc>
        <w:tc>
          <w:tcPr>
            <w:tcW w:w="1618" w:type="dxa"/>
            <w:shd w:val="clear" w:color="auto" w:fill="FFFFFF"/>
            <w:vAlign w:val="center"/>
          </w:tcPr>
          <w:p w14:paraId="3241DFE8">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eastAsia="zh-CN"/>
              </w:rPr>
              <w:t>单位使用人满意度</w:t>
            </w:r>
          </w:p>
        </w:tc>
        <w:tc>
          <w:tcPr>
            <w:tcW w:w="690" w:type="dxa"/>
            <w:shd w:val="clear" w:color="000000" w:fill="FFFFFF"/>
            <w:vAlign w:val="center"/>
          </w:tcPr>
          <w:p w14:paraId="3547212C">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990" w:type="dxa"/>
            <w:shd w:val="clear" w:color="000000" w:fill="FFFFFF"/>
            <w:vAlign w:val="center"/>
          </w:tcPr>
          <w:p w14:paraId="6DC327F1">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w:t>
            </w:r>
          </w:p>
        </w:tc>
        <w:tc>
          <w:tcPr>
            <w:tcW w:w="876" w:type="dxa"/>
            <w:shd w:val="clear" w:color="000000" w:fill="FFFFFF"/>
            <w:vAlign w:val="center"/>
          </w:tcPr>
          <w:p w14:paraId="109FC2EB">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w:t>
            </w:r>
          </w:p>
        </w:tc>
        <w:tc>
          <w:tcPr>
            <w:tcW w:w="1153" w:type="dxa"/>
            <w:shd w:val="clear" w:color="000000" w:fill="FFFFFF"/>
            <w:vAlign w:val="center"/>
          </w:tcPr>
          <w:p w14:paraId="74890799">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10" w:type="dxa"/>
            <w:shd w:val="clear" w:color="000000" w:fill="FFFFFF"/>
            <w:vAlign w:val="center"/>
          </w:tcPr>
          <w:p w14:paraId="01E2A44A">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w:t>
            </w:r>
          </w:p>
        </w:tc>
      </w:tr>
    </w:tbl>
    <w:p w14:paraId="6AC01228">
      <w:pPr>
        <w:keepNext w:val="0"/>
        <w:keepLines w:val="0"/>
        <w:pageBreakBefore w:val="0"/>
        <w:numPr>
          <w:ilvl w:val="0"/>
          <w:numId w:val="0"/>
        </w:numPr>
        <w:kinsoku/>
        <w:wordWrap/>
        <w:overflowPunct/>
        <w:topLinePunct w:val="0"/>
        <w:autoSpaceDE/>
        <w:autoSpaceDN/>
        <w:bidi w:val="0"/>
        <w:adjustRightInd/>
        <w:snapToGrid/>
        <w:spacing w:line="560" w:lineRule="atLeast"/>
        <w:textAlignment w:val="auto"/>
        <w:rPr>
          <w:rFonts w:hint="eastAsia" w:ascii="黑体" w:hAnsi="黑体" w:eastAsia="黑体" w:cs="黑体"/>
          <w:sz w:val="32"/>
          <w:szCs w:val="32"/>
          <w:lang w:eastAsia="zh-CN"/>
        </w:rPr>
      </w:pPr>
      <w:bookmarkStart w:id="4" w:name="_Toc29844_WPSOffice_Level1"/>
      <w:r>
        <w:rPr>
          <w:rFonts w:hint="eastAsia" w:ascii="黑体" w:hAnsi="黑体" w:eastAsia="黑体" w:cs="黑体"/>
          <w:sz w:val="32"/>
          <w:szCs w:val="32"/>
          <w:lang w:eastAsia="zh-CN"/>
        </w:rPr>
        <w:t>四、绩效评价指标分析</w:t>
      </w:r>
      <w:bookmarkEnd w:id="4"/>
    </w:p>
    <w:p w14:paraId="37FC87DC">
      <w:pPr>
        <w:keepNext w:val="0"/>
        <w:keepLines w:val="0"/>
        <w:pageBreakBefore w:val="0"/>
        <w:kinsoku/>
        <w:wordWrap/>
        <w:overflowPunct/>
        <w:topLinePunct w:val="0"/>
        <w:autoSpaceDE/>
        <w:autoSpaceDN/>
        <w:bidi w:val="0"/>
        <w:adjustRightInd/>
        <w:snapToGrid/>
        <w:spacing w:line="560" w:lineRule="atLeast"/>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（一）项目决策情况</w:t>
      </w:r>
    </w:p>
    <w:p w14:paraId="16F17DE5">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项目决策指标从</w:t>
      </w:r>
      <w:r>
        <w:rPr>
          <w:rFonts w:hint="eastAsia" w:ascii="仿宋_GB2312" w:hAnsi="仿宋_GB2312" w:eastAsia="仿宋_GB2312" w:cs="仿宋_GB2312"/>
          <w:sz w:val="32"/>
          <w:szCs w:val="32"/>
          <w:lang w:eastAsia="zh-CN"/>
        </w:rPr>
        <w:t>项目立项、</w:t>
      </w:r>
      <w:r>
        <w:rPr>
          <w:rFonts w:hint="eastAsia" w:ascii="仿宋_GB2312" w:hAnsi="仿宋_GB2312" w:eastAsia="仿宋_GB2312" w:cs="仿宋_GB2312"/>
          <w:sz w:val="32"/>
          <w:szCs w:val="32"/>
        </w:rPr>
        <w:t>绩效目标、资金投入</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个方面对项目的决策进行考察，项目决策类指标分值</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分，实际得分</w:t>
      </w:r>
      <w:r>
        <w:rPr>
          <w:rFonts w:hint="eastAsia" w:ascii="仿宋_GB2312" w:hAnsi="仿宋_GB2312" w:eastAsia="仿宋_GB2312" w:cs="仿宋_GB2312"/>
          <w:sz w:val="32"/>
          <w:szCs w:val="32"/>
          <w:lang w:val="en-US" w:eastAsia="zh-CN"/>
        </w:rPr>
        <w:t>4.5</w:t>
      </w:r>
      <w:r>
        <w:rPr>
          <w:rFonts w:hint="eastAsia" w:ascii="仿宋_GB2312" w:hAnsi="仿宋_GB2312" w:eastAsia="仿宋_GB2312" w:cs="仿宋_GB2312"/>
          <w:sz w:val="32"/>
          <w:szCs w:val="32"/>
        </w:rPr>
        <w:t>分，得分率</w:t>
      </w:r>
      <w:r>
        <w:rPr>
          <w:rFonts w:hint="eastAsia" w:ascii="仿宋_GB2312" w:hAnsi="仿宋_GB2312" w:eastAsia="仿宋_GB2312" w:cs="仿宋_GB2312"/>
          <w:sz w:val="32"/>
          <w:szCs w:val="32"/>
          <w:lang w:val="en-US" w:eastAsia="zh-CN"/>
        </w:rPr>
        <w:t>91.67</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。项目决策指标得分情况如表所示。</w:t>
      </w:r>
    </w:p>
    <w:tbl>
      <w:tblPr>
        <w:tblStyle w:val="10"/>
        <w:tblW w:w="9060" w:type="dxa"/>
        <w:tblInd w:w="0" w:type="dxa"/>
        <w:tblLayout w:type="fixed"/>
        <w:tblCellMar>
          <w:top w:w="0" w:type="dxa"/>
          <w:left w:w="108" w:type="dxa"/>
          <w:bottom w:w="0" w:type="dxa"/>
          <w:right w:w="108" w:type="dxa"/>
        </w:tblCellMar>
      </w:tblPr>
      <w:tblGrid>
        <w:gridCol w:w="2674"/>
        <w:gridCol w:w="2412"/>
        <w:gridCol w:w="2111"/>
        <w:gridCol w:w="1863"/>
      </w:tblGrid>
      <w:tr w14:paraId="58FFB3C6">
        <w:tblPrEx>
          <w:tblCellMar>
            <w:top w:w="0" w:type="dxa"/>
            <w:left w:w="108" w:type="dxa"/>
            <w:bottom w:w="0" w:type="dxa"/>
            <w:right w:w="108" w:type="dxa"/>
          </w:tblCellMar>
        </w:tblPrEx>
        <w:trPr>
          <w:trHeight w:val="353" w:hRule="atLeast"/>
        </w:trPr>
        <w:tc>
          <w:tcPr>
            <w:tcW w:w="9060" w:type="dxa"/>
            <w:gridSpan w:val="4"/>
            <w:tcBorders>
              <w:top w:val="nil"/>
              <w:left w:val="nil"/>
              <w:bottom w:val="single" w:color="auto" w:sz="8" w:space="0"/>
              <w:right w:val="nil"/>
            </w:tcBorders>
            <w:noWrap/>
            <w:vAlign w:val="center"/>
          </w:tcPr>
          <w:p w14:paraId="3A1931F1">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仿宋_GB2312" w:hAnsi="仿宋_GB2312" w:eastAsia="仿宋_GB2312" w:cs="仿宋_GB2312"/>
                <w:b/>
                <w:sz w:val="32"/>
                <w:szCs w:val="32"/>
              </w:rPr>
            </w:pPr>
            <w:r>
              <w:rPr>
                <w:rFonts w:hint="eastAsia" w:ascii="仿宋_GB2312" w:hAnsi="仿宋_GB2312" w:eastAsia="仿宋_GB2312" w:cs="仿宋_GB2312"/>
                <w:b/>
                <w:sz w:val="32"/>
                <w:szCs w:val="32"/>
              </w:rPr>
              <w:t>项目决策指标得分情况</w:t>
            </w:r>
          </w:p>
        </w:tc>
      </w:tr>
      <w:tr w14:paraId="2F4BA3A3">
        <w:tblPrEx>
          <w:tblCellMar>
            <w:top w:w="0" w:type="dxa"/>
            <w:left w:w="108" w:type="dxa"/>
            <w:bottom w:w="0" w:type="dxa"/>
            <w:right w:w="108" w:type="dxa"/>
          </w:tblCellMar>
        </w:tblPrEx>
        <w:trPr>
          <w:trHeight w:val="611" w:hRule="exact"/>
        </w:trPr>
        <w:tc>
          <w:tcPr>
            <w:tcW w:w="2674" w:type="dxa"/>
            <w:tcBorders>
              <w:top w:val="nil"/>
              <w:left w:val="single" w:color="auto" w:sz="8" w:space="0"/>
              <w:bottom w:val="single" w:color="auto" w:sz="8" w:space="0"/>
              <w:right w:val="single" w:color="auto" w:sz="8" w:space="0"/>
            </w:tcBorders>
            <w:shd w:val="clear" w:color="000000" w:fill="A6A6A6"/>
            <w:vAlign w:val="center"/>
          </w:tcPr>
          <w:p w14:paraId="7589364F">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lang w:eastAsia="zh-CN"/>
              </w:rPr>
              <w:t>二</w:t>
            </w:r>
            <w:r>
              <w:rPr>
                <w:rFonts w:hint="eastAsia" w:ascii="仿宋_GB2312" w:hAnsi="仿宋_GB2312" w:eastAsia="仿宋_GB2312" w:cs="仿宋_GB2312"/>
                <w:b/>
                <w:sz w:val="30"/>
                <w:szCs w:val="30"/>
              </w:rPr>
              <w:t>级指标</w:t>
            </w:r>
          </w:p>
        </w:tc>
        <w:tc>
          <w:tcPr>
            <w:tcW w:w="2412" w:type="dxa"/>
            <w:tcBorders>
              <w:top w:val="nil"/>
              <w:left w:val="nil"/>
              <w:bottom w:val="single" w:color="auto" w:sz="8" w:space="0"/>
              <w:right w:val="single" w:color="auto" w:sz="8" w:space="0"/>
            </w:tcBorders>
            <w:shd w:val="clear" w:color="000000" w:fill="A6A6A6"/>
            <w:vAlign w:val="center"/>
          </w:tcPr>
          <w:p w14:paraId="5045B22A">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权重</w:t>
            </w:r>
          </w:p>
        </w:tc>
        <w:tc>
          <w:tcPr>
            <w:tcW w:w="2111" w:type="dxa"/>
            <w:tcBorders>
              <w:top w:val="nil"/>
              <w:left w:val="nil"/>
              <w:bottom w:val="single" w:color="auto" w:sz="8" w:space="0"/>
              <w:right w:val="single" w:color="auto" w:sz="8" w:space="0"/>
            </w:tcBorders>
            <w:shd w:val="clear" w:color="000000" w:fill="A6A6A6"/>
            <w:vAlign w:val="center"/>
          </w:tcPr>
          <w:p w14:paraId="1E549B86">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得分率</w:t>
            </w:r>
          </w:p>
        </w:tc>
        <w:tc>
          <w:tcPr>
            <w:tcW w:w="1863" w:type="dxa"/>
            <w:tcBorders>
              <w:top w:val="nil"/>
              <w:left w:val="nil"/>
              <w:bottom w:val="single" w:color="auto" w:sz="8" w:space="0"/>
              <w:right w:val="single" w:color="auto" w:sz="8" w:space="0"/>
            </w:tcBorders>
            <w:shd w:val="clear" w:color="000000" w:fill="A6A6A6"/>
            <w:vAlign w:val="center"/>
          </w:tcPr>
          <w:p w14:paraId="4E74660A">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实际得分</w:t>
            </w:r>
          </w:p>
        </w:tc>
      </w:tr>
      <w:tr w14:paraId="5ED12A27">
        <w:tblPrEx>
          <w:tblCellMar>
            <w:top w:w="0" w:type="dxa"/>
            <w:left w:w="108" w:type="dxa"/>
            <w:bottom w:w="0" w:type="dxa"/>
            <w:right w:w="108" w:type="dxa"/>
          </w:tblCellMar>
        </w:tblPrEx>
        <w:trPr>
          <w:trHeight w:val="548" w:hRule="exact"/>
        </w:trPr>
        <w:tc>
          <w:tcPr>
            <w:tcW w:w="2674" w:type="dxa"/>
            <w:tcBorders>
              <w:top w:val="nil"/>
              <w:left w:val="single" w:color="auto" w:sz="8" w:space="0"/>
              <w:bottom w:val="single" w:color="auto" w:sz="8" w:space="0"/>
              <w:right w:val="single" w:color="auto" w:sz="8" w:space="0"/>
            </w:tcBorders>
            <w:vAlign w:val="center"/>
          </w:tcPr>
          <w:p w14:paraId="1D08B476">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项目立项</w:t>
            </w:r>
          </w:p>
        </w:tc>
        <w:tc>
          <w:tcPr>
            <w:tcW w:w="2412" w:type="dxa"/>
            <w:tcBorders>
              <w:top w:val="nil"/>
              <w:left w:val="nil"/>
              <w:bottom w:val="single" w:color="auto" w:sz="8" w:space="0"/>
              <w:right w:val="single" w:color="auto" w:sz="8" w:space="0"/>
            </w:tcBorders>
            <w:vAlign w:val="center"/>
          </w:tcPr>
          <w:p w14:paraId="22FC8900">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p>
        </w:tc>
        <w:tc>
          <w:tcPr>
            <w:tcW w:w="2111" w:type="dxa"/>
            <w:tcBorders>
              <w:top w:val="nil"/>
              <w:left w:val="nil"/>
              <w:bottom w:val="single" w:color="auto" w:sz="8" w:space="0"/>
              <w:right w:val="single" w:color="auto" w:sz="8" w:space="0"/>
            </w:tcBorders>
            <w:vAlign w:val="center"/>
          </w:tcPr>
          <w:p w14:paraId="490542A0">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tc>
        <w:tc>
          <w:tcPr>
            <w:tcW w:w="1863" w:type="dxa"/>
            <w:tcBorders>
              <w:top w:val="nil"/>
              <w:left w:val="nil"/>
              <w:bottom w:val="single" w:color="auto" w:sz="8" w:space="0"/>
              <w:right w:val="single" w:color="auto" w:sz="8" w:space="0"/>
            </w:tcBorders>
            <w:vAlign w:val="center"/>
          </w:tcPr>
          <w:p w14:paraId="37F78B34">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w:t>
            </w:r>
          </w:p>
        </w:tc>
      </w:tr>
      <w:tr w14:paraId="54773E94">
        <w:tblPrEx>
          <w:tblCellMar>
            <w:top w:w="0" w:type="dxa"/>
            <w:left w:w="108" w:type="dxa"/>
            <w:bottom w:w="0" w:type="dxa"/>
            <w:right w:w="108" w:type="dxa"/>
          </w:tblCellMar>
        </w:tblPrEx>
        <w:trPr>
          <w:trHeight w:val="561" w:hRule="exact"/>
        </w:trPr>
        <w:tc>
          <w:tcPr>
            <w:tcW w:w="2674" w:type="dxa"/>
            <w:tcBorders>
              <w:top w:val="nil"/>
              <w:left w:val="single" w:color="auto" w:sz="8" w:space="0"/>
              <w:bottom w:val="single" w:color="auto" w:sz="8" w:space="0"/>
              <w:right w:val="single" w:color="auto" w:sz="8" w:space="0"/>
            </w:tcBorders>
            <w:vAlign w:val="center"/>
          </w:tcPr>
          <w:p w14:paraId="2DC1E79F">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绩效目标</w:t>
            </w:r>
          </w:p>
        </w:tc>
        <w:tc>
          <w:tcPr>
            <w:tcW w:w="2412" w:type="dxa"/>
            <w:tcBorders>
              <w:top w:val="nil"/>
              <w:left w:val="nil"/>
              <w:bottom w:val="single" w:color="auto" w:sz="8" w:space="0"/>
              <w:right w:val="single" w:color="auto" w:sz="8" w:space="0"/>
            </w:tcBorders>
            <w:vAlign w:val="center"/>
          </w:tcPr>
          <w:p w14:paraId="2B81E169">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p>
        </w:tc>
        <w:tc>
          <w:tcPr>
            <w:tcW w:w="2111" w:type="dxa"/>
            <w:tcBorders>
              <w:top w:val="nil"/>
              <w:left w:val="nil"/>
              <w:bottom w:val="single" w:color="auto" w:sz="8" w:space="0"/>
              <w:right w:val="single" w:color="auto" w:sz="8" w:space="0"/>
            </w:tcBorders>
            <w:vAlign w:val="center"/>
          </w:tcPr>
          <w:p w14:paraId="47ACE56F">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75</w:t>
            </w:r>
            <w:r>
              <w:rPr>
                <w:rFonts w:hint="eastAsia" w:ascii="仿宋_GB2312" w:hAnsi="仿宋_GB2312" w:eastAsia="仿宋_GB2312" w:cs="仿宋_GB2312"/>
                <w:sz w:val="32"/>
                <w:szCs w:val="32"/>
              </w:rPr>
              <w:t>%</w:t>
            </w:r>
          </w:p>
        </w:tc>
        <w:tc>
          <w:tcPr>
            <w:tcW w:w="1863" w:type="dxa"/>
            <w:tcBorders>
              <w:top w:val="nil"/>
              <w:left w:val="nil"/>
              <w:bottom w:val="single" w:color="auto" w:sz="8" w:space="0"/>
              <w:right w:val="single" w:color="auto" w:sz="8" w:space="0"/>
            </w:tcBorders>
            <w:vAlign w:val="center"/>
          </w:tcPr>
          <w:p w14:paraId="661FB4D1">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1.5</w:t>
            </w:r>
          </w:p>
        </w:tc>
      </w:tr>
      <w:tr w14:paraId="58D073E4">
        <w:tblPrEx>
          <w:tblCellMar>
            <w:top w:w="0" w:type="dxa"/>
            <w:left w:w="108" w:type="dxa"/>
            <w:bottom w:w="0" w:type="dxa"/>
            <w:right w:w="108" w:type="dxa"/>
          </w:tblCellMar>
        </w:tblPrEx>
        <w:trPr>
          <w:trHeight w:val="596" w:hRule="exact"/>
        </w:trPr>
        <w:tc>
          <w:tcPr>
            <w:tcW w:w="2674" w:type="dxa"/>
            <w:tcBorders>
              <w:top w:val="nil"/>
              <w:left w:val="single" w:color="auto" w:sz="8" w:space="0"/>
              <w:bottom w:val="single" w:color="auto" w:sz="8" w:space="0"/>
              <w:right w:val="single" w:color="auto" w:sz="8" w:space="0"/>
            </w:tcBorders>
            <w:vAlign w:val="center"/>
          </w:tcPr>
          <w:p w14:paraId="13A56F59">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资金投入</w:t>
            </w:r>
          </w:p>
        </w:tc>
        <w:tc>
          <w:tcPr>
            <w:tcW w:w="2412" w:type="dxa"/>
            <w:tcBorders>
              <w:top w:val="nil"/>
              <w:left w:val="nil"/>
              <w:bottom w:val="single" w:color="auto" w:sz="8" w:space="0"/>
              <w:right w:val="single" w:color="auto" w:sz="8" w:space="0"/>
            </w:tcBorders>
            <w:vAlign w:val="center"/>
          </w:tcPr>
          <w:p w14:paraId="25F95A75">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p>
        </w:tc>
        <w:tc>
          <w:tcPr>
            <w:tcW w:w="2111" w:type="dxa"/>
            <w:tcBorders>
              <w:top w:val="nil"/>
              <w:left w:val="nil"/>
              <w:bottom w:val="single" w:color="auto" w:sz="8" w:space="0"/>
              <w:right w:val="single" w:color="auto" w:sz="8" w:space="0"/>
            </w:tcBorders>
            <w:vAlign w:val="center"/>
          </w:tcPr>
          <w:p w14:paraId="19E45E17">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100%</w:t>
            </w:r>
          </w:p>
        </w:tc>
        <w:tc>
          <w:tcPr>
            <w:tcW w:w="1863" w:type="dxa"/>
            <w:tcBorders>
              <w:top w:val="nil"/>
              <w:left w:val="nil"/>
              <w:bottom w:val="single" w:color="auto" w:sz="8" w:space="0"/>
              <w:right w:val="single" w:color="auto" w:sz="8" w:space="0"/>
            </w:tcBorders>
            <w:vAlign w:val="center"/>
          </w:tcPr>
          <w:p w14:paraId="4D4A3E43">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p>
        </w:tc>
      </w:tr>
      <w:tr w14:paraId="63FD2AF1">
        <w:tblPrEx>
          <w:tblCellMar>
            <w:top w:w="0" w:type="dxa"/>
            <w:left w:w="108" w:type="dxa"/>
            <w:bottom w:w="0" w:type="dxa"/>
            <w:right w:w="108" w:type="dxa"/>
          </w:tblCellMar>
        </w:tblPrEx>
        <w:trPr>
          <w:trHeight w:val="591" w:hRule="exact"/>
        </w:trPr>
        <w:tc>
          <w:tcPr>
            <w:tcW w:w="2674" w:type="dxa"/>
            <w:tcBorders>
              <w:top w:val="single" w:color="auto" w:sz="8" w:space="0"/>
              <w:left w:val="single" w:color="auto" w:sz="8" w:space="0"/>
              <w:bottom w:val="single" w:color="auto" w:sz="8" w:space="0"/>
              <w:right w:val="single" w:color="auto" w:sz="8" w:space="0"/>
            </w:tcBorders>
            <w:vAlign w:val="center"/>
          </w:tcPr>
          <w:p w14:paraId="05B06E42">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合  计</w:t>
            </w:r>
          </w:p>
        </w:tc>
        <w:tc>
          <w:tcPr>
            <w:tcW w:w="2412" w:type="dxa"/>
            <w:tcBorders>
              <w:top w:val="single" w:color="auto" w:sz="8" w:space="0"/>
              <w:left w:val="nil"/>
              <w:bottom w:val="single" w:color="auto" w:sz="8" w:space="0"/>
              <w:right w:val="single" w:color="auto" w:sz="8" w:space="0"/>
            </w:tcBorders>
            <w:vAlign w:val="center"/>
          </w:tcPr>
          <w:p w14:paraId="0A30DDB1">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5</w:t>
            </w:r>
          </w:p>
        </w:tc>
        <w:tc>
          <w:tcPr>
            <w:tcW w:w="2111" w:type="dxa"/>
            <w:tcBorders>
              <w:top w:val="single" w:color="auto" w:sz="8" w:space="0"/>
              <w:left w:val="nil"/>
              <w:bottom w:val="single" w:color="auto" w:sz="8" w:space="0"/>
              <w:right w:val="single" w:color="auto" w:sz="8" w:space="0"/>
            </w:tcBorders>
            <w:vAlign w:val="center"/>
          </w:tcPr>
          <w:p w14:paraId="24825C47">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91.67</w:t>
            </w:r>
            <w:r>
              <w:rPr>
                <w:rFonts w:hint="eastAsia" w:ascii="仿宋_GB2312" w:hAnsi="仿宋_GB2312" w:eastAsia="仿宋_GB2312" w:cs="仿宋_GB2312"/>
                <w:sz w:val="32"/>
                <w:szCs w:val="32"/>
              </w:rPr>
              <w:t>%</w:t>
            </w:r>
          </w:p>
        </w:tc>
        <w:tc>
          <w:tcPr>
            <w:tcW w:w="1863" w:type="dxa"/>
            <w:tcBorders>
              <w:top w:val="single" w:color="auto" w:sz="8" w:space="0"/>
              <w:left w:val="nil"/>
              <w:bottom w:val="single" w:color="auto" w:sz="8" w:space="0"/>
              <w:right w:val="single" w:color="auto" w:sz="8" w:space="0"/>
            </w:tcBorders>
            <w:vAlign w:val="center"/>
          </w:tcPr>
          <w:p w14:paraId="2BC7E561">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4.5</w:t>
            </w:r>
          </w:p>
        </w:tc>
      </w:tr>
    </w:tbl>
    <w:p w14:paraId="15B567E0">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对于“项目</w:t>
      </w:r>
      <w:r>
        <w:rPr>
          <w:rFonts w:hint="eastAsia" w:ascii="仿宋_GB2312" w:hAnsi="仿宋_GB2312" w:eastAsia="仿宋_GB2312" w:cs="仿宋_GB2312"/>
          <w:sz w:val="32"/>
          <w:szCs w:val="32"/>
          <w:lang w:eastAsia="zh-CN"/>
        </w:rPr>
        <w:t>立项</w:t>
      </w:r>
      <w:r>
        <w:rPr>
          <w:rFonts w:hint="eastAsia" w:ascii="仿宋_GB2312" w:hAnsi="仿宋_GB2312" w:eastAsia="仿宋_GB2312" w:cs="仿宋_GB2312"/>
          <w:sz w:val="32"/>
          <w:szCs w:val="32"/>
        </w:rPr>
        <w:t>”，党校教育基地建设经费2019年结余项目</w:t>
      </w:r>
      <w:r>
        <w:rPr>
          <w:rFonts w:hint="eastAsia" w:ascii="仿宋_GB2312" w:hAnsi="仿宋_GB2312" w:eastAsia="仿宋_GB2312" w:cs="仿宋_GB2312"/>
          <w:sz w:val="32"/>
          <w:szCs w:val="32"/>
          <w:lang w:val="en-US" w:eastAsia="zh-CN"/>
        </w:rPr>
        <w:t>根据</w:t>
      </w:r>
      <w:bookmarkStart w:id="8" w:name="_GoBack"/>
      <w:bookmarkEnd w:id="8"/>
      <w:r>
        <w:rPr>
          <w:rFonts w:hint="eastAsia" w:ascii="仿宋_GB2312" w:hAnsi="仿宋_GB2312" w:eastAsia="仿宋_GB2312" w:cs="仿宋_GB2312"/>
          <w:sz w:val="32"/>
          <w:szCs w:val="32"/>
          <w:lang w:val="en-US" w:eastAsia="zh-CN"/>
        </w:rPr>
        <w:t>《关于批复地区本级预算单位结余资金列入2020年预算的通知》文件要求，我校2019年收费结余按要求列入2020年预算</w:t>
      </w:r>
      <w:r>
        <w:rPr>
          <w:rFonts w:hint="eastAsia" w:ascii="仿宋_GB2312" w:hAnsi="仿宋_GB2312" w:eastAsia="仿宋_GB2312" w:cs="仿宋_GB2312"/>
          <w:sz w:val="32"/>
          <w:szCs w:val="32"/>
          <w:lang w:eastAsia="zh-CN"/>
        </w:rPr>
        <w:t>。项目立项</w:t>
      </w:r>
      <w:r>
        <w:rPr>
          <w:rFonts w:hint="eastAsia" w:ascii="仿宋_GB2312" w:hAnsi="仿宋_GB2312" w:eastAsia="仿宋_GB2312" w:cs="仿宋_GB2312"/>
          <w:sz w:val="32"/>
          <w:szCs w:val="32"/>
          <w:lang w:val="en-US" w:eastAsia="zh-CN"/>
        </w:rPr>
        <w:t>有文件依据，</w:t>
      </w:r>
      <w:r>
        <w:rPr>
          <w:rFonts w:hint="eastAsia" w:ascii="仿宋_GB2312" w:hAnsi="仿宋_GB2312" w:eastAsia="仿宋_GB2312" w:cs="仿宋_GB2312"/>
          <w:sz w:val="32"/>
          <w:szCs w:val="32"/>
        </w:rPr>
        <w:t>根据评分标准，该指标</w:t>
      </w:r>
      <w:r>
        <w:rPr>
          <w:rFonts w:hint="eastAsia" w:ascii="仿宋_GB2312" w:hAnsi="仿宋_GB2312" w:eastAsia="仿宋_GB2312" w:cs="仿宋_GB2312"/>
          <w:sz w:val="32"/>
          <w:szCs w:val="32"/>
          <w:lang w:val="en-US" w:eastAsia="zh-CN"/>
        </w:rPr>
        <w:t>不</w:t>
      </w:r>
      <w:r>
        <w:rPr>
          <w:rFonts w:hint="eastAsia" w:ascii="仿宋_GB2312" w:hAnsi="仿宋_GB2312" w:eastAsia="仿宋_GB2312" w:cs="仿宋_GB2312"/>
          <w:sz w:val="32"/>
          <w:szCs w:val="32"/>
        </w:rPr>
        <w:t>扣分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实际得分</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分。</w:t>
      </w:r>
    </w:p>
    <w:p w14:paraId="2599DDB9">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对于“绩效目标”，党校教育基地建设经费2019年结余项目，设置了较为详细的项目支出绩效目标，</w:t>
      </w:r>
      <w:r>
        <w:rPr>
          <w:rFonts w:hint="eastAsia" w:ascii="仿宋_GB2312" w:hAnsi="仿宋_GB2312" w:eastAsia="仿宋_GB2312" w:cs="仿宋_GB2312"/>
          <w:sz w:val="32"/>
          <w:szCs w:val="32"/>
          <w:lang w:val="en-US" w:eastAsia="zh-CN"/>
        </w:rPr>
        <w:t>但</w:t>
      </w:r>
      <w:r>
        <w:rPr>
          <w:rFonts w:hint="eastAsia" w:ascii="仿宋_GB2312" w:hAnsi="仿宋_GB2312" w:eastAsia="仿宋_GB2312" w:cs="仿宋_GB2312"/>
          <w:sz w:val="32"/>
          <w:szCs w:val="32"/>
        </w:rPr>
        <w:t>项目绩效目标的设置，</w:t>
      </w:r>
      <w:r>
        <w:rPr>
          <w:rFonts w:hint="eastAsia" w:ascii="仿宋_GB2312" w:hAnsi="仿宋_GB2312" w:eastAsia="仿宋_GB2312" w:cs="仿宋_GB2312"/>
          <w:sz w:val="32"/>
          <w:szCs w:val="32"/>
          <w:lang w:val="en-US" w:eastAsia="zh-CN"/>
        </w:rPr>
        <w:t>未能完全具有精细化</w:t>
      </w:r>
      <w:r>
        <w:rPr>
          <w:rFonts w:hint="eastAsia" w:ascii="仿宋_GB2312" w:hAnsi="仿宋_GB2312" w:eastAsia="仿宋_GB2312" w:cs="仿宋_GB2312"/>
          <w:sz w:val="32"/>
          <w:szCs w:val="32"/>
        </w:rPr>
        <w:t>要求。根据评分标准，该指标扣</w:t>
      </w:r>
      <w:r>
        <w:rPr>
          <w:rFonts w:hint="eastAsia" w:ascii="仿宋_GB2312" w:hAnsi="仿宋_GB2312" w:eastAsia="仿宋_GB2312" w:cs="仿宋_GB2312"/>
          <w:sz w:val="32"/>
          <w:szCs w:val="32"/>
          <w:lang w:val="en-US" w:eastAsia="zh-CN"/>
        </w:rPr>
        <w:t>0.5</w:t>
      </w:r>
      <w:r>
        <w:rPr>
          <w:rFonts w:hint="eastAsia" w:ascii="仿宋_GB2312" w:hAnsi="仿宋_GB2312" w:eastAsia="仿宋_GB2312" w:cs="仿宋_GB2312"/>
          <w:sz w:val="32"/>
          <w:szCs w:val="32"/>
        </w:rPr>
        <w:t>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实际得分</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分。</w:t>
      </w:r>
    </w:p>
    <w:p w14:paraId="3DFC3F01">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对于“资金投入”，该项目</w:t>
      </w:r>
      <w:r>
        <w:rPr>
          <w:rFonts w:hint="eastAsia" w:ascii="仿宋_GB2312" w:hAnsi="仿宋_GB2312" w:eastAsia="仿宋_GB2312" w:cs="仿宋_GB2312"/>
          <w:sz w:val="32"/>
          <w:szCs w:val="32"/>
          <w:lang w:eastAsia="zh-CN"/>
        </w:rPr>
        <w:t>严格按照财政预算要求编制，具备科学性和可行性，项目</w:t>
      </w:r>
      <w:r>
        <w:rPr>
          <w:rFonts w:hint="eastAsia" w:ascii="仿宋_GB2312" w:hAnsi="仿宋_GB2312" w:eastAsia="仿宋_GB2312" w:cs="仿宋_GB2312"/>
          <w:sz w:val="32"/>
          <w:szCs w:val="32"/>
        </w:rPr>
        <w:t>资金</w:t>
      </w:r>
      <w:r>
        <w:rPr>
          <w:rFonts w:hint="eastAsia" w:ascii="仿宋_GB2312" w:hAnsi="仿宋_GB2312" w:eastAsia="仿宋_GB2312" w:cs="仿宋_GB2312"/>
          <w:sz w:val="32"/>
          <w:szCs w:val="32"/>
          <w:lang w:val="en-US" w:eastAsia="zh-CN"/>
        </w:rPr>
        <w:t>按单位业务需求合理分配资金经济分类，有效保障了项目资金的可操作性。</w:t>
      </w:r>
      <w:r>
        <w:rPr>
          <w:rFonts w:hint="eastAsia" w:ascii="仿宋_GB2312" w:hAnsi="仿宋_GB2312" w:eastAsia="仿宋_GB2312" w:cs="仿宋_GB2312"/>
          <w:sz w:val="32"/>
          <w:szCs w:val="32"/>
        </w:rPr>
        <w:t>根据评分标准，该指标</w:t>
      </w:r>
      <w:r>
        <w:rPr>
          <w:rFonts w:hint="eastAsia" w:ascii="仿宋_GB2312" w:hAnsi="仿宋_GB2312" w:eastAsia="仿宋_GB2312" w:cs="仿宋_GB2312"/>
          <w:sz w:val="32"/>
          <w:szCs w:val="32"/>
          <w:lang w:val="en-US" w:eastAsia="zh-CN"/>
        </w:rPr>
        <w:t>不</w:t>
      </w:r>
      <w:r>
        <w:rPr>
          <w:rFonts w:hint="eastAsia" w:ascii="仿宋_GB2312" w:hAnsi="仿宋_GB2312" w:eastAsia="仿宋_GB2312" w:cs="仿宋_GB2312"/>
          <w:sz w:val="32"/>
          <w:szCs w:val="32"/>
        </w:rPr>
        <w:t>扣分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实际得分</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分。</w:t>
      </w:r>
    </w:p>
    <w:p w14:paraId="5881B25B">
      <w:pPr>
        <w:keepNext w:val="0"/>
        <w:keepLines w:val="0"/>
        <w:pageBreakBefore w:val="0"/>
        <w:kinsoku/>
        <w:wordWrap/>
        <w:overflowPunct/>
        <w:topLinePunct w:val="0"/>
        <w:autoSpaceDE/>
        <w:autoSpaceDN/>
        <w:bidi w:val="0"/>
        <w:adjustRightInd/>
        <w:snapToGrid/>
        <w:spacing w:line="560" w:lineRule="atLeast"/>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eastAsia="zh-CN"/>
        </w:rPr>
        <w:t>（二）</w:t>
      </w:r>
      <w:r>
        <w:rPr>
          <w:rFonts w:hint="eastAsia" w:ascii="楷体_GB2312" w:hAnsi="楷体_GB2312" w:eastAsia="楷体_GB2312" w:cs="楷体_GB2312"/>
          <w:b/>
          <w:bCs/>
          <w:sz w:val="32"/>
          <w:szCs w:val="32"/>
        </w:rPr>
        <w:t>项目过程情况</w:t>
      </w:r>
    </w:p>
    <w:p w14:paraId="2B6C5A23">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项目过程指标从</w:t>
      </w:r>
      <w:r>
        <w:rPr>
          <w:rFonts w:hint="eastAsia" w:ascii="仿宋_GB2312" w:hAnsi="仿宋_GB2312" w:eastAsia="仿宋_GB2312" w:cs="仿宋_GB2312"/>
          <w:sz w:val="32"/>
          <w:szCs w:val="32"/>
          <w:lang w:eastAsia="zh-CN"/>
        </w:rPr>
        <w:t>资金到位率、预算执行率、资金使用合规性、管理制度健全性、制度执行有效性等</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个方面对项目的管理情况进行考察。项目</w:t>
      </w:r>
      <w:r>
        <w:rPr>
          <w:rFonts w:hint="eastAsia" w:ascii="仿宋_GB2312" w:hAnsi="仿宋_GB2312" w:eastAsia="仿宋_GB2312" w:cs="仿宋_GB2312"/>
          <w:sz w:val="32"/>
          <w:szCs w:val="32"/>
          <w:lang w:eastAsia="zh-CN"/>
        </w:rPr>
        <w:t>过程</w:t>
      </w:r>
      <w:r>
        <w:rPr>
          <w:rFonts w:hint="eastAsia" w:ascii="仿宋_GB2312" w:hAnsi="仿宋_GB2312" w:eastAsia="仿宋_GB2312" w:cs="仿宋_GB2312"/>
          <w:sz w:val="32"/>
          <w:szCs w:val="32"/>
        </w:rPr>
        <w:t>类指标分值</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分，实际得分</w:t>
      </w:r>
      <w:r>
        <w:rPr>
          <w:rFonts w:hint="eastAsia" w:ascii="仿宋_GB2312" w:hAnsi="仿宋_GB2312" w:eastAsia="仿宋_GB2312" w:cs="仿宋_GB2312"/>
          <w:sz w:val="32"/>
          <w:szCs w:val="32"/>
          <w:lang w:val="en-US" w:eastAsia="zh-CN"/>
        </w:rPr>
        <w:t>4.99</w:t>
      </w:r>
      <w:r>
        <w:rPr>
          <w:rFonts w:hint="eastAsia" w:ascii="仿宋_GB2312" w:hAnsi="仿宋_GB2312" w:eastAsia="仿宋_GB2312" w:cs="仿宋_GB2312"/>
          <w:sz w:val="32"/>
          <w:szCs w:val="32"/>
        </w:rPr>
        <w:t>分，得分率为</w:t>
      </w:r>
      <w:r>
        <w:rPr>
          <w:rFonts w:hint="eastAsia" w:ascii="仿宋_GB2312" w:hAnsi="仿宋_GB2312" w:eastAsia="仿宋_GB2312" w:cs="仿宋_GB2312"/>
          <w:sz w:val="32"/>
          <w:szCs w:val="32"/>
          <w:lang w:val="en-US" w:eastAsia="zh-CN"/>
        </w:rPr>
        <w:t>99.94</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。项目</w:t>
      </w:r>
      <w:r>
        <w:rPr>
          <w:rFonts w:hint="eastAsia" w:ascii="仿宋_GB2312" w:hAnsi="仿宋_GB2312" w:eastAsia="仿宋_GB2312" w:cs="仿宋_GB2312"/>
          <w:sz w:val="32"/>
          <w:szCs w:val="32"/>
          <w:lang w:eastAsia="zh-CN"/>
        </w:rPr>
        <w:t>过程</w:t>
      </w:r>
      <w:r>
        <w:rPr>
          <w:rFonts w:hint="eastAsia" w:ascii="仿宋_GB2312" w:hAnsi="仿宋_GB2312" w:eastAsia="仿宋_GB2312" w:cs="仿宋_GB2312"/>
          <w:sz w:val="32"/>
          <w:szCs w:val="32"/>
        </w:rPr>
        <w:t>指标得分情况如表所示。</w:t>
      </w:r>
    </w:p>
    <w:tbl>
      <w:tblPr>
        <w:tblStyle w:val="10"/>
        <w:tblW w:w="9060" w:type="dxa"/>
        <w:tblInd w:w="0" w:type="dxa"/>
        <w:tblLayout w:type="fixed"/>
        <w:tblCellMar>
          <w:top w:w="0" w:type="dxa"/>
          <w:left w:w="108" w:type="dxa"/>
          <w:bottom w:w="0" w:type="dxa"/>
          <w:right w:w="108" w:type="dxa"/>
        </w:tblCellMar>
      </w:tblPr>
      <w:tblGrid>
        <w:gridCol w:w="2784"/>
        <w:gridCol w:w="2040"/>
        <w:gridCol w:w="2217"/>
        <w:gridCol w:w="2019"/>
      </w:tblGrid>
      <w:tr w14:paraId="719F3484">
        <w:tblPrEx>
          <w:tblCellMar>
            <w:top w:w="0" w:type="dxa"/>
            <w:left w:w="108" w:type="dxa"/>
            <w:bottom w:w="0" w:type="dxa"/>
            <w:right w:w="108" w:type="dxa"/>
          </w:tblCellMar>
        </w:tblPrEx>
        <w:trPr>
          <w:trHeight w:val="495" w:hRule="atLeast"/>
          <w:tblHeader/>
        </w:trPr>
        <w:tc>
          <w:tcPr>
            <w:tcW w:w="9060" w:type="dxa"/>
            <w:gridSpan w:val="4"/>
            <w:tcBorders>
              <w:top w:val="nil"/>
              <w:left w:val="nil"/>
              <w:bottom w:val="single" w:color="auto" w:sz="8" w:space="0"/>
              <w:right w:val="nil"/>
            </w:tcBorders>
            <w:noWrap/>
            <w:vAlign w:val="center"/>
          </w:tcPr>
          <w:p w14:paraId="57F24B96">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color w:val="000000"/>
                <w:kern w:val="0"/>
                <w:sz w:val="24"/>
              </w:rPr>
            </w:pPr>
            <w:r>
              <w:rPr>
                <w:rFonts w:hint="eastAsia" w:ascii="仿宋_GB2312" w:hAnsi="仿宋_GB2312" w:eastAsia="仿宋_GB2312" w:cs="仿宋_GB2312"/>
                <w:b/>
                <w:bCs/>
                <w:color w:val="000000"/>
                <w:kern w:val="0"/>
                <w:sz w:val="32"/>
                <w:szCs w:val="32"/>
              </w:rPr>
              <w:t>项目</w:t>
            </w:r>
            <w:r>
              <w:rPr>
                <w:rFonts w:hint="eastAsia" w:ascii="仿宋_GB2312" w:hAnsi="仿宋_GB2312" w:eastAsia="仿宋_GB2312" w:cs="仿宋_GB2312"/>
                <w:b/>
                <w:bCs/>
                <w:color w:val="000000"/>
                <w:kern w:val="0"/>
                <w:sz w:val="32"/>
                <w:szCs w:val="32"/>
                <w:lang w:eastAsia="zh-CN"/>
              </w:rPr>
              <w:t>过程</w:t>
            </w:r>
            <w:r>
              <w:rPr>
                <w:rFonts w:hint="eastAsia" w:ascii="仿宋_GB2312" w:hAnsi="仿宋_GB2312" w:eastAsia="仿宋_GB2312" w:cs="仿宋_GB2312"/>
                <w:b/>
                <w:bCs/>
                <w:color w:val="000000"/>
                <w:kern w:val="0"/>
                <w:sz w:val="32"/>
                <w:szCs w:val="32"/>
              </w:rPr>
              <w:t>指标得分情况</w:t>
            </w:r>
          </w:p>
        </w:tc>
      </w:tr>
      <w:tr w14:paraId="5000E3F6">
        <w:tblPrEx>
          <w:tblCellMar>
            <w:top w:w="0" w:type="dxa"/>
            <w:left w:w="108" w:type="dxa"/>
            <w:bottom w:w="0" w:type="dxa"/>
            <w:right w:w="108" w:type="dxa"/>
          </w:tblCellMar>
        </w:tblPrEx>
        <w:trPr>
          <w:trHeight w:val="510" w:hRule="exact"/>
          <w:tblHeader/>
        </w:trPr>
        <w:tc>
          <w:tcPr>
            <w:tcW w:w="2784" w:type="dxa"/>
            <w:tcBorders>
              <w:top w:val="nil"/>
              <w:left w:val="single" w:color="auto" w:sz="8" w:space="0"/>
              <w:bottom w:val="nil"/>
              <w:right w:val="single" w:color="auto" w:sz="8" w:space="0"/>
            </w:tcBorders>
            <w:shd w:val="clear" w:color="000000" w:fill="A6A6A6"/>
            <w:vAlign w:val="center"/>
          </w:tcPr>
          <w:p w14:paraId="47DC7411">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三级指标</w:t>
            </w:r>
          </w:p>
        </w:tc>
        <w:tc>
          <w:tcPr>
            <w:tcW w:w="2040" w:type="dxa"/>
            <w:tcBorders>
              <w:top w:val="nil"/>
              <w:left w:val="nil"/>
              <w:bottom w:val="nil"/>
              <w:right w:val="single" w:color="auto" w:sz="8" w:space="0"/>
            </w:tcBorders>
            <w:shd w:val="clear" w:color="000000" w:fill="A6A6A6"/>
            <w:vAlign w:val="center"/>
          </w:tcPr>
          <w:p w14:paraId="01964316">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权重</w:t>
            </w:r>
          </w:p>
        </w:tc>
        <w:tc>
          <w:tcPr>
            <w:tcW w:w="2217" w:type="dxa"/>
            <w:tcBorders>
              <w:top w:val="nil"/>
              <w:left w:val="nil"/>
              <w:bottom w:val="nil"/>
              <w:right w:val="single" w:color="auto" w:sz="8" w:space="0"/>
            </w:tcBorders>
            <w:shd w:val="clear" w:color="000000" w:fill="A6A6A6"/>
            <w:vAlign w:val="center"/>
          </w:tcPr>
          <w:p w14:paraId="4FA2A094">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得分率</w:t>
            </w:r>
          </w:p>
        </w:tc>
        <w:tc>
          <w:tcPr>
            <w:tcW w:w="2019" w:type="dxa"/>
            <w:tcBorders>
              <w:top w:val="nil"/>
              <w:left w:val="nil"/>
              <w:bottom w:val="nil"/>
              <w:right w:val="single" w:color="auto" w:sz="8" w:space="0"/>
            </w:tcBorders>
            <w:shd w:val="clear" w:color="000000" w:fill="A6A6A6"/>
            <w:vAlign w:val="center"/>
          </w:tcPr>
          <w:p w14:paraId="5748F00C">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实际得分</w:t>
            </w:r>
          </w:p>
        </w:tc>
      </w:tr>
      <w:tr w14:paraId="6A6EA897">
        <w:tblPrEx>
          <w:tblCellMar>
            <w:top w:w="0" w:type="dxa"/>
            <w:left w:w="108" w:type="dxa"/>
            <w:bottom w:w="0" w:type="dxa"/>
            <w:right w:w="108" w:type="dxa"/>
          </w:tblCellMar>
        </w:tblPrEx>
        <w:trPr>
          <w:trHeight w:val="510" w:hRule="exact"/>
        </w:trPr>
        <w:tc>
          <w:tcPr>
            <w:tcW w:w="2784" w:type="dxa"/>
            <w:tcBorders>
              <w:top w:val="nil"/>
              <w:left w:val="single" w:color="auto" w:sz="4" w:space="0"/>
              <w:bottom w:val="single" w:color="auto" w:sz="4" w:space="0"/>
              <w:right w:val="single" w:color="auto" w:sz="4" w:space="0"/>
            </w:tcBorders>
            <w:noWrap/>
            <w:vAlign w:val="center"/>
          </w:tcPr>
          <w:p w14:paraId="683EC405">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资金到位率</w:t>
            </w:r>
          </w:p>
        </w:tc>
        <w:tc>
          <w:tcPr>
            <w:tcW w:w="2040" w:type="dxa"/>
            <w:tcBorders>
              <w:top w:val="nil"/>
              <w:left w:val="nil"/>
              <w:bottom w:val="single" w:color="auto" w:sz="4" w:space="0"/>
              <w:right w:val="single" w:color="auto" w:sz="4" w:space="0"/>
            </w:tcBorders>
            <w:noWrap/>
            <w:vAlign w:val="center"/>
          </w:tcPr>
          <w:p w14:paraId="1B8306B0">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lang w:eastAsia="zh-CN"/>
              </w:rPr>
            </w:pPr>
            <w:r>
              <w:rPr>
                <w:rFonts w:hint="eastAsia" w:ascii="仿宋_GB2312" w:hAnsi="仿宋_GB2312" w:eastAsia="仿宋_GB2312" w:cs="仿宋_GB2312"/>
                <w:b w:val="0"/>
                <w:bCs w:val="0"/>
                <w:color w:val="000000"/>
                <w:kern w:val="0"/>
                <w:sz w:val="32"/>
                <w:szCs w:val="32"/>
                <w:lang w:val="en-US" w:eastAsia="zh-CN"/>
              </w:rPr>
              <w:t>1</w:t>
            </w:r>
          </w:p>
        </w:tc>
        <w:tc>
          <w:tcPr>
            <w:tcW w:w="2217" w:type="dxa"/>
            <w:tcBorders>
              <w:top w:val="nil"/>
              <w:left w:val="nil"/>
              <w:bottom w:val="single" w:color="auto" w:sz="4" w:space="0"/>
              <w:right w:val="single" w:color="auto" w:sz="4" w:space="0"/>
            </w:tcBorders>
            <w:vAlign w:val="center"/>
          </w:tcPr>
          <w:p w14:paraId="729F982B">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100%</w:t>
            </w:r>
          </w:p>
        </w:tc>
        <w:tc>
          <w:tcPr>
            <w:tcW w:w="2019" w:type="dxa"/>
            <w:tcBorders>
              <w:top w:val="nil"/>
              <w:left w:val="nil"/>
              <w:bottom w:val="single" w:color="auto" w:sz="4" w:space="0"/>
              <w:right w:val="single" w:color="auto" w:sz="4" w:space="0"/>
            </w:tcBorders>
            <w:noWrap/>
            <w:vAlign w:val="center"/>
          </w:tcPr>
          <w:p w14:paraId="0FCF566E">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lang w:eastAsia="zh-CN"/>
              </w:rPr>
            </w:pPr>
            <w:r>
              <w:rPr>
                <w:rFonts w:hint="eastAsia" w:ascii="仿宋_GB2312" w:hAnsi="仿宋_GB2312" w:eastAsia="仿宋_GB2312" w:cs="仿宋_GB2312"/>
                <w:b w:val="0"/>
                <w:bCs w:val="0"/>
                <w:color w:val="000000"/>
                <w:kern w:val="0"/>
                <w:sz w:val="32"/>
                <w:szCs w:val="32"/>
                <w:lang w:val="en-US" w:eastAsia="zh-CN"/>
              </w:rPr>
              <w:t>1</w:t>
            </w:r>
          </w:p>
        </w:tc>
      </w:tr>
      <w:tr w14:paraId="6B96A879">
        <w:tblPrEx>
          <w:tblCellMar>
            <w:top w:w="0" w:type="dxa"/>
            <w:left w:w="108" w:type="dxa"/>
            <w:bottom w:w="0" w:type="dxa"/>
            <w:right w:w="108" w:type="dxa"/>
          </w:tblCellMar>
        </w:tblPrEx>
        <w:trPr>
          <w:trHeight w:val="510" w:hRule="exact"/>
        </w:trPr>
        <w:tc>
          <w:tcPr>
            <w:tcW w:w="2784" w:type="dxa"/>
            <w:tcBorders>
              <w:top w:val="nil"/>
              <w:left w:val="single" w:color="auto" w:sz="4" w:space="0"/>
              <w:bottom w:val="single" w:color="auto" w:sz="4" w:space="0"/>
              <w:right w:val="single" w:color="auto" w:sz="4" w:space="0"/>
            </w:tcBorders>
            <w:noWrap/>
            <w:vAlign w:val="center"/>
          </w:tcPr>
          <w:p w14:paraId="53E0AB86">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lang w:eastAsia="zh-CN"/>
              </w:rPr>
            </w:pPr>
            <w:r>
              <w:rPr>
                <w:rFonts w:hint="eastAsia" w:ascii="仿宋_GB2312" w:hAnsi="仿宋_GB2312" w:eastAsia="仿宋_GB2312" w:cs="仿宋_GB2312"/>
                <w:b w:val="0"/>
                <w:bCs w:val="0"/>
                <w:color w:val="000000"/>
                <w:kern w:val="0"/>
                <w:sz w:val="32"/>
                <w:szCs w:val="32"/>
                <w:lang w:eastAsia="zh-CN"/>
              </w:rPr>
              <w:t>预算执行率</w:t>
            </w:r>
          </w:p>
        </w:tc>
        <w:tc>
          <w:tcPr>
            <w:tcW w:w="2040" w:type="dxa"/>
            <w:tcBorders>
              <w:top w:val="nil"/>
              <w:left w:val="nil"/>
              <w:bottom w:val="single" w:color="auto" w:sz="4" w:space="0"/>
              <w:right w:val="single" w:color="auto" w:sz="4" w:space="0"/>
            </w:tcBorders>
            <w:noWrap/>
            <w:vAlign w:val="center"/>
          </w:tcPr>
          <w:p w14:paraId="76F896ED">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lang w:val="en-US" w:eastAsia="zh-CN"/>
              </w:rPr>
            </w:pPr>
            <w:r>
              <w:rPr>
                <w:rFonts w:hint="eastAsia" w:ascii="仿宋_GB2312" w:hAnsi="仿宋_GB2312" w:eastAsia="仿宋_GB2312" w:cs="仿宋_GB2312"/>
                <w:b w:val="0"/>
                <w:bCs w:val="0"/>
                <w:color w:val="000000"/>
                <w:kern w:val="0"/>
                <w:sz w:val="32"/>
                <w:szCs w:val="32"/>
                <w:lang w:val="en-US" w:eastAsia="zh-CN"/>
              </w:rPr>
              <w:t>1</w:t>
            </w:r>
          </w:p>
        </w:tc>
        <w:tc>
          <w:tcPr>
            <w:tcW w:w="2217" w:type="dxa"/>
            <w:tcBorders>
              <w:top w:val="nil"/>
              <w:left w:val="nil"/>
              <w:bottom w:val="single" w:color="auto" w:sz="4" w:space="0"/>
              <w:right w:val="single" w:color="auto" w:sz="4" w:space="0"/>
            </w:tcBorders>
            <w:vAlign w:val="center"/>
          </w:tcPr>
          <w:p w14:paraId="4315C988">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仿宋_GB2312" w:hAnsi="仿宋_GB2312" w:eastAsia="仿宋_GB2312" w:cs="仿宋_GB2312"/>
                <w:b w:val="0"/>
                <w:bCs w:val="0"/>
                <w:color w:val="000000"/>
                <w:kern w:val="0"/>
                <w:sz w:val="32"/>
                <w:szCs w:val="32"/>
                <w:lang w:val="en-US" w:eastAsia="zh-CN"/>
              </w:rPr>
            </w:pPr>
            <w:r>
              <w:rPr>
                <w:rFonts w:hint="eastAsia" w:ascii="仿宋_GB2312" w:hAnsi="仿宋_GB2312" w:eastAsia="仿宋_GB2312" w:cs="仿宋_GB2312"/>
                <w:b w:val="0"/>
                <w:bCs w:val="0"/>
                <w:color w:val="000000"/>
                <w:kern w:val="0"/>
                <w:sz w:val="32"/>
                <w:szCs w:val="32"/>
                <w:lang w:val="en-US" w:eastAsia="zh-CN"/>
              </w:rPr>
              <w:t>99.68%</w:t>
            </w:r>
          </w:p>
        </w:tc>
        <w:tc>
          <w:tcPr>
            <w:tcW w:w="2019" w:type="dxa"/>
            <w:tcBorders>
              <w:top w:val="nil"/>
              <w:left w:val="nil"/>
              <w:bottom w:val="single" w:color="auto" w:sz="4" w:space="0"/>
              <w:right w:val="single" w:color="auto" w:sz="4" w:space="0"/>
            </w:tcBorders>
            <w:noWrap/>
            <w:vAlign w:val="center"/>
          </w:tcPr>
          <w:p w14:paraId="0E384CB2">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仿宋_GB2312" w:hAnsi="仿宋_GB2312" w:eastAsia="仿宋_GB2312" w:cs="仿宋_GB2312"/>
                <w:b w:val="0"/>
                <w:bCs w:val="0"/>
                <w:color w:val="000000"/>
                <w:kern w:val="0"/>
                <w:sz w:val="32"/>
                <w:szCs w:val="32"/>
                <w:lang w:val="en-US" w:eastAsia="zh-CN"/>
              </w:rPr>
            </w:pPr>
            <w:r>
              <w:rPr>
                <w:rFonts w:hint="eastAsia" w:ascii="仿宋_GB2312" w:hAnsi="仿宋_GB2312" w:eastAsia="仿宋_GB2312" w:cs="仿宋_GB2312"/>
                <w:b w:val="0"/>
                <w:bCs w:val="0"/>
                <w:color w:val="000000"/>
                <w:kern w:val="0"/>
                <w:sz w:val="32"/>
                <w:szCs w:val="32"/>
                <w:lang w:val="en-US" w:eastAsia="zh-CN"/>
              </w:rPr>
              <w:t>0.99</w:t>
            </w:r>
          </w:p>
        </w:tc>
      </w:tr>
      <w:tr w14:paraId="65BEF3BF">
        <w:tblPrEx>
          <w:tblCellMar>
            <w:top w:w="0" w:type="dxa"/>
            <w:left w:w="108" w:type="dxa"/>
            <w:bottom w:w="0" w:type="dxa"/>
            <w:right w:w="108" w:type="dxa"/>
          </w:tblCellMar>
        </w:tblPrEx>
        <w:trPr>
          <w:trHeight w:val="510" w:hRule="exact"/>
        </w:trPr>
        <w:tc>
          <w:tcPr>
            <w:tcW w:w="2784" w:type="dxa"/>
            <w:tcBorders>
              <w:top w:val="nil"/>
              <w:left w:val="single" w:color="auto" w:sz="4" w:space="0"/>
              <w:bottom w:val="single" w:color="auto" w:sz="4" w:space="0"/>
              <w:right w:val="single" w:color="auto" w:sz="4" w:space="0"/>
            </w:tcBorders>
            <w:noWrap/>
            <w:vAlign w:val="center"/>
          </w:tcPr>
          <w:p w14:paraId="246FF079">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资金使用合规性</w:t>
            </w:r>
          </w:p>
        </w:tc>
        <w:tc>
          <w:tcPr>
            <w:tcW w:w="2040" w:type="dxa"/>
            <w:tcBorders>
              <w:top w:val="nil"/>
              <w:left w:val="nil"/>
              <w:bottom w:val="single" w:color="auto" w:sz="4" w:space="0"/>
              <w:right w:val="single" w:color="auto" w:sz="4" w:space="0"/>
            </w:tcBorders>
            <w:noWrap/>
            <w:vAlign w:val="center"/>
          </w:tcPr>
          <w:p w14:paraId="64F2A92E">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lang w:eastAsia="zh-CN"/>
              </w:rPr>
            </w:pPr>
            <w:r>
              <w:rPr>
                <w:rFonts w:hint="eastAsia" w:ascii="仿宋_GB2312" w:hAnsi="仿宋_GB2312" w:eastAsia="仿宋_GB2312" w:cs="仿宋_GB2312"/>
                <w:b w:val="0"/>
                <w:bCs w:val="0"/>
                <w:color w:val="000000"/>
                <w:kern w:val="0"/>
                <w:sz w:val="32"/>
                <w:szCs w:val="32"/>
                <w:lang w:val="en-US" w:eastAsia="zh-CN"/>
              </w:rPr>
              <w:t>1</w:t>
            </w:r>
          </w:p>
        </w:tc>
        <w:tc>
          <w:tcPr>
            <w:tcW w:w="2217" w:type="dxa"/>
            <w:tcBorders>
              <w:top w:val="nil"/>
              <w:left w:val="nil"/>
              <w:bottom w:val="single" w:color="auto" w:sz="4" w:space="0"/>
              <w:right w:val="single" w:color="auto" w:sz="4" w:space="0"/>
            </w:tcBorders>
            <w:vAlign w:val="center"/>
          </w:tcPr>
          <w:p w14:paraId="22DB348B">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100%</w:t>
            </w:r>
          </w:p>
        </w:tc>
        <w:tc>
          <w:tcPr>
            <w:tcW w:w="2019" w:type="dxa"/>
            <w:tcBorders>
              <w:top w:val="nil"/>
              <w:left w:val="nil"/>
              <w:bottom w:val="single" w:color="auto" w:sz="4" w:space="0"/>
              <w:right w:val="single" w:color="auto" w:sz="4" w:space="0"/>
            </w:tcBorders>
            <w:noWrap/>
            <w:vAlign w:val="center"/>
          </w:tcPr>
          <w:p w14:paraId="27BE9E0B">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lang w:eastAsia="zh-CN"/>
              </w:rPr>
            </w:pPr>
            <w:r>
              <w:rPr>
                <w:rFonts w:hint="eastAsia" w:ascii="仿宋_GB2312" w:hAnsi="仿宋_GB2312" w:eastAsia="仿宋_GB2312" w:cs="仿宋_GB2312"/>
                <w:b w:val="0"/>
                <w:bCs w:val="0"/>
                <w:color w:val="000000"/>
                <w:kern w:val="0"/>
                <w:sz w:val="32"/>
                <w:szCs w:val="32"/>
                <w:lang w:val="en-US" w:eastAsia="zh-CN"/>
              </w:rPr>
              <w:t>1</w:t>
            </w:r>
          </w:p>
        </w:tc>
      </w:tr>
      <w:tr w14:paraId="52A3698D">
        <w:tblPrEx>
          <w:tblCellMar>
            <w:top w:w="0" w:type="dxa"/>
            <w:left w:w="108" w:type="dxa"/>
            <w:bottom w:w="0" w:type="dxa"/>
            <w:right w:w="108" w:type="dxa"/>
          </w:tblCellMar>
        </w:tblPrEx>
        <w:trPr>
          <w:trHeight w:val="510" w:hRule="exact"/>
        </w:trPr>
        <w:tc>
          <w:tcPr>
            <w:tcW w:w="2784" w:type="dxa"/>
            <w:tcBorders>
              <w:top w:val="nil"/>
              <w:left w:val="single" w:color="auto" w:sz="4" w:space="0"/>
              <w:bottom w:val="single" w:color="auto" w:sz="4" w:space="0"/>
              <w:right w:val="single" w:color="auto" w:sz="4" w:space="0"/>
            </w:tcBorders>
            <w:noWrap/>
            <w:vAlign w:val="center"/>
          </w:tcPr>
          <w:p w14:paraId="1F60C4B4">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管理制度健全性</w:t>
            </w:r>
          </w:p>
        </w:tc>
        <w:tc>
          <w:tcPr>
            <w:tcW w:w="2040" w:type="dxa"/>
            <w:tcBorders>
              <w:top w:val="nil"/>
              <w:left w:val="nil"/>
              <w:bottom w:val="single" w:color="auto" w:sz="4" w:space="0"/>
              <w:right w:val="single" w:color="auto" w:sz="4" w:space="0"/>
            </w:tcBorders>
            <w:noWrap/>
            <w:vAlign w:val="center"/>
          </w:tcPr>
          <w:p w14:paraId="02FE3E89">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lang w:eastAsia="zh-CN"/>
              </w:rPr>
            </w:pPr>
            <w:r>
              <w:rPr>
                <w:rFonts w:hint="eastAsia" w:ascii="仿宋_GB2312" w:hAnsi="仿宋_GB2312" w:eastAsia="仿宋_GB2312" w:cs="仿宋_GB2312"/>
                <w:b w:val="0"/>
                <w:bCs w:val="0"/>
                <w:color w:val="000000"/>
                <w:kern w:val="0"/>
                <w:sz w:val="32"/>
                <w:szCs w:val="32"/>
                <w:lang w:val="en-US" w:eastAsia="zh-CN"/>
              </w:rPr>
              <w:t>1</w:t>
            </w:r>
          </w:p>
        </w:tc>
        <w:tc>
          <w:tcPr>
            <w:tcW w:w="2217" w:type="dxa"/>
            <w:tcBorders>
              <w:top w:val="nil"/>
              <w:left w:val="nil"/>
              <w:bottom w:val="single" w:color="auto" w:sz="4" w:space="0"/>
              <w:right w:val="single" w:color="auto" w:sz="4" w:space="0"/>
            </w:tcBorders>
            <w:vAlign w:val="center"/>
          </w:tcPr>
          <w:p w14:paraId="0C861228">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100%</w:t>
            </w:r>
          </w:p>
        </w:tc>
        <w:tc>
          <w:tcPr>
            <w:tcW w:w="2019" w:type="dxa"/>
            <w:tcBorders>
              <w:top w:val="nil"/>
              <w:left w:val="nil"/>
              <w:bottom w:val="single" w:color="auto" w:sz="4" w:space="0"/>
              <w:right w:val="single" w:color="auto" w:sz="4" w:space="0"/>
            </w:tcBorders>
            <w:noWrap/>
            <w:vAlign w:val="center"/>
          </w:tcPr>
          <w:p w14:paraId="55E34F0A">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lang w:eastAsia="zh-CN"/>
              </w:rPr>
            </w:pPr>
            <w:r>
              <w:rPr>
                <w:rFonts w:hint="eastAsia" w:ascii="仿宋_GB2312" w:hAnsi="仿宋_GB2312" w:eastAsia="仿宋_GB2312" w:cs="仿宋_GB2312"/>
                <w:b w:val="0"/>
                <w:bCs w:val="0"/>
                <w:color w:val="000000"/>
                <w:kern w:val="0"/>
                <w:sz w:val="32"/>
                <w:szCs w:val="32"/>
                <w:lang w:eastAsia="zh-CN"/>
              </w:rPr>
              <w:t>1</w:t>
            </w:r>
          </w:p>
        </w:tc>
      </w:tr>
      <w:tr w14:paraId="29740440">
        <w:tblPrEx>
          <w:tblCellMar>
            <w:top w:w="0" w:type="dxa"/>
            <w:left w:w="108" w:type="dxa"/>
            <w:bottom w:w="0" w:type="dxa"/>
            <w:right w:w="108" w:type="dxa"/>
          </w:tblCellMar>
        </w:tblPrEx>
        <w:trPr>
          <w:trHeight w:val="510" w:hRule="exact"/>
        </w:trPr>
        <w:tc>
          <w:tcPr>
            <w:tcW w:w="2784" w:type="dxa"/>
            <w:tcBorders>
              <w:top w:val="nil"/>
              <w:left w:val="single" w:color="auto" w:sz="4" w:space="0"/>
              <w:bottom w:val="single" w:color="auto" w:sz="4" w:space="0"/>
              <w:right w:val="single" w:color="auto" w:sz="4" w:space="0"/>
            </w:tcBorders>
            <w:noWrap/>
            <w:vAlign w:val="center"/>
          </w:tcPr>
          <w:p w14:paraId="284710B3">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制度执行有效性</w:t>
            </w:r>
          </w:p>
        </w:tc>
        <w:tc>
          <w:tcPr>
            <w:tcW w:w="2040" w:type="dxa"/>
            <w:tcBorders>
              <w:top w:val="nil"/>
              <w:left w:val="nil"/>
              <w:bottom w:val="single" w:color="auto" w:sz="4" w:space="0"/>
              <w:right w:val="single" w:color="auto" w:sz="4" w:space="0"/>
            </w:tcBorders>
            <w:noWrap/>
            <w:vAlign w:val="center"/>
          </w:tcPr>
          <w:p w14:paraId="7D64278E">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lang w:eastAsia="zh-CN"/>
              </w:rPr>
            </w:pPr>
            <w:r>
              <w:rPr>
                <w:rFonts w:hint="eastAsia" w:ascii="仿宋_GB2312" w:hAnsi="仿宋_GB2312" w:eastAsia="仿宋_GB2312" w:cs="仿宋_GB2312"/>
                <w:b w:val="0"/>
                <w:bCs w:val="0"/>
                <w:color w:val="000000"/>
                <w:kern w:val="0"/>
                <w:sz w:val="32"/>
                <w:szCs w:val="32"/>
                <w:lang w:val="en-US" w:eastAsia="zh-CN"/>
              </w:rPr>
              <w:t>1</w:t>
            </w:r>
          </w:p>
        </w:tc>
        <w:tc>
          <w:tcPr>
            <w:tcW w:w="2217" w:type="dxa"/>
            <w:tcBorders>
              <w:top w:val="nil"/>
              <w:left w:val="nil"/>
              <w:bottom w:val="single" w:color="auto" w:sz="4" w:space="0"/>
              <w:right w:val="single" w:color="auto" w:sz="4" w:space="0"/>
            </w:tcBorders>
            <w:vAlign w:val="center"/>
          </w:tcPr>
          <w:p w14:paraId="690D5746">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100%</w:t>
            </w:r>
          </w:p>
        </w:tc>
        <w:tc>
          <w:tcPr>
            <w:tcW w:w="2019" w:type="dxa"/>
            <w:tcBorders>
              <w:top w:val="nil"/>
              <w:left w:val="nil"/>
              <w:bottom w:val="single" w:color="auto" w:sz="4" w:space="0"/>
              <w:right w:val="single" w:color="auto" w:sz="4" w:space="0"/>
            </w:tcBorders>
            <w:noWrap/>
            <w:vAlign w:val="center"/>
          </w:tcPr>
          <w:p w14:paraId="0DD6CD4C">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lang w:val="en-US" w:eastAsia="zh-CN"/>
              </w:rPr>
            </w:pPr>
            <w:r>
              <w:rPr>
                <w:rFonts w:hint="eastAsia" w:ascii="仿宋_GB2312" w:hAnsi="仿宋_GB2312" w:eastAsia="仿宋_GB2312" w:cs="仿宋_GB2312"/>
                <w:b w:val="0"/>
                <w:bCs w:val="0"/>
                <w:color w:val="000000"/>
                <w:kern w:val="0"/>
                <w:sz w:val="32"/>
                <w:szCs w:val="32"/>
                <w:lang w:val="en-US" w:eastAsia="zh-CN"/>
              </w:rPr>
              <w:t>1</w:t>
            </w:r>
          </w:p>
        </w:tc>
      </w:tr>
      <w:tr w14:paraId="5993B216">
        <w:tblPrEx>
          <w:tblCellMar>
            <w:top w:w="0" w:type="dxa"/>
            <w:left w:w="108" w:type="dxa"/>
            <w:bottom w:w="0" w:type="dxa"/>
            <w:right w:w="108" w:type="dxa"/>
          </w:tblCellMar>
        </w:tblPrEx>
        <w:trPr>
          <w:trHeight w:val="510" w:hRule="exact"/>
        </w:trPr>
        <w:tc>
          <w:tcPr>
            <w:tcW w:w="2784" w:type="dxa"/>
            <w:tcBorders>
              <w:top w:val="single" w:color="auto" w:sz="4" w:space="0"/>
              <w:left w:val="single" w:color="auto" w:sz="4" w:space="0"/>
              <w:bottom w:val="single" w:color="auto" w:sz="4" w:space="0"/>
              <w:right w:val="single" w:color="auto" w:sz="4" w:space="0"/>
            </w:tcBorders>
            <w:noWrap/>
            <w:vAlign w:val="center"/>
          </w:tcPr>
          <w:p w14:paraId="7F66114F">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合  计</w:t>
            </w:r>
          </w:p>
        </w:tc>
        <w:tc>
          <w:tcPr>
            <w:tcW w:w="2040" w:type="dxa"/>
            <w:tcBorders>
              <w:top w:val="single" w:color="auto" w:sz="4" w:space="0"/>
              <w:left w:val="nil"/>
              <w:bottom w:val="single" w:color="auto" w:sz="4" w:space="0"/>
              <w:right w:val="single" w:color="auto" w:sz="4" w:space="0"/>
            </w:tcBorders>
            <w:noWrap/>
            <w:vAlign w:val="center"/>
          </w:tcPr>
          <w:p w14:paraId="39BAF7A9">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lang w:eastAsia="zh-CN"/>
              </w:rPr>
            </w:pPr>
            <w:r>
              <w:rPr>
                <w:rFonts w:hint="eastAsia" w:ascii="仿宋_GB2312" w:hAnsi="仿宋_GB2312" w:eastAsia="仿宋_GB2312" w:cs="仿宋_GB2312"/>
                <w:b w:val="0"/>
                <w:bCs w:val="0"/>
                <w:color w:val="000000"/>
                <w:kern w:val="0"/>
                <w:sz w:val="32"/>
                <w:szCs w:val="32"/>
                <w:lang w:val="en-US" w:eastAsia="zh-CN"/>
              </w:rPr>
              <w:t>5</w:t>
            </w:r>
          </w:p>
        </w:tc>
        <w:tc>
          <w:tcPr>
            <w:tcW w:w="2217" w:type="dxa"/>
            <w:tcBorders>
              <w:top w:val="single" w:color="auto" w:sz="4" w:space="0"/>
              <w:left w:val="nil"/>
              <w:bottom w:val="single" w:color="auto" w:sz="4" w:space="0"/>
              <w:right w:val="single" w:color="auto" w:sz="4" w:space="0"/>
            </w:tcBorders>
            <w:vAlign w:val="center"/>
          </w:tcPr>
          <w:p w14:paraId="5941B0EC">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lang w:val="en-US" w:eastAsia="zh-CN"/>
              </w:rPr>
              <w:t>99.94</w:t>
            </w:r>
            <w:r>
              <w:rPr>
                <w:rFonts w:hint="eastAsia" w:ascii="仿宋_GB2312" w:hAnsi="仿宋_GB2312" w:eastAsia="仿宋_GB2312" w:cs="仿宋_GB2312"/>
                <w:b w:val="0"/>
                <w:bCs w:val="0"/>
                <w:color w:val="000000"/>
                <w:kern w:val="0"/>
                <w:sz w:val="32"/>
                <w:szCs w:val="32"/>
              </w:rPr>
              <w:t>%</w:t>
            </w:r>
          </w:p>
        </w:tc>
        <w:tc>
          <w:tcPr>
            <w:tcW w:w="2019" w:type="dxa"/>
            <w:tcBorders>
              <w:top w:val="single" w:color="auto" w:sz="4" w:space="0"/>
              <w:left w:val="nil"/>
              <w:bottom w:val="single" w:color="auto" w:sz="4" w:space="0"/>
              <w:right w:val="single" w:color="auto" w:sz="4" w:space="0"/>
            </w:tcBorders>
            <w:noWrap/>
            <w:vAlign w:val="center"/>
          </w:tcPr>
          <w:p w14:paraId="709B95FD">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仿宋_GB2312" w:hAnsi="仿宋_GB2312" w:eastAsia="仿宋_GB2312" w:cs="仿宋_GB2312"/>
                <w:b w:val="0"/>
                <w:bCs w:val="0"/>
                <w:color w:val="000000"/>
                <w:kern w:val="0"/>
                <w:sz w:val="32"/>
                <w:szCs w:val="32"/>
                <w:lang w:val="en-US" w:eastAsia="zh-CN"/>
              </w:rPr>
            </w:pPr>
            <w:r>
              <w:rPr>
                <w:rFonts w:hint="eastAsia" w:ascii="仿宋_GB2312" w:hAnsi="仿宋_GB2312" w:eastAsia="仿宋_GB2312" w:cs="仿宋_GB2312"/>
                <w:b w:val="0"/>
                <w:bCs w:val="0"/>
                <w:color w:val="000000"/>
                <w:kern w:val="0"/>
                <w:sz w:val="32"/>
                <w:szCs w:val="32"/>
                <w:lang w:val="en-US" w:eastAsia="zh-CN"/>
              </w:rPr>
              <w:t>4.99</w:t>
            </w:r>
          </w:p>
        </w:tc>
      </w:tr>
    </w:tbl>
    <w:p w14:paraId="653FA2FA">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对于“资金到位率”，项目资金到位及时，到位率为</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。根据评分标准，该指标不扣分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val="0"/>
          <w:bCs w:val="0"/>
          <w:sz w:val="32"/>
          <w:szCs w:val="32"/>
        </w:rPr>
        <w:t>实际得分</w:t>
      </w:r>
      <w:r>
        <w:rPr>
          <w:rFonts w:hint="eastAsia" w:ascii="仿宋_GB2312" w:hAnsi="仿宋_GB2312" w:eastAsia="仿宋_GB2312" w:cs="仿宋_GB2312"/>
          <w:b w:val="0"/>
          <w:bCs w:val="0"/>
          <w:sz w:val="32"/>
          <w:szCs w:val="32"/>
          <w:lang w:val="en-US" w:eastAsia="zh-CN"/>
        </w:rPr>
        <w:t>1</w:t>
      </w:r>
      <w:r>
        <w:rPr>
          <w:rFonts w:hint="eastAsia" w:ascii="仿宋_GB2312" w:hAnsi="仿宋_GB2312" w:eastAsia="仿宋_GB2312" w:cs="仿宋_GB2312"/>
          <w:b w:val="0"/>
          <w:bCs w:val="0"/>
          <w:sz w:val="32"/>
          <w:szCs w:val="32"/>
        </w:rPr>
        <w:t>分</w:t>
      </w:r>
      <w:r>
        <w:rPr>
          <w:rFonts w:hint="eastAsia" w:ascii="仿宋_GB2312" w:hAnsi="仿宋_GB2312" w:eastAsia="仿宋_GB2312" w:cs="仿宋_GB2312"/>
          <w:sz w:val="32"/>
          <w:szCs w:val="32"/>
        </w:rPr>
        <w:t>。</w:t>
      </w:r>
    </w:p>
    <w:p w14:paraId="63B0D11A">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w:t>
      </w:r>
      <w:r>
        <w:rPr>
          <w:rFonts w:hint="eastAsia" w:ascii="仿宋_GB2312" w:hAnsi="仿宋_GB2312" w:eastAsia="仿宋_GB2312" w:cs="仿宋_GB2312"/>
          <w:sz w:val="32"/>
          <w:szCs w:val="32"/>
          <w:lang w:eastAsia="zh-CN"/>
        </w:rPr>
        <w:t>预算执行</w:t>
      </w:r>
      <w:r>
        <w:rPr>
          <w:rFonts w:hint="eastAsia" w:ascii="仿宋_GB2312" w:hAnsi="仿宋_GB2312" w:eastAsia="仿宋_GB2312" w:cs="仿宋_GB2312"/>
          <w:sz w:val="32"/>
          <w:szCs w:val="32"/>
        </w:rPr>
        <w:t>率”，项目资金</w:t>
      </w:r>
      <w:r>
        <w:rPr>
          <w:rFonts w:hint="eastAsia" w:ascii="仿宋_GB2312" w:hAnsi="仿宋_GB2312" w:eastAsia="仿宋_GB2312" w:cs="仿宋_GB2312"/>
          <w:sz w:val="32"/>
          <w:szCs w:val="32"/>
          <w:lang w:eastAsia="zh-CN"/>
        </w:rPr>
        <w:t>预算数</w:t>
      </w:r>
      <w:r>
        <w:rPr>
          <w:rFonts w:hint="eastAsia" w:ascii="仿宋_GB2312" w:hAnsi="仿宋_GB2312" w:eastAsia="仿宋_GB2312" w:cs="仿宋_GB2312"/>
          <w:sz w:val="32"/>
          <w:szCs w:val="32"/>
          <w:lang w:val="en-US" w:eastAsia="zh-CN"/>
        </w:rPr>
        <w:t>63.64万元，全年执行数为63.44万元，</w:t>
      </w:r>
      <w:r>
        <w:rPr>
          <w:rFonts w:hint="eastAsia" w:ascii="仿宋_GB2312" w:hAnsi="仿宋_GB2312" w:eastAsia="仿宋_GB2312" w:cs="仿宋_GB2312"/>
          <w:sz w:val="32"/>
          <w:szCs w:val="32"/>
          <w:lang w:eastAsia="zh-CN"/>
        </w:rPr>
        <w:t>执行</w:t>
      </w:r>
      <w:r>
        <w:rPr>
          <w:rFonts w:hint="eastAsia" w:ascii="仿宋_GB2312" w:hAnsi="仿宋_GB2312" w:eastAsia="仿宋_GB2312" w:cs="仿宋_GB2312"/>
          <w:sz w:val="32"/>
          <w:szCs w:val="32"/>
        </w:rPr>
        <w:t>率为</w:t>
      </w:r>
      <w:r>
        <w:rPr>
          <w:rFonts w:hint="eastAsia" w:ascii="仿宋_GB2312" w:hAnsi="仿宋_GB2312" w:eastAsia="仿宋_GB2312" w:cs="仿宋_GB2312"/>
          <w:sz w:val="32"/>
          <w:szCs w:val="32"/>
          <w:lang w:val="en-US" w:eastAsia="zh-CN"/>
        </w:rPr>
        <w:t>99.68</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。根据评分标准，该指标扣</w:t>
      </w:r>
      <w:r>
        <w:rPr>
          <w:rFonts w:hint="eastAsia" w:ascii="仿宋_GB2312" w:hAnsi="仿宋_GB2312" w:eastAsia="仿宋_GB2312" w:cs="仿宋_GB2312"/>
          <w:sz w:val="32"/>
          <w:szCs w:val="32"/>
          <w:lang w:val="en-US" w:eastAsia="zh-CN"/>
        </w:rPr>
        <w:t>0.01</w:t>
      </w:r>
      <w:r>
        <w:rPr>
          <w:rFonts w:hint="eastAsia" w:ascii="仿宋_GB2312" w:hAnsi="仿宋_GB2312" w:eastAsia="仿宋_GB2312" w:cs="仿宋_GB2312"/>
          <w:sz w:val="32"/>
          <w:szCs w:val="32"/>
        </w:rPr>
        <w:t>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实际得分</w:t>
      </w:r>
      <w:r>
        <w:rPr>
          <w:rFonts w:hint="eastAsia" w:ascii="仿宋_GB2312" w:hAnsi="仿宋_GB2312" w:eastAsia="仿宋_GB2312" w:cs="仿宋_GB2312"/>
          <w:sz w:val="32"/>
          <w:szCs w:val="32"/>
          <w:lang w:val="en-US" w:eastAsia="zh-CN"/>
        </w:rPr>
        <w:t>0.99</w:t>
      </w:r>
      <w:r>
        <w:rPr>
          <w:rFonts w:hint="eastAsia" w:ascii="仿宋_GB2312" w:hAnsi="仿宋_GB2312" w:eastAsia="仿宋_GB2312" w:cs="仿宋_GB2312"/>
          <w:sz w:val="32"/>
          <w:szCs w:val="32"/>
        </w:rPr>
        <w:t>分。</w:t>
      </w:r>
    </w:p>
    <w:p w14:paraId="23CC59B1">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对于“资金使用合规性”项目按照专项资金列支的范围使用资金，支出范围合规；资金支出能按财务制度执行，并能按国库集中支付制度规定执行，不存在资金违纪违规使用情况。根据评分标准，该指标不扣分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val="0"/>
          <w:bCs w:val="0"/>
          <w:sz w:val="32"/>
          <w:szCs w:val="32"/>
        </w:rPr>
        <w:t>实际得分</w:t>
      </w:r>
      <w:r>
        <w:rPr>
          <w:rFonts w:hint="eastAsia" w:ascii="仿宋_GB2312" w:hAnsi="仿宋_GB2312" w:eastAsia="仿宋_GB2312" w:cs="仿宋_GB2312"/>
          <w:b w:val="0"/>
          <w:bCs w:val="0"/>
          <w:sz w:val="32"/>
          <w:szCs w:val="32"/>
          <w:lang w:val="en-US" w:eastAsia="zh-CN"/>
        </w:rPr>
        <w:t>1</w:t>
      </w:r>
      <w:r>
        <w:rPr>
          <w:rFonts w:hint="eastAsia" w:ascii="仿宋_GB2312" w:hAnsi="仿宋_GB2312" w:eastAsia="仿宋_GB2312" w:cs="仿宋_GB2312"/>
          <w:b w:val="0"/>
          <w:bCs w:val="0"/>
          <w:sz w:val="32"/>
          <w:szCs w:val="32"/>
        </w:rPr>
        <w:t>分</w:t>
      </w:r>
      <w:r>
        <w:rPr>
          <w:rFonts w:hint="eastAsia" w:ascii="仿宋_GB2312" w:hAnsi="仿宋_GB2312" w:eastAsia="仿宋_GB2312" w:cs="仿宋_GB2312"/>
          <w:sz w:val="32"/>
          <w:szCs w:val="32"/>
        </w:rPr>
        <w:t>。</w:t>
      </w:r>
    </w:p>
    <w:p w14:paraId="16019B8B">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对于“管理制度健全性”，项目机构健全，分工明确，不存在不相容岗位兼任情况。根据评分标准，该指标不扣分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val="0"/>
          <w:bCs w:val="0"/>
          <w:sz w:val="32"/>
          <w:szCs w:val="32"/>
        </w:rPr>
        <w:t>实际得分</w:t>
      </w:r>
      <w:r>
        <w:rPr>
          <w:rFonts w:hint="eastAsia" w:ascii="仿宋_GB2312" w:hAnsi="仿宋_GB2312" w:eastAsia="仿宋_GB2312" w:cs="仿宋_GB2312"/>
          <w:b w:val="0"/>
          <w:bCs w:val="0"/>
          <w:sz w:val="32"/>
          <w:szCs w:val="32"/>
          <w:lang w:val="en-US" w:eastAsia="zh-CN"/>
        </w:rPr>
        <w:t>1</w:t>
      </w:r>
      <w:r>
        <w:rPr>
          <w:rFonts w:hint="eastAsia" w:ascii="仿宋_GB2312" w:hAnsi="仿宋_GB2312" w:eastAsia="仿宋_GB2312" w:cs="仿宋_GB2312"/>
          <w:b w:val="0"/>
          <w:bCs w:val="0"/>
          <w:sz w:val="32"/>
          <w:szCs w:val="32"/>
        </w:rPr>
        <w:t>分</w:t>
      </w:r>
      <w:r>
        <w:rPr>
          <w:rFonts w:hint="eastAsia" w:ascii="仿宋_GB2312" w:hAnsi="仿宋_GB2312" w:eastAsia="仿宋_GB2312" w:cs="仿宋_GB2312"/>
          <w:sz w:val="32"/>
          <w:szCs w:val="32"/>
        </w:rPr>
        <w:t>。</w:t>
      </w:r>
    </w:p>
    <w:p w14:paraId="451A8F16">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对于“制度执行有效性”，组建了党校校长为组长，相关科室负责人为成员的项目建设领导小组，认真组织项目</w:t>
      </w:r>
      <w:r>
        <w:rPr>
          <w:rFonts w:hint="eastAsia" w:ascii="仿宋_GB2312" w:hAnsi="仿宋_GB2312" w:eastAsia="仿宋_GB2312" w:cs="仿宋_GB2312"/>
          <w:sz w:val="32"/>
          <w:szCs w:val="32"/>
          <w:lang w:val="en-US" w:eastAsia="zh-CN"/>
        </w:rPr>
        <w:t>实施。</w:t>
      </w:r>
      <w:r>
        <w:rPr>
          <w:rFonts w:hint="eastAsia" w:ascii="仿宋_GB2312" w:hAnsi="仿宋_GB2312" w:eastAsia="仿宋_GB2312" w:cs="仿宋_GB2312"/>
          <w:sz w:val="32"/>
          <w:szCs w:val="32"/>
        </w:rPr>
        <w:t>根据评分标准，该指标不扣分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val="0"/>
          <w:bCs w:val="0"/>
          <w:sz w:val="32"/>
          <w:szCs w:val="32"/>
        </w:rPr>
        <w:t>实际得分</w:t>
      </w:r>
      <w:r>
        <w:rPr>
          <w:rFonts w:hint="eastAsia" w:ascii="仿宋_GB2312" w:hAnsi="仿宋_GB2312" w:eastAsia="仿宋_GB2312" w:cs="仿宋_GB2312"/>
          <w:b w:val="0"/>
          <w:bCs w:val="0"/>
          <w:sz w:val="32"/>
          <w:szCs w:val="32"/>
          <w:lang w:val="en-US" w:eastAsia="zh-CN"/>
        </w:rPr>
        <w:t>1</w:t>
      </w:r>
      <w:r>
        <w:rPr>
          <w:rFonts w:hint="eastAsia" w:ascii="仿宋_GB2312" w:hAnsi="仿宋_GB2312" w:eastAsia="仿宋_GB2312" w:cs="仿宋_GB2312"/>
          <w:b w:val="0"/>
          <w:bCs w:val="0"/>
          <w:sz w:val="32"/>
          <w:szCs w:val="32"/>
        </w:rPr>
        <w:t>分</w:t>
      </w:r>
      <w:r>
        <w:rPr>
          <w:rFonts w:hint="eastAsia" w:ascii="仿宋_GB2312" w:hAnsi="仿宋_GB2312" w:eastAsia="仿宋_GB2312" w:cs="仿宋_GB2312"/>
          <w:sz w:val="32"/>
          <w:szCs w:val="32"/>
        </w:rPr>
        <w:t>。</w:t>
      </w:r>
    </w:p>
    <w:p w14:paraId="2256BBB5">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仿宋_GB2312" w:eastAsia="仿宋_GB2312" w:cs="仿宋_GB2312"/>
          <w:sz w:val="32"/>
          <w:szCs w:val="32"/>
        </w:rPr>
      </w:pPr>
    </w:p>
    <w:p w14:paraId="6A3ECAAF">
      <w:pPr>
        <w:keepNext w:val="0"/>
        <w:keepLines w:val="0"/>
        <w:pageBreakBefore w:val="0"/>
        <w:kinsoku/>
        <w:wordWrap/>
        <w:overflowPunct/>
        <w:topLinePunct w:val="0"/>
        <w:autoSpaceDE/>
        <w:autoSpaceDN/>
        <w:bidi w:val="0"/>
        <w:adjustRightInd/>
        <w:snapToGrid/>
        <w:spacing w:line="560" w:lineRule="atLeast"/>
        <w:textAlignment w:val="auto"/>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三</w:t>
      </w:r>
      <w:r>
        <w:rPr>
          <w:rFonts w:hint="eastAsia" w:ascii="楷体_GB2312" w:hAnsi="楷体_GB2312" w:eastAsia="楷体_GB2312" w:cs="楷体_GB2312"/>
          <w:b/>
          <w:bCs/>
          <w:sz w:val="32"/>
          <w:szCs w:val="32"/>
          <w:lang w:eastAsia="zh-CN"/>
        </w:rPr>
        <w:t>）项目产出情况</w:t>
      </w:r>
    </w:p>
    <w:p w14:paraId="2BA8585D">
      <w:pPr>
        <w:keepNext w:val="0"/>
        <w:keepLines w:val="0"/>
        <w:pageBreakBefore w:val="0"/>
        <w:kinsoku/>
        <w:wordWrap/>
        <w:overflowPunct/>
        <w:topLinePunct w:val="0"/>
        <w:autoSpaceDE/>
        <w:autoSpaceDN/>
        <w:bidi w:val="0"/>
        <w:adjustRightInd/>
        <w:snapToGrid/>
        <w:spacing w:line="560" w:lineRule="atLeast"/>
        <w:ind w:firstLine="640" w:firstLineChars="200"/>
        <w:jc w:val="left"/>
        <w:textAlignment w:val="auto"/>
        <w:rPr>
          <w:rFonts w:ascii="仿宋_GB2312" w:hAnsi="仿宋_GB2312" w:eastAsia="仿宋_GB2312" w:cs="仿宋_GB2312"/>
          <w:b w:val="0"/>
          <w:bCs w:val="0"/>
          <w:sz w:val="32"/>
          <w:szCs w:val="32"/>
        </w:rPr>
      </w:pPr>
      <w:r>
        <w:rPr>
          <w:rFonts w:hint="eastAsia" w:ascii="仿宋_GB2312" w:hAnsi="仿宋_GB2312" w:eastAsia="仿宋_GB2312" w:cs="仿宋_GB2312"/>
          <w:sz w:val="32"/>
          <w:szCs w:val="32"/>
        </w:rPr>
        <w:t>项目绩效主要从项目产出的产出数量、产出质量、产出时效、成本情况4个方面对项目的绩效情况进行评价</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b w:val="0"/>
          <w:bCs w:val="0"/>
          <w:sz w:val="32"/>
          <w:szCs w:val="32"/>
        </w:rPr>
        <w:t>项目绩效类指标分值</w:t>
      </w:r>
      <w:r>
        <w:rPr>
          <w:rFonts w:hint="eastAsia" w:ascii="仿宋_GB2312" w:hAnsi="仿宋_GB2312" w:eastAsia="仿宋_GB2312" w:cs="仿宋_GB2312"/>
          <w:b w:val="0"/>
          <w:bCs w:val="0"/>
          <w:sz w:val="32"/>
          <w:szCs w:val="32"/>
          <w:lang w:val="en-US" w:eastAsia="zh-CN"/>
        </w:rPr>
        <w:t>50</w:t>
      </w:r>
      <w:r>
        <w:rPr>
          <w:rFonts w:hint="eastAsia" w:ascii="仿宋_GB2312" w:hAnsi="仿宋_GB2312" w:eastAsia="仿宋_GB2312" w:cs="仿宋_GB2312"/>
          <w:b w:val="0"/>
          <w:bCs w:val="0"/>
          <w:sz w:val="32"/>
          <w:szCs w:val="32"/>
        </w:rPr>
        <w:t>分，实际得分</w:t>
      </w:r>
      <w:r>
        <w:rPr>
          <w:rFonts w:hint="eastAsia" w:ascii="仿宋_GB2312" w:hAnsi="仿宋_GB2312" w:eastAsia="仿宋_GB2312" w:cs="仿宋_GB2312"/>
          <w:b w:val="0"/>
          <w:bCs w:val="0"/>
          <w:sz w:val="32"/>
          <w:szCs w:val="32"/>
          <w:lang w:val="en-US" w:eastAsia="zh-CN"/>
        </w:rPr>
        <w:t>50</w:t>
      </w:r>
      <w:r>
        <w:rPr>
          <w:rFonts w:hint="eastAsia" w:ascii="仿宋_GB2312" w:hAnsi="仿宋_GB2312" w:eastAsia="仿宋_GB2312" w:cs="仿宋_GB2312"/>
          <w:b w:val="0"/>
          <w:bCs w:val="0"/>
          <w:sz w:val="32"/>
          <w:szCs w:val="32"/>
        </w:rPr>
        <w:t>分，得分率为100%。项目绩效指标得分情况如表所示。</w:t>
      </w:r>
    </w:p>
    <w:p w14:paraId="24B53B89">
      <w:pPr>
        <w:keepNext w:val="0"/>
        <w:keepLines w:val="0"/>
        <w:pageBreakBefore w:val="0"/>
        <w:kinsoku/>
        <w:wordWrap/>
        <w:overflowPunct/>
        <w:topLinePunct w:val="0"/>
        <w:autoSpaceDE/>
        <w:autoSpaceDN/>
        <w:bidi w:val="0"/>
        <w:adjustRightInd/>
        <w:snapToGrid/>
        <w:spacing w:line="560" w:lineRule="atLeast"/>
        <w:ind w:firstLine="2570" w:firstLineChars="800"/>
        <w:textAlignment w:val="auto"/>
        <w:rPr>
          <w:rFonts w:ascii="仿宋_GB2312" w:hAnsi="仿宋_GB2312" w:eastAsia="仿宋_GB2312" w:cs="仿宋_GB2312"/>
          <w:sz w:val="30"/>
          <w:szCs w:val="30"/>
        </w:rPr>
      </w:pPr>
      <w:r>
        <w:rPr>
          <w:rFonts w:hint="eastAsia" w:ascii="仿宋_GB2312" w:hAnsi="仿宋_GB2312" w:eastAsia="仿宋_GB2312" w:cs="仿宋_GB2312"/>
          <w:b/>
          <w:bCs/>
          <w:color w:val="000000"/>
          <w:kern w:val="0"/>
          <w:sz w:val="32"/>
          <w:szCs w:val="32"/>
        </w:rPr>
        <w:t>项目</w:t>
      </w:r>
      <w:r>
        <w:rPr>
          <w:rFonts w:hint="eastAsia" w:ascii="仿宋_GB2312" w:hAnsi="仿宋_GB2312" w:eastAsia="仿宋_GB2312" w:cs="仿宋_GB2312"/>
          <w:b/>
          <w:bCs/>
          <w:color w:val="000000"/>
          <w:kern w:val="0"/>
          <w:sz w:val="32"/>
          <w:szCs w:val="32"/>
          <w:lang w:eastAsia="zh-CN"/>
        </w:rPr>
        <w:t>产出</w:t>
      </w:r>
      <w:r>
        <w:rPr>
          <w:rFonts w:hint="eastAsia" w:ascii="仿宋_GB2312" w:hAnsi="仿宋_GB2312" w:eastAsia="仿宋_GB2312" w:cs="仿宋_GB2312"/>
          <w:b/>
          <w:bCs/>
          <w:color w:val="000000"/>
          <w:kern w:val="0"/>
          <w:sz w:val="32"/>
          <w:szCs w:val="32"/>
        </w:rPr>
        <w:t>指标得分情况</w:t>
      </w:r>
    </w:p>
    <w:tbl>
      <w:tblPr>
        <w:tblStyle w:val="10"/>
        <w:tblW w:w="8094" w:type="dxa"/>
        <w:tblInd w:w="0" w:type="dxa"/>
        <w:tblLayout w:type="fixed"/>
        <w:tblCellMar>
          <w:top w:w="0" w:type="dxa"/>
          <w:left w:w="108" w:type="dxa"/>
          <w:bottom w:w="0" w:type="dxa"/>
          <w:right w:w="108" w:type="dxa"/>
        </w:tblCellMar>
      </w:tblPr>
      <w:tblGrid>
        <w:gridCol w:w="2904"/>
        <w:gridCol w:w="1485"/>
        <w:gridCol w:w="1695"/>
        <w:gridCol w:w="2010"/>
      </w:tblGrid>
      <w:tr w14:paraId="376A4D69">
        <w:tblPrEx>
          <w:tblCellMar>
            <w:top w:w="0" w:type="dxa"/>
            <w:left w:w="108" w:type="dxa"/>
            <w:bottom w:w="0" w:type="dxa"/>
            <w:right w:w="108" w:type="dxa"/>
          </w:tblCellMar>
        </w:tblPrEx>
        <w:trPr>
          <w:trHeight w:val="510" w:hRule="exact"/>
          <w:tblHeader/>
        </w:trPr>
        <w:tc>
          <w:tcPr>
            <w:tcW w:w="2904" w:type="dxa"/>
            <w:tcBorders>
              <w:top w:val="single" w:color="auto" w:sz="4" w:space="0"/>
              <w:left w:val="single" w:color="auto" w:sz="4" w:space="0"/>
              <w:bottom w:val="single" w:color="auto" w:sz="4" w:space="0"/>
              <w:right w:val="single" w:color="auto" w:sz="4" w:space="0"/>
            </w:tcBorders>
            <w:shd w:val="clear" w:color="000000" w:fill="A6A6A6"/>
            <w:vAlign w:val="center"/>
          </w:tcPr>
          <w:p w14:paraId="11BAB955">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三级指标</w:t>
            </w:r>
          </w:p>
        </w:tc>
        <w:tc>
          <w:tcPr>
            <w:tcW w:w="1485" w:type="dxa"/>
            <w:tcBorders>
              <w:top w:val="single" w:color="auto" w:sz="4" w:space="0"/>
              <w:left w:val="single" w:color="auto" w:sz="4" w:space="0"/>
              <w:bottom w:val="single" w:color="auto" w:sz="4" w:space="0"/>
              <w:right w:val="single" w:color="auto" w:sz="4" w:space="0"/>
            </w:tcBorders>
            <w:shd w:val="clear" w:color="000000" w:fill="A6A6A6"/>
            <w:vAlign w:val="center"/>
          </w:tcPr>
          <w:p w14:paraId="0AA500DB">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权重</w:t>
            </w:r>
          </w:p>
        </w:tc>
        <w:tc>
          <w:tcPr>
            <w:tcW w:w="1695" w:type="dxa"/>
            <w:tcBorders>
              <w:top w:val="single" w:color="auto" w:sz="4" w:space="0"/>
              <w:left w:val="single" w:color="auto" w:sz="4" w:space="0"/>
              <w:bottom w:val="single" w:color="auto" w:sz="4" w:space="0"/>
              <w:right w:val="single" w:color="auto" w:sz="4" w:space="0"/>
            </w:tcBorders>
            <w:shd w:val="clear" w:color="000000" w:fill="A6A6A6"/>
            <w:vAlign w:val="center"/>
          </w:tcPr>
          <w:p w14:paraId="08AE5F8E">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得分率</w:t>
            </w:r>
          </w:p>
        </w:tc>
        <w:tc>
          <w:tcPr>
            <w:tcW w:w="2010" w:type="dxa"/>
            <w:tcBorders>
              <w:top w:val="single" w:color="auto" w:sz="4" w:space="0"/>
              <w:left w:val="single" w:color="auto" w:sz="4" w:space="0"/>
              <w:bottom w:val="single" w:color="auto" w:sz="4" w:space="0"/>
              <w:right w:val="single" w:color="auto" w:sz="4" w:space="0"/>
            </w:tcBorders>
            <w:shd w:val="clear" w:color="000000" w:fill="A6A6A6"/>
            <w:vAlign w:val="center"/>
          </w:tcPr>
          <w:p w14:paraId="6D09ABE3">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实际得分</w:t>
            </w:r>
          </w:p>
        </w:tc>
      </w:tr>
      <w:tr w14:paraId="2048B05C">
        <w:tblPrEx>
          <w:tblCellMar>
            <w:top w:w="0" w:type="dxa"/>
            <w:left w:w="108" w:type="dxa"/>
            <w:bottom w:w="0" w:type="dxa"/>
            <w:right w:w="108" w:type="dxa"/>
          </w:tblCellMar>
        </w:tblPrEx>
        <w:trPr>
          <w:trHeight w:val="720" w:hRule="atLeast"/>
        </w:trPr>
        <w:tc>
          <w:tcPr>
            <w:tcW w:w="2904" w:type="dxa"/>
            <w:tcBorders>
              <w:top w:val="single" w:color="auto" w:sz="4" w:space="0"/>
              <w:left w:val="single" w:color="auto" w:sz="4" w:space="0"/>
              <w:right w:val="single" w:color="auto" w:sz="4" w:space="0"/>
            </w:tcBorders>
            <w:shd w:val="clear" w:color="auto" w:fill="auto"/>
            <w:noWrap/>
            <w:vAlign w:val="center"/>
          </w:tcPr>
          <w:p w14:paraId="717CAD98">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lang w:val="en-US" w:eastAsia="zh-CN"/>
              </w:rPr>
              <w:t>经费保障人数</w:t>
            </w:r>
          </w:p>
        </w:tc>
        <w:tc>
          <w:tcPr>
            <w:tcW w:w="148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1767229">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仿宋_GB2312" w:hAnsi="仿宋_GB2312" w:eastAsia="仿宋_GB2312" w:cs="仿宋_GB2312"/>
                <w:b w:val="0"/>
                <w:bCs w:val="0"/>
                <w:color w:val="000000"/>
                <w:kern w:val="0"/>
                <w:sz w:val="32"/>
                <w:szCs w:val="32"/>
                <w:lang w:val="en-US" w:eastAsia="zh-CN"/>
              </w:rPr>
            </w:pPr>
            <w:r>
              <w:rPr>
                <w:rFonts w:hint="eastAsia" w:ascii="仿宋_GB2312" w:hAnsi="仿宋_GB2312" w:eastAsia="仿宋_GB2312" w:cs="仿宋_GB2312"/>
                <w:b w:val="0"/>
                <w:bCs w:val="0"/>
                <w:color w:val="000000"/>
                <w:kern w:val="0"/>
                <w:sz w:val="32"/>
                <w:szCs w:val="32"/>
                <w:lang w:val="en-US" w:eastAsia="zh-CN"/>
              </w:rPr>
              <w:t>12.5</w:t>
            </w:r>
          </w:p>
        </w:tc>
        <w:tc>
          <w:tcPr>
            <w:tcW w:w="1695" w:type="dxa"/>
            <w:tcBorders>
              <w:top w:val="single" w:color="auto" w:sz="4" w:space="0"/>
              <w:left w:val="nil"/>
              <w:bottom w:val="single" w:color="auto" w:sz="4" w:space="0"/>
              <w:right w:val="single" w:color="auto" w:sz="4" w:space="0"/>
            </w:tcBorders>
            <w:shd w:val="clear" w:color="auto" w:fill="auto"/>
            <w:vAlign w:val="center"/>
          </w:tcPr>
          <w:p w14:paraId="3F9E3D75">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100%</w:t>
            </w:r>
          </w:p>
        </w:tc>
        <w:tc>
          <w:tcPr>
            <w:tcW w:w="2010" w:type="dxa"/>
            <w:tcBorders>
              <w:top w:val="single" w:color="auto" w:sz="4" w:space="0"/>
              <w:left w:val="nil"/>
              <w:bottom w:val="single" w:color="auto" w:sz="4" w:space="0"/>
              <w:right w:val="single" w:color="auto" w:sz="4" w:space="0"/>
            </w:tcBorders>
            <w:shd w:val="clear" w:color="auto" w:fill="auto"/>
            <w:noWrap/>
            <w:vAlign w:val="center"/>
          </w:tcPr>
          <w:p w14:paraId="21D89617">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仿宋_GB2312" w:hAnsi="仿宋_GB2312" w:eastAsia="仿宋_GB2312" w:cs="仿宋_GB2312"/>
                <w:b w:val="0"/>
                <w:bCs w:val="0"/>
                <w:color w:val="000000"/>
                <w:kern w:val="0"/>
                <w:sz w:val="32"/>
                <w:szCs w:val="32"/>
                <w:lang w:val="en-US" w:eastAsia="zh-CN"/>
              </w:rPr>
            </w:pPr>
            <w:r>
              <w:rPr>
                <w:rFonts w:hint="eastAsia" w:ascii="仿宋_GB2312" w:hAnsi="仿宋_GB2312" w:eastAsia="仿宋_GB2312" w:cs="仿宋_GB2312"/>
                <w:b w:val="0"/>
                <w:bCs w:val="0"/>
                <w:color w:val="000000"/>
                <w:kern w:val="0"/>
                <w:sz w:val="32"/>
                <w:szCs w:val="32"/>
                <w:lang w:val="en-US" w:eastAsia="zh-CN"/>
              </w:rPr>
              <w:t>12.5</w:t>
            </w:r>
          </w:p>
        </w:tc>
      </w:tr>
      <w:tr w14:paraId="2C9D8DF5">
        <w:tblPrEx>
          <w:tblCellMar>
            <w:top w:w="0" w:type="dxa"/>
            <w:left w:w="108" w:type="dxa"/>
            <w:bottom w:w="0" w:type="dxa"/>
            <w:right w:w="108" w:type="dxa"/>
          </w:tblCellMar>
        </w:tblPrEx>
        <w:trPr>
          <w:trHeight w:val="510" w:hRule="exact"/>
        </w:trPr>
        <w:tc>
          <w:tcPr>
            <w:tcW w:w="290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95F1150">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lang w:val="en-US" w:eastAsia="zh-CN"/>
              </w:rPr>
              <w:t>经费保障覆盖率</w:t>
            </w:r>
          </w:p>
        </w:tc>
        <w:tc>
          <w:tcPr>
            <w:tcW w:w="1485" w:type="dxa"/>
            <w:tcBorders>
              <w:top w:val="single" w:color="auto" w:sz="4" w:space="0"/>
              <w:left w:val="nil"/>
              <w:bottom w:val="single" w:color="auto" w:sz="4" w:space="0"/>
              <w:right w:val="single" w:color="auto" w:sz="4" w:space="0"/>
            </w:tcBorders>
            <w:shd w:val="clear" w:color="auto" w:fill="auto"/>
            <w:noWrap/>
            <w:vAlign w:val="center"/>
          </w:tcPr>
          <w:p w14:paraId="4BA647D5">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仿宋_GB2312" w:hAnsi="仿宋_GB2312" w:eastAsia="仿宋_GB2312" w:cs="仿宋_GB2312"/>
                <w:b w:val="0"/>
                <w:bCs w:val="0"/>
                <w:color w:val="000000"/>
                <w:kern w:val="0"/>
                <w:sz w:val="32"/>
                <w:szCs w:val="32"/>
                <w:lang w:val="en-US" w:eastAsia="zh-CN"/>
              </w:rPr>
            </w:pPr>
            <w:r>
              <w:rPr>
                <w:rFonts w:hint="eastAsia" w:ascii="仿宋_GB2312" w:hAnsi="仿宋_GB2312" w:eastAsia="仿宋_GB2312" w:cs="仿宋_GB2312"/>
                <w:b w:val="0"/>
                <w:bCs w:val="0"/>
                <w:color w:val="000000"/>
                <w:kern w:val="0"/>
                <w:sz w:val="32"/>
                <w:szCs w:val="32"/>
                <w:lang w:val="en-US" w:eastAsia="zh-CN"/>
              </w:rPr>
              <w:t>12.5</w:t>
            </w:r>
          </w:p>
        </w:tc>
        <w:tc>
          <w:tcPr>
            <w:tcW w:w="1695" w:type="dxa"/>
            <w:tcBorders>
              <w:top w:val="single" w:color="auto" w:sz="4" w:space="0"/>
              <w:left w:val="nil"/>
              <w:bottom w:val="single" w:color="auto" w:sz="4" w:space="0"/>
              <w:right w:val="single" w:color="auto" w:sz="4" w:space="0"/>
            </w:tcBorders>
            <w:shd w:val="clear" w:color="auto" w:fill="auto"/>
            <w:vAlign w:val="center"/>
          </w:tcPr>
          <w:p w14:paraId="3509B5BE">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100%</w:t>
            </w:r>
          </w:p>
        </w:tc>
        <w:tc>
          <w:tcPr>
            <w:tcW w:w="2010" w:type="dxa"/>
            <w:tcBorders>
              <w:top w:val="single" w:color="auto" w:sz="4" w:space="0"/>
              <w:left w:val="nil"/>
              <w:bottom w:val="single" w:color="auto" w:sz="4" w:space="0"/>
              <w:right w:val="single" w:color="auto" w:sz="4" w:space="0"/>
            </w:tcBorders>
            <w:shd w:val="clear" w:color="auto" w:fill="auto"/>
            <w:noWrap/>
            <w:vAlign w:val="center"/>
          </w:tcPr>
          <w:p w14:paraId="2051D982">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lang w:val="en-US" w:eastAsia="zh-CN"/>
              </w:rPr>
              <w:t>12.5</w:t>
            </w:r>
          </w:p>
        </w:tc>
      </w:tr>
      <w:tr w14:paraId="4EB3A0E9">
        <w:tblPrEx>
          <w:tblCellMar>
            <w:top w:w="0" w:type="dxa"/>
            <w:left w:w="108" w:type="dxa"/>
            <w:bottom w:w="0" w:type="dxa"/>
            <w:right w:w="108" w:type="dxa"/>
          </w:tblCellMar>
        </w:tblPrEx>
        <w:trPr>
          <w:trHeight w:val="510" w:hRule="exact"/>
        </w:trPr>
        <w:tc>
          <w:tcPr>
            <w:tcW w:w="290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8B1E9B0">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lang w:val="en-US" w:eastAsia="zh-CN"/>
              </w:rPr>
              <w:t>资金拨付及时率</w:t>
            </w:r>
          </w:p>
        </w:tc>
        <w:tc>
          <w:tcPr>
            <w:tcW w:w="1485" w:type="dxa"/>
            <w:tcBorders>
              <w:top w:val="single" w:color="auto" w:sz="4" w:space="0"/>
              <w:left w:val="nil"/>
              <w:bottom w:val="single" w:color="auto" w:sz="4" w:space="0"/>
              <w:right w:val="single" w:color="auto" w:sz="4" w:space="0"/>
            </w:tcBorders>
            <w:shd w:val="clear" w:color="auto" w:fill="auto"/>
            <w:noWrap/>
            <w:vAlign w:val="center"/>
          </w:tcPr>
          <w:p w14:paraId="09D7A762">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仿宋_GB2312" w:hAnsi="仿宋_GB2312" w:eastAsia="仿宋_GB2312" w:cs="仿宋_GB2312"/>
                <w:b w:val="0"/>
                <w:bCs w:val="0"/>
                <w:color w:val="000000"/>
                <w:kern w:val="0"/>
                <w:sz w:val="32"/>
                <w:szCs w:val="32"/>
                <w:lang w:val="en-US" w:eastAsia="zh-CN"/>
              </w:rPr>
            </w:pPr>
            <w:r>
              <w:rPr>
                <w:rFonts w:hint="eastAsia" w:ascii="仿宋_GB2312" w:hAnsi="仿宋_GB2312" w:eastAsia="仿宋_GB2312" w:cs="仿宋_GB2312"/>
                <w:b w:val="0"/>
                <w:bCs w:val="0"/>
                <w:color w:val="000000"/>
                <w:kern w:val="0"/>
                <w:sz w:val="32"/>
                <w:szCs w:val="32"/>
                <w:lang w:val="en-US" w:eastAsia="zh-CN"/>
              </w:rPr>
              <w:t>12.5</w:t>
            </w:r>
          </w:p>
        </w:tc>
        <w:tc>
          <w:tcPr>
            <w:tcW w:w="1695" w:type="dxa"/>
            <w:tcBorders>
              <w:top w:val="single" w:color="auto" w:sz="4" w:space="0"/>
              <w:left w:val="nil"/>
              <w:bottom w:val="single" w:color="auto" w:sz="4" w:space="0"/>
              <w:right w:val="single" w:color="auto" w:sz="4" w:space="0"/>
            </w:tcBorders>
            <w:shd w:val="clear" w:color="auto" w:fill="auto"/>
            <w:vAlign w:val="center"/>
          </w:tcPr>
          <w:p w14:paraId="611FF89F">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100%</w:t>
            </w:r>
          </w:p>
        </w:tc>
        <w:tc>
          <w:tcPr>
            <w:tcW w:w="2010" w:type="dxa"/>
            <w:tcBorders>
              <w:top w:val="single" w:color="auto" w:sz="4" w:space="0"/>
              <w:left w:val="nil"/>
              <w:bottom w:val="single" w:color="auto" w:sz="4" w:space="0"/>
              <w:right w:val="single" w:color="auto" w:sz="4" w:space="0"/>
            </w:tcBorders>
            <w:shd w:val="clear" w:color="auto" w:fill="auto"/>
            <w:noWrap/>
            <w:vAlign w:val="center"/>
          </w:tcPr>
          <w:p w14:paraId="661098CA">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lang w:eastAsia="zh-CN"/>
              </w:rPr>
            </w:pPr>
            <w:r>
              <w:rPr>
                <w:rFonts w:hint="eastAsia" w:ascii="仿宋_GB2312" w:hAnsi="仿宋_GB2312" w:eastAsia="仿宋_GB2312" w:cs="仿宋_GB2312"/>
                <w:b w:val="0"/>
                <w:bCs w:val="0"/>
                <w:color w:val="000000"/>
                <w:kern w:val="0"/>
                <w:sz w:val="32"/>
                <w:szCs w:val="32"/>
                <w:lang w:val="en-US" w:eastAsia="zh-CN"/>
              </w:rPr>
              <w:t>12.5</w:t>
            </w:r>
          </w:p>
        </w:tc>
      </w:tr>
      <w:tr w14:paraId="7D6DA07A">
        <w:tblPrEx>
          <w:tblCellMar>
            <w:top w:w="0" w:type="dxa"/>
            <w:left w:w="108" w:type="dxa"/>
            <w:bottom w:w="0" w:type="dxa"/>
            <w:right w:w="108" w:type="dxa"/>
          </w:tblCellMar>
        </w:tblPrEx>
        <w:trPr>
          <w:trHeight w:val="510" w:hRule="exact"/>
        </w:trPr>
        <w:tc>
          <w:tcPr>
            <w:tcW w:w="290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D60A6E7">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lang w:val="en-US" w:eastAsia="zh-CN"/>
              </w:rPr>
              <w:t>项目支出</w:t>
            </w:r>
            <w:r>
              <w:rPr>
                <w:rFonts w:hint="eastAsia" w:ascii="仿宋_GB2312" w:hAnsi="仿宋_GB2312" w:eastAsia="仿宋_GB2312" w:cs="仿宋_GB2312"/>
                <w:b w:val="0"/>
                <w:bCs w:val="0"/>
                <w:color w:val="000000"/>
                <w:kern w:val="0"/>
                <w:sz w:val="32"/>
                <w:szCs w:val="32"/>
              </w:rPr>
              <w:t>成本</w:t>
            </w:r>
          </w:p>
        </w:tc>
        <w:tc>
          <w:tcPr>
            <w:tcW w:w="1485" w:type="dxa"/>
            <w:tcBorders>
              <w:top w:val="single" w:color="auto" w:sz="4" w:space="0"/>
              <w:left w:val="nil"/>
              <w:bottom w:val="single" w:color="auto" w:sz="4" w:space="0"/>
              <w:right w:val="single" w:color="auto" w:sz="4" w:space="0"/>
            </w:tcBorders>
            <w:shd w:val="clear" w:color="auto" w:fill="auto"/>
            <w:noWrap/>
            <w:vAlign w:val="center"/>
          </w:tcPr>
          <w:p w14:paraId="12F1A816">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仿宋_GB2312" w:hAnsi="仿宋_GB2312" w:eastAsia="仿宋_GB2312" w:cs="仿宋_GB2312"/>
                <w:b w:val="0"/>
                <w:bCs w:val="0"/>
                <w:color w:val="000000"/>
                <w:kern w:val="0"/>
                <w:sz w:val="32"/>
                <w:szCs w:val="32"/>
                <w:lang w:val="en-US" w:eastAsia="zh-CN"/>
              </w:rPr>
            </w:pPr>
            <w:r>
              <w:rPr>
                <w:rFonts w:hint="eastAsia" w:ascii="仿宋_GB2312" w:hAnsi="仿宋_GB2312" w:eastAsia="仿宋_GB2312" w:cs="仿宋_GB2312"/>
                <w:b w:val="0"/>
                <w:bCs w:val="0"/>
                <w:color w:val="000000"/>
                <w:kern w:val="0"/>
                <w:sz w:val="32"/>
                <w:szCs w:val="32"/>
                <w:lang w:val="en-US" w:eastAsia="zh-CN"/>
              </w:rPr>
              <w:t>12.5</w:t>
            </w:r>
          </w:p>
        </w:tc>
        <w:tc>
          <w:tcPr>
            <w:tcW w:w="1695" w:type="dxa"/>
            <w:tcBorders>
              <w:top w:val="single" w:color="auto" w:sz="4" w:space="0"/>
              <w:left w:val="nil"/>
              <w:bottom w:val="single" w:color="auto" w:sz="4" w:space="0"/>
              <w:right w:val="single" w:color="auto" w:sz="4" w:space="0"/>
            </w:tcBorders>
            <w:shd w:val="clear" w:color="auto" w:fill="auto"/>
            <w:vAlign w:val="center"/>
          </w:tcPr>
          <w:p w14:paraId="15D20AEC">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100%</w:t>
            </w:r>
          </w:p>
        </w:tc>
        <w:tc>
          <w:tcPr>
            <w:tcW w:w="2010" w:type="dxa"/>
            <w:tcBorders>
              <w:top w:val="single" w:color="auto" w:sz="4" w:space="0"/>
              <w:left w:val="nil"/>
              <w:bottom w:val="single" w:color="auto" w:sz="4" w:space="0"/>
              <w:right w:val="single" w:color="auto" w:sz="4" w:space="0"/>
            </w:tcBorders>
            <w:shd w:val="clear" w:color="auto" w:fill="auto"/>
            <w:noWrap/>
            <w:vAlign w:val="center"/>
          </w:tcPr>
          <w:p w14:paraId="526519CB">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lang w:val="en-US" w:eastAsia="zh-CN"/>
              </w:rPr>
              <w:t>12.5</w:t>
            </w:r>
          </w:p>
        </w:tc>
      </w:tr>
      <w:tr w14:paraId="3FB44D6A">
        <w:tblPrEx>
          <w:tblCellMar>
            <w:top w:w="0" w:type="dxa"/>
            <w:left w:w="108" w:type="dxa"/>
            <w:bottom w:w="0" w:type="dxa"/>
            <w:right w:w="108" w:type="dxa"/>
          </w:tblCellMar>
        </w:tblPrEx>
        <w:trPr>
          <w:trHeight w:val="510" w:hRule="exact"/>
        </w:trPr>
        <w:tc>
          <w:tcPr>
            <w:tcW w:w="290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4269316">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合  计</w:t>
            </w:r>
          </w:p>
        </w:tc>
        <w:tc>
          <w:tcPr>
            <w:tcW w:w="1485" w:type="dxa"/>
            <w:tcBorders>
              <w:top w:val="single" w:color="auto" w:sz="4" w:space="0"/>
              <w:left w:val="nil"/>
              <w:bottom w:val="single" w:color="auto" w:sz="4" w:space="0"/>
              <w:right w:val="single" w:color="auto" w:sz="4" w:space="0"/>
            </w:tcBorders>
            <w:shd w:val="clear" w:color="auto" w:fill="auto"/>
            <w:noWrap/>
            <w:vAlign w:val="center"/>
          </w:tcPr>
          <w:p w14:paraId="6A09BF16">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lang w:val="en-US" w:eastAsia="zh-CN"/>
              </w:rPr>
              <w:t>5</w:t>
            </w:r>
            <w:r>
              <w:rPr>
                <w:rFonts w:hint="eastAsia" w:ascii="仿宋_GB2312" w:hAnsi="仿宋_GB2312" w:eastAsia="仿宋_GB2312" w:cs="仿宋_GB2312"/>
                <w:b w:val="0"/>
                <w:bCs w:val="0"/>
                <w:color w:val="000000"/>
                <w:kern w:val="0"/>
                <w:sz w:val="32"/>
                <w:szCs w:val="32"/>
              </w:rPr>
              <w:t>0</w:t>
            </w:r>
          </w:p>
        </w:tc>
        <w:tc>
          <w:tcPr>
            <w:tcW w:w="1695" w:type="dxa"/>
            <w:tcBorders>
              <w:top w:val="single" w:color="auto" w:sz="4" w:space="0"/>
              <w:left w:val="nil"/>
              <w:bottom w:val="single" w:color="auto" w:sz="4" w:space="0"/>
              <w:right w:val="single" w:color="auto" w:sz="4" w:space="0"/>
            </w:tcBorders>
            <w:shd w:val="clear" w:color="auto" w:fill="auto"/>
            <w:vAlign w:val="center"/>
          </w:tcPr>
          <w:p w14:paraId="0242E958">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100%</w:t>
            </w:r>
          </w:p>
        </w:tc>
        <w:tc>
          <w:tcPr>
            <w:tcW w:w="2010" w:type="dxa"/>
            <w:tcBorders>
              <w:top w:val="single" w:color="auto" w:sz="4" w:space="0"/>
              <w:left w:val="nil"/>
              <w:bottom w:val="single" w:color="auto" w:sz="4" w:space="0"/>
              <w:right w:val="single" w:color="auto" w:sz="4" w:space="0"/>
            </w:tcBorders>
            <w:shd w:val="clear" w:color="auto" w:fill="auto"/>
            <w:noWrap/>
            <w:vAlign w:val="center"/>
          </w:tcPr>
          <w:p w14:paraId="0417B115">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lang w:val="en-US" w:eastAsia="zh-CN"/>
              </w:rPr>
              <w:t>5</w:t>
            </w:r>
            <w:r>
              <w:rPr>
                <w:rFonts w:hint="eastAsia" w:ascii="仿宋_GB2312" w:hAnsi="仿宋_GB2312" w:eastAsia="仿宋_GB2312" w:cs="仿宋_GB2312"/>
                <w:b w:val="0"/>
                <w:bCs w:val="0"/>
                <w:color w:val="000000"/>
                <w:kern w:val="0"/>
                <w:sz w:val="32"/>
                <w:szCs w:val="32"/>
              </w:rPr>
              <w:t>0</w:t>
            </w:r>
          </w:p>
        </w:tc>
      </w:tr>
    </w:tbl>
    <w:p w14:paraId="587F0424">
      <w:pPr>
        <w:keepNext w:val="0"/>
        <w:keepLines w:val="0"/>
        <w:pageBreakBefore w:val="0"/>
        <w:kinsoku/>
        <w:wordWrap/>
        <w:overflowPunct/>
        <w:topLinePunct w:val="0"/>
        <w:autoSpaceDE/>
        <w:autoSpaceDN/>
        <w:bidi w:val="0"/>
        <w:adjustRightInd/>
        <w:snapToGrid/>
        <w:spacing w:line="560" w:lineRule="atLeas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w:t>
      </w:r>
      <w:r>
        <w:rPr>
          <w:rFonts w:hint="eastAsia" w:ascii="仿宋_GB2312" w:hAnsi="仿宋_GB2312" w:eastAsia="仿宋_GB2312" w:cs="仿宋_GB2312"/>
          <w:b w:val="0"/>
          <w:bCs w:val="0"/>
          <w:color w:val="000000"/>
          <w:kern w:val="0"/>
          <w:sz w:val="30"/>
          <w:szCs w:val="30"/>
          <w:lang w:val="en-US" w:eastAsia="zh-CN"/>
        </w:rPr>
        <w:t>经费保障人数</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年初目标值</w:t>
      </w:r>
      <w:r>
        <w:rPr>
          <w:rFonts w:hint="eastAsia" w:ascii="仿宋_GB2312" w:hAnsi="仿宋_GB2312" w:eastAsia="仿宋_GB2312" w:cs="仿宋_GB2312"/>
          <w:sz w:val="32"/>
          <w:szCs w:val="32"/>
        </w:rPr>
        <w:t>≥55人，</w:t>
      </w:r>
      <w:r>
        <w:rPr>
          <w:rFonts w:hint="eastAsia" w:ascii="仿宋_GB2312" w:hAnsi="仿宋_GB2312" w:eastAsia="仿宋_GB2312" w:cs="仿宋_GB2312"/>
          <w:sz w:val="32"/>
          <w:szCs w:val="32"/>
          <w:lang w:val="en-US" w:eastAsia="zh-CN"/>
        </w:rPr>
        <w:t>实际完成值60人,该指标根据预算人数保障了单位人员日常办公所需</w:t>
      </w:r>
      <w:r>
        <w:rPr>
          <w:rFonts w:hint="eastAsia" w:ascii="仿宋_GB2312" w:hAnsi="仿宋_GB2312" w:eastAsia="仿宋_GB2312" w:cs="仿宋_GB2312"/>
          <w:sz w:val="32"/>
          <w:szCs w:val="32"/>
        </w:rPr>
        <w:t>。根据评分标准，该指标不扣分，实际得分</w:t>
      </w:r>
      <w:r>
        <w:rPr>
          <w:rFonts w:hint="eastAsia" w:ascii="仿宋_GB2312" w:hAnsi="仿宋_GB2312" w:eastAsia="仿宋_GB2312" w:cs="仿宋_GB2312"/>
          <w:sz w:val="32"/>
          <w:szCs w:val="32"/>
          <w:lang w:val="en-US" w:eastAsia="zh-CN"/>
        </w:rPr>
        <w:t>12.5</w:t>
      </w:r>
      <w:r>
        <w:rPr>
          <w:rFonts w:hint="eastAsia" w:ascii="仿宋_GB2312" w:hAnsi="仿宋_GB2312" w:eastAsia="仿宋_GB2312" w:cs="仿宋_GB2312"/>
          <w:sz w:val="32"/>
          <w:szCs w:val="32"/>
        </w:rPr>
        <w:t>分。</w:t>
      </w:r>
    </w:p>
    <w:p w14:paraId="4FAE1B47">
      <w:pPr>
        <w:keepNext w:val="0"/>
        <w:keepLines w:val="0"/>
        <w:pageBreakBefore w:val="0"/>
        <w:kinsoku/>
        <w:wordWrap/>
        <w:overflowPunct/>
        <w:topLinePunct w:val="0"/>
        <w:autoSpaceDE/>
        <w:autoSpaceDN/>
        <w:bidi w:val="0"/>
        <w:adjustRightInd/>
        <w:snapToGrid/>
        <w:spacing w:line="560" w:lineRule="atLeas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w:t>
      </w:r>
      <w:r>
        <w:rPr>
          <w:rFonts w:hint="eastAsia" w:ascii="仿宋_GB2312" w:hAnsi="仿宋_GB2312" w:eastAsia="仿宋_GB2312" w:cs="仿宋_GB2312"/>
          <w:b w:val="0"/>
          <w:bCs w:val="0"/>
          <w:color w:val="000000"/>
          <w:kern w:val="0"/>
          <w:sz w:val="30"/>
          <w:szCs w:val="30"/>
          <w:lang w:val="en-US" w:eastAsia="zh-CN"/>
        </w:rPr>
        <w:t>经费保障覆盖率</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年初目标值</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90%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实际完成值100%,所有经费覆盖全单位日常所需支出</w:t>
      </w:r>
      <w:r>
        <w:rPr>
          <w:rFonts w:hint="eastAsia" w:ascii="仿宋_GB2312" w:hAnsi="仿宋_GB2312" w:eastAsia="仿宋_GB2312" w:cs="仿宋_GB2312"/>
          <w:sz w:val="32"/>
          <w:szCs w:val="32"/>
        </w:rPr>
        <w:t>。根据评分标准，该指标不扣分，实际得分</w:t>
      </w:r>
      <w:r>
        <w:rPr>
          <w:rFonts w:hint="eastAsia" w:ascii="仿宋_GB2312" w:hAnsi="仿宋_GB2312" w:eastAsia="仿宋_GB2312" w:cs="仿宋_GB2312"/>
          <w:sz w:val="32"/>
          <w:szCs w:val="32"/>
          <w:lang w:val="en-US" w:eastAsia="zh-CN"/>
        </w:rPr>
        <w:t>12.5</w:t>
      </w:r>
      <w:r>
        <w:rPr>
          <w:rFonts w:hint="eastAsia" w:ascii="仿宋_GB2312" w:hAnsi="仿宋_GB2312" w:eastAsia="仿宋_GB2312" w:cs="仿宋_GB2312"/>
          <w:sz w:val="32"/>
          <w:szCs w:val="32"/>
        </w:rPr>
        <w:t>分。</w:t>
      </w:r>
    </w:p>
    <w:p w14:paraId="2308B10E">
      <w:pPr>
        <w:keepNext w:val="0"/>
        <w:keepLines w:val="0"/>
        <w:pageBreakBefore w:val="0"/>
        <w:kinsoku/>
        <w:wordWrap/>
        <w:overflowPunct/>
        <w:topLinePunct w:val="0"/>
        <w:autoSpaceDE/>
        <w:autoSpaceDN/>
        <w:bidi w:val="0"/>
        <w:adjustRightInd/>
        <w:snapToGrid/>
        <w:spacing w:line="560" w:lineRule="atLeas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对于“</w:t>
      </w:r>
      <w:r>
        <w:rPr>
          <w:rFonts w:hint="eastAsia" w:ascii="仿宋_GB2312" w:hAnsi="仿宋_GB2312" w:eastAsia="仿宋_GB2312" w:cs="仿宋_GB2312"/>
          <w:b w:val="0"/>
          <w:bCs w:val="0"/>
          <w:color w:val="000000"/>
          <w:kern w:val="0"/>
          <w:sz w:val="30"/>
          <w:szCs w:val="30"/>
          <w:lang w:val="en-US" w:eastAsia="zh-CN"/>
        </w:rPr>
        <w:t>资金拨付及时率</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年初目标值=100%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实际完成值100%,</w:t>
      </w:r>
      <w:r>
        <w:rPr>
          <w:rFonts w:hint="eastAsia" w:ascii="仿宋_GB2312" w:hAnsi="仿宋_GB2312" w:eastAsia="仿宋_GB2312" w:cs="仿宋_GB2312"/>
          <w:sz w:val="32"/>
          <w:szCs w:val="32"/>
        </w:rPr>
        <w:t>项目</w:t>
      </w:r>
      <w:r>
        <w:rPr>
          <w:rFonts w:hint="eastAsia" w:ascii="仿宋_GB2312" w:hAnsi="仿宋_GB2312" w:eastAsia="仿宋_GB2312" w:cs="仿宋_GB2312"/>
          <w:sz w:val="32"/>
          <w:szCs w:val="32"/>
          <w:lang w:val="en-US" w:eastAsia="zh-CN"/>
        </w:rPr>
        <w:t>资金及时足额到位，相关支付日清月结</w:t>
      </w:r>
      <w:r>
        <w:rPr>
          <w:rFonts w:hint="eastAsia" w:ascii="仿宋_GB2312" w:hAnsi="仿宋_GB2312" w:eastAsia="仿宋_GB2312" w:cs="仿宋_GB2312"/>
          <w:sz w:val="32"/>
          <w:szCs w:val="32"/>
        </w:rPr>
        <w:t>。根据评分标准，该指标不扣分，实际得分</w:t>
      </w:r>
      <w:r>
        <w:rPr>
          <w:rFonts w:hint="eastAsia" w:ascii="仿宋_GB2312" w:hAnsi="仿宋_GB2312" w:eastAsia="仿宋_GB2312" w:cs="仿宋_GB2312"/>
          <w:sz w:val="32"/>
          <w:szCs w:val="32"/>
          <w:lang w:val="en-US" w:eastAsia="zh-CN"/>
        </w:rPr>
        <w:t>12.5</w:t>
      </w:r>
      <w:r>
        <w:rPr>
          <w:rFonts w:hint="eastAsia" w:ascii="仿宋_GB2312" w:hAnsi="仿宋_GB2312" w:eastAsia="仿宋_GB2312" w:cs="仿宋_GB2312"/>
          <w:sz w:val="32"/>
          <w:szCs w:val="32"/>
        </w:rPr>
        <w:t>分。</w:t>
      </w:r>
    </w:p>
    <w:p w14:paraId="365D7A4A">
      <w:pPr>
        <w:keepNext w:val="0"/>
        <w:keepLines w:val="0"/>
        <w:pageBreakBefore w:val="0"/>
        <w:kinsoku/>
        <w:wordWrap/>
        <w:overflowPunct/>
        <w:topLinePunct w:val="0"/>
        <w:autoSpaceDE/>
        <w:autoSpaceDN/>
        <w:bidi w:val="0"/>
        <w:adjustRightInd/>
        <w:snapToGrid/>
        <w:spacing w:line="560" w:lineRule="atLeas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对于“</w:t>
      </w:r>
      <w:r>
        <w:rPr>
          <w:rFonts w:hint="eastAsia" w:ascii="仿宋_GB2312" w:hAnsi="仿宋_GB2312" w:eastAsia="仿宋_GB2312" w:cs="仿宋_GB2312"/>
          <w:b w:val="0"/>
          <w:bCs w:val="0"/>
          <w:color w:val="000000"/>
          <w:kern w:val="0"/>
          <w:sz w:val="30"/>
          <w:szCs w:val="30"/>
          <w:lang w:val="en-US" w:eastAsia="zh-CN"/>
        </w:rPr>
        <w:t>项目支出</w:t>
      </w:r>
      <w:r>
        <w:rPr>
          <w:rFonts w:hint="eastAsia" w:ascii="仿宋_GB2312" w:hAnsi="仿宋_GB2312" w:eastAsia="仿宋_GB2312" w:cs="仿宋_GB2312"/>
          <w:b w:val="0"/>
          <w:bCs w:val="0"/>
          <w:color w:val="000000"/>
          <w:kern w:val="0"/>
          <w:sz w:val="30"/>
          <w:szCs w:val="30"/>
        </w:rPr>
        <w:t>成本</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年初目标值≤63.64万元</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实际完成值63.44万元,该指标</w:t>
      </w:r>
      <w:r>
        <w:rPr>
          <w:rFonts w:hint="eastAsia" w:ascii="仿宋_GB2312" w:hAnsi="仿宋_GB2312" w:eastAsia="仿宋_GB2312" w:cs="仿宋_GB2312"/>
          <w:sz w:val="32"/>
          <w:szCs w:val="32"/>
        </w:rPr>
        <w:t>根据</w:t>
      </w:r>
      <w:r>
        <w:rPr>
          <w:rFonts w:hint="eastAsia" w:ascii="仿宋_GB2312" w:hAnsi="仿宋_GB2312" w:eastAsia="仿宋_GB2312" w:cs="仿宋_GB2312"/>
          <w:sz w:val="32"/>
          <w:szCs w:val="32"/>
          <w:lang w:val="en-US" w:eastAsia="zh-CN"/>
        </w:rPr>
        <w:t>单位全年支出成本未超过预算成本</w:t>
      </w:r>
      <w:r>
        <w:rPr>
          <w:rFonts w:hint="eastAsia" w:ascii="仿宋_GB2312" w:hAnsi="仿宋_GB2312" w:eastAsia="仿宋_GB2312" w:cs="仿宋_GB2312"/>
          <w:sz w:val="32"/>
          <w:szCs w:val="32"/>
        </w:rPr>
        <w:t>。根据评分标准，该指标不扣分，实际得分</w:t>
      </w:r>
      <w:r>
        <w:rPr>
          <w:rFonts w:hint="eastAsia" w:ascii="仿宋_GB2312" w:hAnsi="仿宋_GB2312" w:eastAsia="仿宋_GB2312" w:cs="仿宋_GB2312"/>
          <w:sz w:val="32"/>
          <w:szCs w:val="32"/>
          <w:lang w:val="en-US" w:eastAsia="zh-CN"/>
        </w:rPr>
        <w:t>12.5</w:t>
      </w:r>
      <w:r>
        <w:rPr>
          <w:rFonts w:hint="eastAsia" w:ascii="仿宋_GB2312" w:hAnsi="仿宋_GB2312" w:eastAsia="仿宋_GB2312" w:cs="仿宋_GB2312"/>
          <w:sz w:val="32"/>
          <w:szCs w:val="32"/>
        </w:rPr>
        <w:t>分。</w:t>
      </w:r>
    </w:p>
    <w:p w14:paraId="4D0F1B08">
      <w:pPr>
        <w:keepNext w:val="0"/>
        <w:keepLines w:val="0"/>
        <w:pageBreakBefore w:val="0"/>
        <w:kinsoku/>
        <w:wordWrap/>
        <w:overflowPunct/>
        <w:topLinePunct w:val="0"/>
        <w:autoSpaceDE/>
        <w:autoSpaceDN/>
        <w:bidi w:val="0"/>
        <w:adjustRightInd/>
        <w:snapToGrid/>
        <w:spacing w:line="560" w:lineRule="atLeast"/>
        <w:textAlignment w:val="auto"/>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四</w:t>
      </w:r>
      <w:r>
        <w:rPr>
          <w:rFonts w:hint="eastAsia" w:ascii="楷体_GB2312" w:hAnsi="楷体_GB2312" w:eastAsia="楷体_GB2312" w:cs="楷体_GB2312"/>
          <w:b/>
          <w:bCs/>
          <w:sz w:val="32"/>
          <w:szCs w:val="32"/>
          <w:lang w:eastAsia="zh-CN"/>
        </w:rPr>
        <w:t>）项目效益情况</w:t>
      </w:r>
    </w:p>
    <w:p w14:paraId="48608AF5">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项目绩效主要从项目产出的效果的社会效益</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服务对象满意度</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个方面对项目的绩效情况进行评价。</w:t>
      </w:r>
    </w:p>
    <w:p w14:paraId="0AA47594">
      <w:pPr>
        <w:keepNext w:val="0"/>
        <w:keepLines w:val="0"/>
        <w:pageBreakBefore w:val="0"/>
        <w:kinsoku/>
        <w:wordWrap/>
        <w:overflowPunct/>
        <w:topLinePunct w:val="0"/>
        <w:autoSpaceDE/>
        <w:autoSpaceDN/>
        <w:bidi w:val="0"/>
        <w:adjustRightInd/>
        <w:snapToGrid/>
        <w:spacing w:line="560" w:lineRule="atLeas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项目绩效类指标分值</w:t>
      </w:r>
      <w:r>
        <w:rPr>
          <w:rFonts w:hint="eastAsia" w:ascii="仿宋_GB2312" w:hAnsi="仿宋_GB2312" w:eastAsia="仿宋_GB2312" w:cs="仿宋_GB2312"/>
          <w:sz w:val="32"/>
          <w:szCs w:val="32"/>
          <w:lang w:val="en-US" w:eastAsia="zh-CN"/>
        </w:rPr>
        <w:t>40</w:t>
      </w:r>
      <w:r>
        <w:rPr>
          <w:rFonts w:hint="eastAsia" w:ascii="仿宋_GB2312" w:hAnsi="仿宋_GB2312" w:eastAsia="仿宋_GB2312" w:cs="仿宋_GB2312"/>
          <w:sz w:val="32"/>
          <w:szCs w:val="32"/>
        </w:rPr>
        <w:t>分，实际得分</w:t>
      </w:r>
      <w:r>
        <w:rPr>
          <w:rFonts w:hint="eastAsia" w:ascii="仿宋_GB2312" w:hAnsi="仿宋_GB2312" w:eastAsia="仿宋_GB2312" w:cs="仿宋_GB2312"/>
          <w:sz w:val="32"/>
          <w:szCs w:val="32"/>
          <w:lang w:val="en-US" w:eastAsia="zh-CN"/>
        </w:rPr>
        <w:t>37</w:t>
      </w:r>
      <w:r>
        <w:rPr>
          <w:rFonts w:hint="eastAsia" w:ascii="仿宋_GB2312" w:hAnsi="仿宋_GB2312" w:eastAsia="仿宋_GB2312" w:cs="仿宋_GB2312"/>
          <w:sz w:val="32"/>
          <w:szCs w:val="32"/>
        </w:rPr>
        <w:t>分，得分率为</w:t>
      </w:r>
      <w:r>
        <w:rPr>
          <w:rFonts w:hint="eastAsia" w:ascii="仿宋_GB2312" w:hAnsi="仿宋_GB2312" w:eastAsia="仿宋_GB2312" w:cs="仿宋_GB2312"/>
          <w:sz w:val="32"/>
          <w:szCs w:val="32"/>
          <w:lang w:val="en-US" w:eastAsia="zh-CN"/>
        </w:rPr>
        <w:t>93.33</w:t>
      </w:r>
      <w:r>
        <w:rPr>
          <w:rFonts w:hint="eastAsia" w:ascii="仿宋_GB2312" w:hAnsi="仿宋_GB2312" w:eastAsia="仿宋_GB2312" w:cs="仿宋_GB2312"/>
          <w:sz w:val="32"/>
          <w:szCs w:val="32"/>
        </w:rPr>
        <w:t>%。项目绩效指标得分情况如表所示。</w:t>
      </w:r>
    </w:p>
    <w:p w14:paraId="140B47CA">
      <w:pPr>
        <w:keepNext w:val="0"/>
        <w:keepLines w:val="0"/>
        <w:pageBreakBefore w:val="0"/>
        <w:kinsoku/>
        <w:wordWrap/>
        <w:overflowPunct/>
        <w:topLinePunct w:val="0"/>
        <w:autoSpaceDE/>
        <w:autoSpaceDN/>
        <w:bidi w:val="0"/>
        <w:adjustRightInd/>
        <w:snapToGrid/>
        <w:spacing w:line="560" w:lineRule="atLeast"/>
        <w:ind w:firstLine="2570" w:firstLineChars="800"/>
        <w:textAlignment w:val="auto"/>
        <w:rPr>
          <w:rFonts w:ascii="仿宋_GB2312" w:hAnsi="仿宋_GB2312" w:eastAsia="仿宋_GB2312" w:cs="仿宋_GB2312"/>
          <w:sz w:val="30"/>
          <w:szCs w:val="30"/>
        </w:rPr>
      </w:pPr>
      <w:r>
        <w:rPr>
          <w:rFonts w:hint="eastAsia" w:ascii="仿宋_GB2312" w:hAnsi="仿宋_GB2312" w:eastAsia="仿宋_GB2312" w:cs="仿宋_GB2312"/>
          <w:b/>
          <w:bCs/>
          <w:color w:val="000000"/>
          <w:kern w:val="0"/>
          <w:sz w:val="32"/>
          <w:szCs w:val="32"/>
        </w:rPr>
        <w:t>项目</w:t>
      </w:r>
      <w:r>
        <w:rPr>
          <w:rFonts w:hint="eastAsia" w:ascii="仿宋_GB2312" w:hAnsi="仿宋_GB2312" w:eastAsia="仿宋_GB2312" w:cs="仿宋_GB2312"/>
          <w:b/>
          <w:bCs/>
          <w:color w:val="000000"/>
          <w:kern w:val="0"/>
          <w:sz w:val="32"/>
          <w:szCs w:val="32"/>
          <w:lang w:eastAsia="zh-CN"/>
        </w:rPr>
        <w:t>效益</w:t>
      </w:r>
      <w:r>
        <w:rPr>
          <w:rFonts w:hint="eastAsia" w:ascii="仿宋_GB2312" w:hAnsi="仿宋_GB2312" w:eastAsia="仿宋_GB2312" w:cs="仿宋_GB2312"/>
          <w:b/>
          <w:bCs/>
          <w:color w:val="000000"/>
          <w:kern w:val="0"/>
          <w:sz w:val="32"/>
          <w:szCs w:val="32"/>
        </w:rPr>
        <w:t>指标得分情况</w:t>
      </w:r>
    </w:p>
    <w:tbl>
      <w:tblPr>
        <w:tblStyle w:val="10"/>
        <w:tblW w:w="8454" w:type="dxa"/>
        <w:tblInd w:w="0" w:type="dxa"/>
        <w:tblLayout w:type="fixed"/>
        <w:tblCellMar>
          <w:top w:w="0" w:type="dxa"/>
          <w:left w:w="108" w:type="dxa"/>
          <w:bottom w:w="0" w:type="dxa"/>
          <w:right w:w="108" w:type="dxa"/>
        </w:tblCellMar>
      </w:tblPr>
      <w:tblGrid>
        <w:gridCol w:w="3864"/>
        <w:gridCol w:w="1305"/>
        <w:gridCol w:w="1530"/>
        <w:gridCol w:w="1755"/>
      </w:tblGrid>
      <w:tr w14:paraId="2A4D3705">
        <w:tblPrEx>
          <w:tblCellMar>
            <w:top w:w="0" w:type="dxa"/>
            <w:left w:w="108" w:type="dxa"/>
            <w:bottom w:w="0" w:type="dxa"/>
            <w:right w:w="108" w:type="dxa"/>
          </w:tblCellMar>
        </w:tblPrEx>
        <w:trPr>
          <w:trHeight w:val="545" w:hRule="exact"/>
          <w:tblHeader/>
        </w:trPr>
        <w:tc>
          <w:tcPr>
            <w:tcW w:w="3864" w:type="dxa"/>
            <w:tcBorders>
              <w:top w:val="single" w:color="auto" w:sz="4" w:space="0"/>
              <w:left w:val="single" w:color="auto" w:sz="4" w:space="0"/>
              <w:bottom w:val="nil"/>
              <w:right w:val="single" w:color="auto" w:sz="4" w:space="0"/>
            </w:tcBorders>
            <w:shd w:val="clear" w:color="000000" w:fill="A6A6A6"/>
            <w:vAlign w:val="center"/>
          </w:tcPr>
          <w:p w14:paraId="5C5DA026">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三级指标</w:t>
            </w:r>
          </w:p>
        </w:tc>
        <w:tc>
          <w:tcPr>
            <w:tcW w:w="1305" w:type="dxa"/>
            <w:tcBorders>
              <w:top w:val="single" w:color="auto" w:sz="4" w:space="0"/>
              <w:left w:val="single" w:color="auto" w:sz="4" w:space="0"/>
              <w:bottom w:val="nil"/>
              <w:right w:val="single" w:color="auto" w:sz="8" w:space="0"/>
            </w:tcBorders>
            <w:shd w:val="clear" w:color="000000" w:fill="A6A6A6"/>
            <w:vAlign w:val="center"/>
          </w:tcPr>
          <w:p w14:paraId="0AD58964">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权重</w:t>
            </w:r>
          </w:p>
        </w:tc>
        <w:tc>
          <w:tcPr>
            <w:tcW w:w="1530" w:type="dxa"/>
            <w:tcBorders>
              <w:top w:val="single" w:color="auto" w:sz="4" w:space="0"/>
              <w:left w:val="nil"/>
              <w:bottom w:val="nil"/>
              <w:right w:val="single" w:color="auto" w:sz="8" w:space="0"/>
            </w:tcBorders>
            <w:shd w:val="clear" w:color="000000" w:fill="A6A6A6"/>
            <w:vAlign w:val="center"/>
          </w:tcPr>
          <w:p w14:paraId="525F6E8E">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得分率</w:t>
            </w:r>
          </w:p>
        </w:tc>
        <w:tc>
          <w:tcPr>
            <w:tcW w:w="1755" w:type="dxa"/>
            <w:tcBorders>
              <w:top w:val="single" w:color="auto" w:sz="4" w:space="0"/>
              <w:left w:val="nil"/>
              <w:bottom w:val="nil"/>
              <w:right w:val="single" w:color="auto" w:sz="4" w:space="0"/>
            </w:tcBorders>
            <w:shd w:val="clear" w:color="000000" w:fill="A6A6A6"/>
            <w:vAlign w:val="center"/>
          </w:tcPr>
          <w:p w14:paraId="7CEFB4D4">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实际得分</w:t>
            </w:r>
          </w:p>
        </w:tc>
      </w:tr>
      <w:tr w14:paraId="7ED03C49">
        <w:tblPrEx>
          <w:tblCellMar>
            <w:top w:w="0" w:type="dxa"/>
            <w:left w:w="108" w:type="dxa"/>
            <w:bottom w:w="0" w:type="dxa"/>
            <w:right w:w="108" w:type="dxa"/>
          </w:tblCellMar>
        </w:tblPrEx>
        <w:trPr>
          <w:trHeight w:val="651" w:hRule="exact"/>
        </w:trPr>
        <w:tc>
          <w:tcPr>
            <w:tcW w:w="3864" w:type="dxa"/>
            <w:tcBorders>
              <w:top w:val="nil"/>
              <w:left w:val="single" w:color="auto" w:sz="4" w:space="0"/>
              <w:bottom w:val="single" w:color="auto" w:sz="4" w:space="0"/>
              <w:right w:val="single" w:color="auto" w:sz="4" w:space="0"/>
            </w:tcBorders>
            <w:shd w:val="clear" w:color="auto" w:fill="auto"/>
            <w:noWrap/>
            <w:vAlign w:val="center"/>
          </w:tcPr>
          <w:p w14:paraId="6D610573">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lang w:val="en-US" w:eastAsia="zh-CN"/>
              </w:rPr>
            </w:pPr>
            <w:r>
              <w:rPr>
                <w:rFonts w:hint="eastAsia" w:ascii="仿宋_GB2312" w:hAnsi="仿宋_GB2312" w:eastAsia="仿宋_GB2312" w:cs="仿宋_GB2312"/>
                <w:b w:val="0"/>
                <w:bCs w:val="0"/>
                <w:color w:val="000000"/>
                <w:kern w:val="0"/>
                <w:sz w:val="32"/>
                <w:szCs w:val="32"/>
              </w:rPr>
              <w:t>提升</w:t>
            </w:r>
            <w:r>
              <w:rPr>
                <w:rFonts w:hint="eastAsia" w:ascii="仿宋_GB2312" w:hAnsi="仿宋_GB2312" w:eastAsia="仿宋_GB2312" w:cs="仿宋_GB2312"/>
                <w:b w:val="0"/>
                <w:bCs w:val="0"/>
                <w:color w:val="000000"/>
                <w:kern w:val="0"/>
                <w:sz w:val="32"/>
                <w:szCs w:val="32"/>
                <w:lang w:val="en-US" w:eastAsia="zh-CN"/>
              </w:rPr>
              <w:t>教职工教研能力</w:t>
            </w:r>
          </w:p>
        </w:tc>
        <w:tc>
          <w:tcPr>
            <w:tcW w:w="1305" w:type="dxa"/>
            <w:tcBorders>
              <w:top w:val="nil"/>
              <w:left w:val="single" w:color="auto" w:sz="4" w:space="0"/>
              <w:bottom w:val="single" w:color="auto" w:sz="4" w:space="0"/>
              <w:right w:val="single" w:color="auto" w:sz="4" w:space="0"/>
            </w:tcBorders>
            <w:shd w:val="clear" w:color="auto" w:fill="auto"/>
            <w:noWrap/>
            <w:vAlign w:val="center"/>
          </w:tcPr>
          <w:p w14:paraId="2CE01308">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仿宋_GB2312" w:hAnsi="仿宋_GB2312" w:eastAsia="仿宋_GB2312" w:cs="仿宋_GB2312"/>
                <w:b w:val="0"/>
                <w:bCs w:val="0"/>
                <w:color w:val="000000"/>
                <w:kern w:val="0"/>
                <w:sz w:val="32"/>
                <w:szCs w:val="32"/>
                <w:lang w:val="en-US" w:eastAsia="zh-CN"/>
              </w:rPr>
            </w:pPr>
            <w:r>
              <w:rPr>
                <w:rFonts w:hint="eastAsia" w:ascii="仿宋_GB2312" w:hAnsi="仿宋_GB2312" w:eastAsia="仿宋_GB2312" w:cs="仿宋_GB2312"/>
                <w:b w:val="0"/>
                <w:bCs w:val="0"/>
                <w:color w:val="000000"/>
                <w:kern w:val="0"/>
                <w:sz w:val="32"/>
                <w:szCs w:val="32"/>
                <w:lang w:val="en-US" w:eastAsia="zh-CN"/>
              </w:rPr>
              <w:t>15</w:t>
            </w:r>
          </w:p>
        </w:tc>
        <w:tc>
          <w:tcPr>
            <w:tcW w:w="1530" w:type="dxa"/>
            <w:tcBorders>
              <w:top w:val="nil"/>
              <w:left w:val="nil"/>
              <w:bottom w:val="single" w:color="auto" w:sz="4" w:space="0"/>
              <w:right w:val="single" w:color="auto" w:sz="4" w:space="0"/>
            </w:tcBorders>
            <w:shd w:val="clear" w:color="auto" w:fill="auto"/>
            <w:vAlign w:val="center"/>
          </w:tcPr>
          <w:p w14:paraId="3822775F">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lang w:val="en-US" w:eastAsia="zh-CN"/>
              </w:rPr>
              <w:t>100</w:t>
            </w:r>
            <w:r>
              <w:rPr>
                <w:rFonts w:hint="eastAsia" w:ascii="仿宋_GB2312" w:hAnsi="仿宋_GB2312" w:eastAsia="仿宋_GB2312" w:cs="仿宋_GB2312"/>
                <w:b w:val="0"/>
                <w:bCs w:val="0"/>
                <w:color w:val="000000"/>
                <w:kern w:val="0"/>
                <w:sz w:val="32"/>
                <w:szCs w:val="32"/>
              </w:rPr>
              <w:t>%</w:t>
            </w:r>
          </w:p>
        </w:tc>
        <w:tc>
          <w:tcPr>
            <w:tcW w:w="1755" w:type="dxa"/>
            <w:tcBorders>
              <w:top w:val="nil"/>
              <w:left w:val="nil"/>
              <w:bottom w:val="single" w:color="auto" w:sz="4" w:space="0"/>
              <w:right w:val="single" w:color="auto" w:sz="4" w:space="0"/>
            </w:tcBorders>
            <w:shd w:val="clear" w:color="auto" w:fill="auto"/>
            <w:noWrap/>
            <w:vAlign w:val="center"/>
          </w:tcPr>
          <w:p w14:paraId="25B9309B">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仿宋_GB2312" w:hAnsi="仿宋_GB2312" w:eastAsia="仿宋_GB2312" w:cs="仿宋_GB2312"/>
                <w:b w:val="0"/>
                <w:bCs w:val="0"/>
                <w:color w:val="000000"/>
                <w:kern w:val="0"/>
                <w:sz w:val="32"/>
                <w:szCs w:val="32"/>
                <w:lang w:val="en-US" w:eastAsia="zh-CN"/>
              </w:rPr>
            </w:pPr>
            <w:r>
              <w:rPr>
                <w:rFonts w:hint="eastAsia" w:ascii="仿宋_GB2312" w:hAnsi="仿宋_GB2312" w:eastAsia="仿宋_GB2312" w:cs="仿宋_GB2312"/>
                <w:b w:val="0"/>
                <w:bCs w:val="0"/>
                <w:color w:val="000000"/>
                <w:kern w:val="0"/>
                <w:sz w:val="32"/>
                <w:szCs w:val="32"/>
                <w:lang w:val="en-US" w:eastAsia="zh-CN"/>
              </w:rPr>
              <w:t>15</w:t>
            </w:r>
          </w:p>
        </w:tc>
      </w:tr>
      <w:tr w14:paraId="3AB609C8">
        <w:tblPrEx>
          <w:tblCellMar>
            <w:top w:w="0" w:type="dxa"/>
            <w:left w:w="108" w:type="dxa"/>
            <w:bottom w:w="0" w:type="dxa"/>
            <w:right w:w="108" w:type="dxa"/>
          </w:tblCellMar>
        </w:tblPrEx>
        <w:trPr>
          <w:trHeight w:val="579" w:hRule="exact"/>
        </w:trPr>
        <w:tc>
          <w:tcPr>
            <w:tcW w:w="386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AA276F1">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lang w:eastAsia="zh-CN"/>
              </w:rPr>
            </w:pPr>
            <w:r>
              <w:rPr>
                <w:rFonts w:hint="eastAsia" w:ascii="仿宋_GB2312" w:hAnsi="仿宋_GB2312" w:eastAsia="仿宋_GB2312" w:cs="仿宋_GB2312"/>
                <w:b w:val="0"/>
                <w:bCs w:val="0"/>
                <w:color w:val="000000"/>
                <w:kern w:val="0"/>
                <w:sz w:val="32"/>
                <w:szCs w:val="32"/>
                <w:lang w:val="en-US" w:eastAsia="zh-CN"/>
              </w:rPr>
              <w:t>保障日常工作的正常开展</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7116BB8">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仿宋_GB2312" w:hAnsi="仿宋_GB2312" w:eastAsia="仿宋_GB2312" w:cs="仿宋_GB2312"/>
                <w:b w:val="0"/>
                <w:bCs w:val="0"/>
                <w:color w:val="000000"/>
                <w:kern w:val="0"/>
                <w:sz w:val="32"/>
                <w:szCs w:val="32"/>
                <w:lang w:val="en-US" w:eastAsia="zh-CN"/>
              </w:rPr>
            </w:pPr>
            <w:r>
              <w:rPr>
                <w:rFonts w:hint="eastAsia" w:ascii="仿宋_GB2312" w:hAnsi="仿宋_GB2312" w:eastAsia="仿宋_GB2312" w:cs="仿宋_GB2312"/>
                <w:b w:val="0"/>
                <w:bCs w:val="0"/>
                <w:color w:val="000000"/>
                <w:kern w:val="0"/>
                <w:sz w:val="32"/>
                <w:szCs w:val="32"/>
                <w:lang w:val="en-US" w:eastAsia="zh-CN"/>
              </w:rPr>
              <w:t>15</w:t>
            </w:r>
          </w:p>
        </w:tc>
        <w:tc>
          <w:tcPr>
            <w:tcW w:w="1530" w:type="dxa"/>
            <w:tcBorders>
              <w:top w:val="single" w:color="auto" w:sz="4" w:space="0"/>
              <w:left w:val="nil"/>
              <w:bottom w:val="single" w:color="auto" w:sz="4" w:space="0"/>
              <w:right w:val="single" w:color="auto" w:sz="4" w:space="0"/>
            </w:tcBorders>
            <w:shd w:val="clear" w:color="auto" w:fill="auto"/>
            <w:vAlign w:val="center"/>
          </w:tcPr>
          <w:p w14:paraId="65131D1E">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lang w:val="en-US" w:eastAsia="zh-CN"/>
              </w:rPr>
              <w:t>100</w:t>
            </w:r>
            <w:r>
              <w:rPr>
                <w:rFonts w:hint="eastAsia" w:ascii="仿宋_GB2312" w:hAnsi="仿宋_GB2312" w:eastAsia="仿宋_GB2312" w:cs="仿宋_GB2312"/>
                <w:b w:val="0"/>
                <w:bCs w:val="0"/>
                <w:color w:val="000000"/>
                <w:kern w:val="0"/>
                <w:sz w:val="32"/>
                <w:szCs w:val="32"/>
              </w:rPr>
              <w:t>%</w:t>
            </w:r>
          </w:p>
        </w:tc>
        <w:tc>
          <w:tcPr>
            <w:tcW w:w="1755" w:type="dxa"/>
            <w:tcBorders>
              <w:top w:val="single" w:color="auto" w:sz="4" w:space="0"/>
              <w:left w:val="nil"/>
              <w:bottom w:val="single" w:color="auto" w:sz="4" w:space="0"/>
              <w:right w:val="single" w:color="auto" w:sz="4" w:space="0"/>
            </w:tcBorders>
            <w:shd w:val="clear" w:color="auto" w:fill="auto"/>
            <w:noWrap/>
            <w:vAlign w:val="center"/>
          </w:tcPr>
          <w:p w14:paraId="62F0CA68">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仿宋_GB2312" w:hAnsi="仿宋_GB2312" w:eastAsia="仿宋_GB2312" w:cs="仿宋_GB2312"/>
                <w:b w:val="0"/>
                <w:bCs w:val="0"/>
                <w:color w:val="000000"/>
                <w:kern w:val="0"/>
                <w:sz w:val="32"/>
                <w:szCs w:val="32"/>
                <w:lang w:val="en-US" w:eastAsia="zh-CN"/>
              </w:rPr>
            </w:pPr>
            <w:r>
              <w:rPr>
                <w:rFonts w:hint="eastAsia" w:ascii="仿宋_GB2312" w:hAnsi="仿宋_GB2312" w:eastAsia="仿宋_GB2312" w:cs="仿宋_GB2312"/>
                <w:b w:val="0"/>
                <w:bCs w:val="0"/>
                <w:color w:val="000000"/>
                <w:kern w:val="0"/>
                <w:sz w:val="32"/>
                <w:szCs w:val="32"/>
                <w:lang w:val="en-US" w:eastAsia="zh-CN"/>
              </w:rPr>
              <w:t>15</w:t>
            </w:r>
          </w:p>
        </w:tc>
      </w:tr>
      <w:tr w14:paraId="00C1ABDD">
        <w:tblPrEx>
          <w:tblCellMar>
            <w:top w:w="0" w:type="dxa"/>
            <w:left w:w="108" w:type="dxa"/>
            <w:bottom w:w="0" w:type="dxa"/>
            <w:right w:w="108" w:type="dxa"/>
          </w:tblCellMar>
        </w:tblPrEx>
        <w:trPr>
          <w:trHeight w:val="1016" w:hRule="exact"/>
        </w:trPr>
        <w:tc>
          <w:tcPr>
            <w:tcW w:w="386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290AFD">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lang w:val="en-US" w:eastAsia="zh-CN"/>
              </w:rPr>
              <w:t>单位使用人满</w:t>
            </w:r>
            <w:r>
              <w:rPr>
                <w:rFonts w:hint="eastAsia" w:ascii="仿宋_GB2312" w:hAnsi="仿宋_GB2312" w:eastAsia="仿宋_GB2312" w:cs="仿宋_GB2312"/>
                <w:b w:val="0"/>
                <w:bCs w:val="0"/>
                <w:color w:val="000000"/>
                <w:kern w:val="0"/>
                <w:sz w:val="32"/>
                <w:szCs w:val="32"/>
              </w:rPr>
              <w:t>意度</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2D4F72B">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仿宋_GB2312" w:hAnsi="仿宋_GB2312" w:eastAsia="仿宋_GB2312" w:cs="仿宋_GB2312"/>
                <w:b w:val="0"/>
                <w:bCs w:val="0"/>
                <w:color w:val="000000"/>
                <w:kern w:val="0"/>
                <w:sz w:val="32"/>
                <w:szCs w:val="32"/>
                <w:lang w:val="en-US" w:eastAsia="zh-CN"/>
              </w:rPr>
            </w:pPr>
            <w:r>
              <w:rPr>
                <w:rFonts w:hint="eastAsia" w:ascii="仿宋_GB2312" w:hAnsi="仿宋_GB2312" w:eastAsia="仿宋_GB2312" w:cs="仿宋_GB2312"/>
                <w:b w:val="0"/>
                <w:bCs w:val="0"/>
                <w:color w:val="000000"/>
                <w:kern w:val="0"/>
                <w:sz w:val="32"/>
                <w:szCs w:val="32"/>
                <w:lang w:val="en-US" w:eastAsia="zh-CN"/>
              </w:rPr>
              <w:t>10</w:t>
            </w:r>
          </w:p>
        </w:tc>
        <w:tc>
          <w:tcPr>
            <w:tcW w:w="1530" w:type="dxa"/>
            <w:tcBorders>
              <w:top w:val="single" w:color="auto" w:sz="4" w:space="0"/>
              <w:left w:val="nil"/>
              <w:bottom w:val="single" w:color="auto" w:sz="4" w:space="0"/>
              <w:right w:val="single" w:color="auto" w:sz="4" w:space="0"/>
            </w:tcBorders>
            <w:shd w:val="clear" w:color="auto" w:fill="auto"/>
            <w:vAlign w:val="center"/>
          </w:tcPr>
          <w:p w14:paraId="7A5DC8CB">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100%</w:t>
            </w:r>
          </w:p>
        </w:tc>
        <w:tc>
          <w:tcPr>
            <w:tcW w:w="1755" w:type="dxa"/>
            <w:tcBorders>
              <w:top w:val="single" w:color="auto" w:sz="4" w:space="0"/>
              <w:left w:val="nil"/>
              <w:bottom w:val="single" w:color="auto" w:sz="4" w:space="0"/>
              <w:right w:val="single" w:color="auto" w:sz="4" w:space="0"/>
            </w:tcBorders>
            <w:shd w:val="clear" w:color="auto" w:fill="auto"/>
            <w:noWrap/>
            <w:vAlign w:val="center"/>
          </w:tcPr>
          <w:p w14:paraId="0C41F449">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仿宋_GB2312" w:hAnsi="仿宋_GB2312" w:eastAsia="仿宋_GB2312" w:cs="仿宋_GB2312"/>
                <w:b w:val="0"/>
                <w:bCs w:val="0"/>
                <w:color w:val="000000"/>
                <w:kern w:val="0"/>
                <w:sz w:val="32"/>
                <w:szCs w:val="32"/>
                <w:lang w:val="en-US" w:eastAsia="zh-CN"/>
              </w:rPr>
            </w:pPr>
            <w:r>
              <w:rPr>
                <w:rFonts w:hint="eastAsia" w:ascii="仿宋_GB2312" w:hAnsi="仿宋_GB2312" w:eastAsia="仿宋_GB2312" w:cs="仿宋_GB2312"/>
                <w:b w:val="0"/>
                <w:bCs w:val="0"/>
                <w:color w:val="000000"/>
                <w:kern w:val="0"/>
                <w:sz w:val="32"/>
                <w:szCs w:val="32"/>
                <w:lang w:val="en-US" w:eastAsia="zh-CN"/>
              </w:rPr>
              <w:t>10</w:t>
            </w:r>
          </w:p>
        </w:tc>
      </w:tr>
      <w:tr w14:paraId="47E718A9">
        <w:tblPrEx>
          <w:tblCellMar>
            <w:top w:w="0" w:type="dxa"/>
            <w:left w:w="108" w:type="dxa"/>
            <w:bottom w:w="0" w:type="dxa"/>
            <w:right w:w="108" w:type="dxa"/>
          </w:tblCellMar>
        </w:tblPrEx>
        <w:trPr>
          <w:trHeight w:val="595" w:hRule="exact"/>
        </w:trPr>
        <w:tc>
          <w:tcPr>
            <w:tcW w:w="386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C71C32">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lang w:eastAsia="zh-CN"/>
              </w:rPr>
            </w:pPr>
            <w:r>
              <w:rPr>
                <w:rFonts w:hint="eastAsia" w:ascii="仿宋_GB2312" w:hAnsi="仿宋_GB2312" w:eastAsia="仿宋_GB2312" w:cs="仿宋_GB2312"/>
                <w:b w:val="0"/>
                <w:bCs w:val="0"/>
                <w:color w:val="000000"/>
                <w:kern w:val="0"/>
                <w:sz w:val="32"/>
                <w:szCs w:val="32"/>
                <w:lang w:eastAsia="zh-CN"/>
              </w:rPr>
              <w:t>合计</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C2DB8AD">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仿宋_GB2312" w:hAnsi="仿宋_GB2312" w:eastAsia="仿宋_GB2312" w:cs="仿宋_GB2312"/>
                <w:b w:val="0"/>
                <w:bCs w:val="0"/>
                <w:color w:val="000000"/>
                <w:kern w:val="0"/>
                <w:sz w:val="32"/>
                <w:szCs w:val="32"/>
                <w:lang w:val="en-US" w:eastAsia="zh-CN"/>
              </w:rPr>
            </w:pPr>
            <w:r>
              <w:rPr>
                <w:rFonts w:hint="eastAsia" w:ascii="仿宋_GB2312" w:hAnsi="仿宋_GB2312" w:eastAsia="仿宋_GB2312" w:cs="仿宋_GB2312"/>
                <w:b w:val="0"/>
                <w:bCs w:val="0"/>
                <w:color w:val="000000"/>
                <w:kern w:val="0"/>
                <w:sz w:val="32"/>
                <w:szCs w:val="32"/>
                <w:lang w:val="en-US" w:eastAsia="zh-CN"/>
              </w:rPr>
              <w:t>40</w:t>
            </w:r>
          </w:p>
        </w:tc>
        <w:tc>
          <w:tcPr>
            <w:tcW w:w="1530" w:type="dxa"/>
            <w:tcBorders>
              <w:top w:val="single" w:color="auto" w:sz="4" w:space="0"/>
              <w:left w:val="nil"/>
              <w:bottom w:val="single" w:color="auto" w:sz="4" w:space="0"/>
              <w:right w:val="single" w:color="auto" w:sz="4" w:space="0"/>
            </w:tcBorders>
            <w:shd w:val="clear" w:color="auto" w:fill="auto"/>
            <w:vAlign w:val="center"/>
          </w:tcPr>
          <w:p w14:paraId="2C1041A7">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lang w:val="en-US" w:eastAsia="zh-CN"/>
              </w:rPr>
              <w:t>93.33</w:t>
            </w:r>
            <w:r>
              <w:rPr>
                <w:rFonts w:hint="eastAsia" w:ascii="仿宋_GB2312" w:hAnsi="仿宋_GB2312" w:eastAsia="仿宋_GB2312" w:cs="仿宋_GB2312"/>
                <w:b w:val="0"/>
                <w:bCs w:val="0"/>
                <w:color w:val="000000"/>
                <w:kern w:val="0"/>
                <w:sz w:val="32"/>
                <w:szCs w:val="32"/>
              </w:rPr>
              <w:t>%</w:t>
            </w:r>
          </w:p>
        </w:tc>
        <w:tc>
          <w:tcPr>
            <w:tcW w:w="1755" w:type="dxa"/>
            <w:tcBorders>
              <w:top w:val="single" w:color="auto" w:sz="4" w:space="0"/>
              <w:left w:val="nil"/>
              <w:bottom w:val="single" w:color="auto" w:sz="4" w:space="0"/>
              <w:right w:val="single" w:color="auto" w:sz="4" w:space="0"/>
            </w:tcBorders>
            <w:shd w:val="clear" w:color="auto" w:fill="auto"/>
            <w:noWrap/>
            <w:vAlign w:val="center"/>
          </w:tcPr>
          <w:p w14:paraId="0CF4060D">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仿宋_GB2312" w:hAnsi="仿宋_GB2312" w:eastAsia="仿宋_GB2312" w:cs="仿宋_GB2312"/>
                <w:b w:val="0"/>
                <w:bCs w:val="0"/>
                <w:color w:val="000000"/>
                <w:kern w:val="0"/>
                <w:sz w:val="32"/>
                <w:szCs w:val="32"/>
                <w:lang w:val="en-US" w:eastAsia="zh-CN"/>
              </w:rPr>
            </w:pPr>
            <w:r>
              <w:rPr>
                <w:rFonts w:hint="eastAsia" w:ascii="仿宋_GB2312" w:hAnsi="仿宋_GB2312" w:eastAsia="仿宋_GB2312" w:cs="仿宋_GB2312"/>
                <w:b w:val="0"/>
                <w:bCs w:val="0"/>
                <w:color w:val="000000"/>
                <w:kern w:val="0"/>
                <w:sz w:val="32"/>
                <w:szCs w:val="32"/>
                <w:lang w:val="en-US" w:eastAsia="zh-CN"/>
              </w:rPr>
              <w:t>40</w:t>
            </w:r>
          </w:p>
        </w:tc>
      </w:tr>
    </w:tbl>
    <w:p w14:paraId="5DAAB5A7">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对于“提升教职工教研能力”</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年初目标值:</w:t>
      </w:r>
      <w:r>
        <w:rPr>
          <w:rFonts w:hint="eastAsia" w:ascii="仿宋_GB2312" w:hAnsi="仿宋_GB2312" w:eastAsia="仿宋_GB2312" w:cs="仿宋_GB2312"/>
          <w:sz w:val="32"/>
          <w:szCs w:val="32"/>
          <w:lang w:eastAsia="zh-CN"/>
        </w:rPr>
        <w:t>有所</w:t>
      </w:r>
      <w:r>
        <w:rPr>
          <w:rFonts w:hint="eastAsia" w:ascii="仿宋_GB2312" w:hAnsi="仿宋_GB2312" w:eastAsia="仿宋_GB2312" w:cs="仿宋_GB2312"/>
          <w:sz w:val="32"/>
          <w:szCs w:val="32"/>
        </w:rPr>
        <w:t>提升，</w:t>
      </w:r>
      <w:r>
        <w:rPr>
          <w:rFonts w:hint="eastAsia" w:ascii="仿宋_GB2312" w:hAnsi="仿宋_GB2312" w:eastAsia="仿宋_GB2312" w:cs="仿宋_GB2312"/>
          <w:sz w:val="32"/>
          <w:szCs w:val="32"/>
          <w:lang w:val="en-US" w:eastAsia="zh-CN"/>
        </w:rPr>
        <w:t>实际完成值:</w:t>
      </w:r>
      <w:r>
        <w:rPr>
          <w:rFonts w:hint="eastAsia" w:ascii="仿宋_GB2312" w:hAnsi="仿宋_GB2312" w:eastAsia="仿宋_GB2312" w:cs="仿宋_GB2312"/>
          <w:sz w:val="32"/>
          <w:szCs w:val="32"/>
          <w:lang w:eastAsia="zh-CN"/>
        </w:rPr>
        <w:t>有所</w:t>
      </w:r>
      <w:r>
        <w:rPr>
          <w:rFonts w:hint="eastAsia" w:ascii="仿宋_GB2312" w:hAnsi="仿宋_GB2312" w:eastAsia="仿宋_GB2312" w:cs="仿宋_GB2312"/>
          <w:sz w:val="32"/>
          <w:szCs w:val="32"/>
        </w:rPr>
        <w:t>提升。</w:t>
      </w:r>
      <w:r>
        <w:rPr>
          <w:rFonts w:hint="eastAsia" w:ascii="仿宋_GB2312" w:hAnsi="仿宋_GB2312" w:eastAsia="仿宋_GB2312" w:cs="仿宋_GB2312"/>
          <w:sz w:val="32"/>
          <w:szCs w:val="32"/>
          <w:lang w:val="en-US" w:eastAsia="zh-CN"/>
        </w:rPr>
        <w:t>项目资金保障了我校部分教师外出调研费用的相关开支</w:t>
      </w:r>
      <w:r>
        <w:rPr>
          <w:rFonts w:hint="eastAsia" w:ascii="仿宋_GB2312" w:hAnsi="仿宋_GB2312" w:eastAsia="仿宋_GB2312" w:cs="仿宋_GB2312"/>
          <w:sz w:val="32"/>
          <w:szCs w:val="32"/>
        </w:rPr>
        <w:t>，使</w:t>
      </w:r>
      <w:r>
        <w:rPr>
          <w:rFonts w:hint="eastAsia" w:ascii="仿宋_GB2312" w:hAnsi="仿宋_GB2312" w:eastAsia="仿宋_GB2312" w:cs="仿宋_GB2312"/>
          <w:sz w:val="32"/>
          <w:szCs w:val="32"/>
          <w:lang w:val="en-US" w:eastAsia="zh-CN"/>
        </w:rPr>
        <w:t>教师教研能力在</w:t>
      </w:r>
      <w:r>
        <w:rPr>
          <w:rFonts w:hint="eastAsia" w:ascii="仿宋_GB2312" w:hAnsi="仿宋_GB2312" w:eastAsia="仿宋_GB2312" w:cs="仿宋_GB2312"/>
          <w:sz w:val="32"/>
          <w:szCs w:val="32"/>
        </w:rPr>
        <w:t>一定程度得到</w:t>
      </w:r>
      <w:r>
        <w:rPr>
          <w:rFonts w:hint="eastAsia" w:ascii="仿宋_GB2312" w:hAnsi="仿宋_GB2312" w:eastAsia="仿宋_GB2312" w:cs="仿宋_GB2312"/>
          <w:sz w:val="32"/>
          <w:szCs w:val="32"/>
          <w:lang w:eastAsia="zh-CN"/>
        </w:rPr>
        <w:t>有所</w:t>
      </w:r>
      <w:r>
        <w:rPr>
          <w:rFonts w:hint="eastAsia" w:ascii="仿宋_GB2312" w:hAnsi="仿宋_GB2312" w:eastAsia="仿宋_GB2312" w:cs="仿宋_GB2312"/>
          <w:sz w:val="32"/>
          <w:szCs w:val="32"/>
        </w:rPr>
        <w:t>提升</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根据评分标准，</w:t>
      </w:r>
      <w:r>
        <w:rPr>
          <w:rFonts w:hint="eastAsia" w:ascii="仿宋_GB2312" w:hAnsi="仿宋_GB2312" w:eastAsia="仿宋_GB2312" w:cs="仿宋_GB2312"/>
          <w:b w:val="0"/>
          <w:bCs w:val="0"/>
          <w:sz w:val="32"/>
          <w:szCs w:val="32"/>
        </w:rPr>
        <w:t>实际得分</w:t>
      </w:r>
      <w:r>
        <w:rPr>
          <w:rFonts w:hint="eastAsia" w:ascii="仿宋_GB2312" w:hAnsi="仿宋_GB2312" w:eastAsia="仿宋_GB2312" w:cs="仿宋_GB2312"/>
          <w:b w:val="0"/>
          <w:bCs w:val="0"/>
          <w:sz w:val="32"/>
          <w:szCs w:val="32"/>
          <w:lang w:val="en-US" w:eastAsia="zh-CN"/>
        </w:rPr>
        <w:t>15</w:t>
      </w:r>
      <w:r>
        <w:rPr>
          <w:rFonts w:hint="eastAsia" w:ascii="仿宋_GB2312" w:hAnsi="仿宋_GB2312" w:eastAsia="仿宋_GB2312" w:cs="仿宋_GB2312"/>
          <w:b w:val="0"/>
          <w:bCs w:val="0"/>
          <w:sz w:val="32"/>
          <w:szCs w:val="32"/>
        </w:rPr>
        <w:t>分</w:t>
      </w:r>
      <w:r>
        <w:rPr>
          <w:rFonts w:hint="eastAsia" w:ascii="仿宋_GB2312" w:hAnsi="仿宋_GB2312" w:eastAsia="仿宋_GB2312" w:cs="仿宋_GB2312"/>
          <w:sz w:val="32"/>
          <w:szCs w:val="32"/>
        </w:rPr>
        <w:t>。</w:t>
      </w:r>
    </w:p>
    <w:p w14:paraId="65C921E2">
      <w:pPr>
        <w:keepNext w:val="0"/>
        <w:keepLines w:val="0"/>
        <w:pageBreakBefore w:val="0"/>
        <w:kinsoku/>
        <w:wordWrap/>
        <w:overflowPunct/>
        <w:topLinePunct w:val="0"/>
        <w:autoSpaceDE/>
        <w:autoSpaceDN/>
        <w:bidi w:val="0"/>
        <w:adjustRightInd/>
        <w:snapToGrid/>
        <w:spacing w:line="560" w:lineRule="atLeas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对于“保障日常工作的正常开展”，年初目标值:</w:t>
      </w:r>
      <w:r>
        <w:rPr>
          <w:rFonts w:hint="eastAsia" w:ascii="仿宋_GB2312" w:hAnsi="仿宋_GB2312" w:eastAsia="仿宋_GB2312" w:cs="仿宋_GB2312"/>
          <w:sz w:val="32"/>
          <w:szCs w:val="32"/>
          <w:lang w:eastAsia="zh-CN"/>
        </w:rPr>
        <w:t>有所</w:t>
      </w:r>
      <w:r>
        <w:rPr>
          <w:rFonts w:hint="eastAsia" w:ascii="仿宋_GB2312" w:hAnsi="仿宋_GB2312" w:eastAsia="仿宋_GB2312" w:cs="仿宋_GB2312"/>
          <w:sz w:val="32"/>
          <w:szCs w:val="32"/>
        </w:rPr>
        <w:t>提升，</w:t>
      </w:r>
      <w:r>
        <w:rPr>
          <w:rFonts w:hint="eastAsia" w:ascii="仿宋_GB2312" w:hAnsi="仿宋_GB2312" w:eastAsia="仿宋_GB2312" w:cs="仿宋_GB2312"/>
          <w:sz w:val="32"/>
          <w:szCs w:val="32"/>
          <w:lang w:val="en-US" w:eastAsia="zh-CN"/>
        </w:rPr>
        <w:t>实际完成值:</w:t>
      </w:r>
      <w:r>
        <w:rPr>
          <w:rFonts w:hint="eastAsia" w:ascii="仿宋_GB2312" w:hAnsi="仿宋_GB2312" w:eastAsia="仿宋_GB2312" w:cs="仿宋_GB2312"/>
          <w:sz w:val="32"/>
          <w:szCs w:val="32"/>
          <w:lang w:eastAsia="zh-CN"/>
        </w:rPr>
        <w:t>有所</w:t>
      </w:r>
      <w:r>
        <w:rPr>
          <w:rFonts w:hint="eastAsia" w:ascii="仿宋_GB2312" w:hAnsi="仿宋_GB2312" w:eastAsia="仿宋_GB2312" w:cs="仿宋_GB2312"/>
          <w:sz w:val="32"/>
          <w:szCs w:val="32"/>
        </w:rPr>
        <w:t>提升。</w:t>
      </w:r>
      <w:r>
        <w:rPr>
          <w:rFonts w:hint="eastAsia" w:ascii="仿宋_GB2312" w:hAnsi="仿宋_GB2312" w:eastAsia="仿宋_GB2312" w:cs="仿宋_GB2312"/>
          <w:sz w:val="32"/>
          <w:szCs w:val="32"/>
          <w:lang w:val="en-US" w:eastAsia="zh-CN"/>
        </w:rPr>
        <w:t>项目资金在很大程度保障了我单位2020</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基本的</w:t>
      </w:r>
      <w:r>
        <w:rPr>
          <w:rFonts w:hint="eastAsia" w:ascii="仿宋_GB2312" w:hAnsi="仿宋_GB2312" w:eastAsia="仿宋_GB2312" w:cs="仿宋_GB2312"/>
          <w:sz w:val="32"/>
          <w:szCs w:val="32"/>
          <w:lang w:val="en-US" w:eastAsia="zh-CN"/>
        </w:rPr>
        <w:t>正常开展教育教学培训及业务工作运转,使工作效率的到显著提升</w:t>
      </w:r>
      <w:r>
        <w:rPr>
          <w:rFonts w:hint="eastAsia" w:ascii="仿宋_GB2312" w:hAnsi="仿宋_GB2312" w:eastAsia="仿宋_GB2312" w:cs="仿宋_GB2312"/>
          <w:sz w:val="32"/>
          <w:szCs w:val="32"/>
        </w:rPr>
        <w:t>。根据评分标准，该指标不扣分，实际得分</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分。</w:t>
      </w:r>
    </w:p>
    <w:p w14:paraId="51BDD6AD">
      <w:pPr>
        <w:keepNext w:val="0"/>
        <w:keepLines w:val="0"/>
        <w:pageBreakBefore w:val="0"/>
        <w:kinsoku/>
        <w:wordWrap/>
        <w:overflowPunct/>
        <w:topLinePunct w:val="0"/>
        <w:autoSpaceDE/>
        <w:autoSpaceDN/>
        <w:bidi w:val="0"/>
        <w:adjustRightInd/>
        <w:snapToGrid/>
        <w:spacing w:line="560" w:lineRule="atLeast"/>
        <w:ind w:firstLine="640" w:firstLineChars="200"/>
        <w:jc w:val="left"/>
        <w:textAlignment w:val="auto"/>
        <w:rPr>
          <w:rFonts w:hint="eastAsia" w:ascii="黑体" w:hAnsi="黑体" w:eastAsia="黑体" w:cs="黑体"/>
          <w:b w:val="0"/>
          <w:bCs/>
          <w:sz w:val="32"/>
          <w:szCs w:val="32"/>
          <w:lang w:eastAsia="zh-CN"/>
        </w:rPr>
      </w:pPr>
      <w:r>
        <w:rPr>
          <w:rFonts w:hint="eastAsia" w:ascii="仿宋_GB2312" w:hAnsi="仿宋_GB2312" w:eastAsia="仿宋_GB2312" w:cs="仿宋_GB2312"/>
          <w:sz w:val="32"/>
          <w:szCs w:val="32"/>
        </w:rPr>
        <w:t>对于“</w:t>
      </w:r>
      <w:r>
        <w:rPr>
          <w:rFonts w:hint="eastAsia" w:ascii="仿宋_GB2312" w:hAnsi="仿宋_GB2312" w:eastAsia="仿宋_GB2312" w:cs="仿宋_GB2312"/>
          <w:sz w:val="32"/>
          <w:szCs w:val="32"/>
          <w:lang w:val="en-US" w:eastAsia="zh-CN"/>
        </w:rPr>
        <w:t>单位使用人满</w:t>
      </w:r>
      <w:r>
        <w:rPr>
          <w:rFonts w:hint="eastAsia" w:ascii="仿宋_GB2312" w:hAnsi="仿宋_GB2312" w:eastAsia="仿宋_GB2312" w:cs="仿宋_GB2312"/>
          <w:sz w:val="32"/>
          <w:szCs w:val="32"/>
        </w:rPr>
        <w:t>意度”，</w:t>
      </w:r>
      <w:r>
        <w:rPr>
          <w:rFonts w:hint="eastAsia" w:ascii="仿宋_GB2312" w:hAnsi="仿宋_GB2312" w:eastAsia="仿宋_GB2312" w:cs="仿宋_GB2312"/>
          <w:sz w:val="32"/>
          <w:szCs w:val="32"/>
          <w:lang w:val="en-US" w:eastAsia="zh-CN"/>
        </w:rPr>
        <w:t>年初目标值</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90%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实际完成值100%</w:t>
      </w:r>
      <w:r>
        <w:rPr>
          <w:rFonts w:hint="eastAsia" w:ascii="仿宋_GB2312" w:hAnsi="仿宋_GB2312" w:eastAsia="仿宋_GB2312" w:cs="仿宋_GB2312"/>
          <w:sz w:val="32"/>
          <w:szCs w:val="32"/>
        </w:rPr>
        <w:t>。发放的调查问卷中的满意度问题主要包括：我校干部</w:t>
      </w:r>
      <w:r>
        <w:rPr>
          <w:rFonts w:hint="eastAsia" w:ascii="仿宋_GB2312" w:hAnsi="仿宋_GB2312" w:eastAsia="仿宋_GB2312" w:cs="仿宋_GB2312"/>
          <w:sz w:val="32"/>
          <w:szCs w:val="32"/>
          <w:lang w:val="en-US" w:eastAsia="zh-CN"/>
        </w:rPr>
        <w:t>职工</w:t>
      </w:r>
      <w:r>
        <w:rPr>
          <w:rFonts w:hint="eastAsia" w:ascii="仿宋_GB2312" w:hAnsi="仿宋_GB2312" w:eastAsia="仿宋_GB2312" w:cs="仿宋_GB2312"/>
          <w:sz w:val="32"/>
          <w:szCs w:val="32"/>
        </w:rPr>
        <w:t>的评价；每项指标的满意度分为四档，即“非常满意”、“满意”、“一般”、“不满意”；受调查干部学员全部“非常满意”得满分5分。综合问卷调查结果，志愿者的满意度均为“非常满意”，分析结果为5分。根据评分标准，该指标不扣分，实际得分</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分。</w:t>
      </w:r>
    </w:p>
    <w:p w14:paraId="4E2E82C0">
      <w:pPr>
        <w:keepNext w:val="0"/>
        <w:keepLines w:val="0"/>
        <w:pageBreakBefore w:val="0"/>
        <w:widowControl/>
        <w:kinsoku/>
        <w:wordWrap/>
        <w:overflowPunct/>
        <w:topLinePunct w:val="0"/>
        <w:autoSpaceDE/>
        <w:autoSpaceDN/>
        <w:bidi w:val="0"/>
        <w:adjustRightInd/>
        <w:snapToGrid/>
        <w:spacing w:line="560" w:lineRule="atLeast"/>
        <w:jc w:val="both"/>
        <w:textAlignment w:val="auto"/>
        <w:rPr>
          <w:rFonts w:hint="eastAsia" w:ascii="黑体" w:hAnsi="黑体" w:eastAsia="黑体" w:cs="黑体"/>
          <w:b w:val="0"/>
          <w:bCs/>
          <w:sz w:val="32"/>
          <w:szCs w:val="32"/>
          <w:lang w:eastAsia="zh-CN"/>
        </w:rPr>
      </w:pPr>
      <w:bookmarkStart w:id="5" w:name="_Toc8780_WPSOffice_Level1"/>
      <w:r>
        <w:rPr>
          <w:rFonts w:hint="eastAsia" w:ascii="黑体" w:hAnsi="黑体" w:eastAsia="黑体" w:cs="黑体"/>
          <w:b w:val="0"/>
          <w:bCs/>
          <w:sz w:val="32"/>
          <w:szCs w:val="32"/>
          <w:lang w:eastAsia="zh-CN"/>
        </w:rPr>
        <w:t>五、主要经验及做法、存在的问题及原因分析</w:t>
      </w:r>
      <w:bookmarkEnd w:id="5"/>
    </w:p>
    <w:p w14:paraId="30074A3D">
      <w:pPr>
        <w:keepNext w:val="0"/>
        <w:keepLines w:val="0"/>
        <w:pageBreakBefore w:val="0"/>
        <w:kinsoku/>
        <w:wordWrap/>
        <w:overflowPunct/>
        <w:topLinePunct w:val="0"/>
        <w:autoSpaceDE/>
        <w:autoSpaceDN/>
        <w:bidi w:val="0"/>
        <w:adjustRightInd/>
        <w:snapToGrid/>
        <w:spacing w:line="560" w:lineRule="atLeast"/>
        <w:textAlignment w:val="auto"/>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lang w:eastAsia="zh-CN"/>
        </w:rPr>
        <w:t>（一）主要经验及做法</w:t>
      </w:r>
    </w:p>
    <w:p w14:paraId="174FC9C5">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6A8CCAAE">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lang w:eastAsia="zh-CN"/>
        </w:rPr>
      </w:pPr>
      <w:r>
        <w:rPr>
          <w:rFonts w:hint="eastAsia" w:ascii="仿宋_GB2312" w:hAnsi="仿宋_GB2312" w:eastAsia="仿宋_GB2312" w:cs="仿宋_GB2312"/>
          <w:sz w:val="32"/>
          <w:szCs w:val="32"/>
        </w:rPr>
        <w:t>严格坚持先做事、后验收、再拨付的原则，基本杜绝了资金被挤占和挪用现象的发生，跟踪检查到位。做到项目手续完备、资料齐全、专款专用、专人负责、账目清楚。财政、纪检、监察等职能部门全面参与专项资金事前、事中和事后全过程的监管。在监督环节上，实行关口前移，从事后监督管理转向事前审核，事中监督和事后检查稽核相结合的监督制度上来，形成多环节全</w:t>
      </w:r>
      <w:r>
        <w:rPr>
          <w:rFonts w:hint="eastAsia" w:ascii="仿宋_GB2312" w:hAnsi="仿宋_GB2312" w:eastAsia="仿宋_GB2312" w:cs="仿宋_GB2312"/>
          <w:sz w:val="32"/>
          <w:szCs w:val="32"/>
          <w:lang w:eastAsia="zh-CN"/>
        </w:rPr>
        <w:t>过</w:t>
      </w:r>
      <w:r>
        <w:rPr>
          <w:rFonts w:hint="eastAsia" w:ascii="仿宋_GB2312" w:hAnsi="仿宋_GB2312" w:eastAsia="仿宋_GB2312" w:cs="仿宋_GB2312"/>
          <w:sz w:val="32"/>
          <w:szCs w:val="32"/>
        </w:rPr>
        <w:t>程的监督管理格局，尽量早发现问题，早解决问题。</w:t>
      </w:r>
    </w:p>
    <w:p w14:paraId="03B91B36">
      <w:pPr>
        <w:keepNext w:val="0"/>
        <w:keepLines w:val="0"/>
        <w:pageBreakBefore w:val="0"/>
        <w:kinsoku/>
        <w:wordWrap/>
        <w:overflowPunct/>
        <w:topLinePunct w:val="0"/>
        <w:autoSpaceDE/>
        <w:autoSpaceDN/>
        <w:bidi w:val="0"/>
        <w:adjustRightInd/>
        <w:snapToGrid/>
        <w:spacing w:line="560" w:lineRule="atLeast"/>
        <w:textAlignment w:val="auto"/>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lang w:eastAsia="zh-CN"/>
        </w:rPr>
        <w:t>（二）</w:t>
      </w:r>
      <w:r>
        <w:rPr>
          <w:rFonts w:hint="eastAsia" w:ascii="楷体_GB2312" w:hAnsi="楷体_GB2312" w:eastAsia="楷体_GB2312" w:cs="楷体_GB2312"/>
          <w:b/>
          <w:bCs/>
          <w:sz w:val="32"/>
          <w:szCs w:val="32"/>
          <w:lang w:eastAsia="zh-CN"/>
        </w:rPr>
        <w:fldChar w:fldCharType="begin">
          <w:fldData xml:space="preserve">QQA1AEIARQA1AEEAMQAwAEEAQwBBADIANAA4ADkAQwA5ADIAMAA1AEQANwBEADcAMQBBADMARQA2
ADAAQgBFAA==
</w:fldData>
        </w:fldChar>
      </w:r>
      <w:r>
        <w:rPr>
          <w:rFonts w:hint="eastAsia" w:ascii="楷体_GB2312" w:hAnsi="楷体_GB2312" w:eastAsia="楷体_GB2312" w:cs="楷体_GB2312"/>
          <w:b/>
          <w:bCs/>
          <w:sz w:val="32"/>
          <w:szCs w:val="32"/>
          <w:lang w:eastAsia="zh-CN"/>
        </w:rPr>
        <w:instrText xml:space="preserve">Addin (二)主要经验及做法、存在问题</w:instrText>
      </w:r>
      <w:r>
        <w:rPr>
          <w:rFonts w:hint="eastAsia" w:ascii="楷体_GB2312" w:hAnsi="楷体_GB2312" w:eastAsia="楷体_GB2312" w:cs="楷体_GB2312"/>
          <w:b/>
          <w:bCs/>
          <w:sz w:val="32"/>
          <w:szCs w:val="32"/>
          <w:lang w:eastAsia="zh-CN"/>
        </w:rPr>
        <w:fldChar w:fldCharType="separate"/>
      </w:r>
      <w:r>
        <w:rPr>
          <w:rFonts w:hint="eastAsia" w:ascii="楷体_GB2312" w:hAnsi="楷体_GB2312" w:eastAsia="楷体_GB2312" w:cs="楷体_GB2312"/>
          <w:b/>
          <w:bCs/>
          <w:sz w:val="32"/>
          <w:szCs w:val="32"/>
          <w:lang w:eastAsia="zh-CN"/>
        </w:rPr>
        <w:t>存在的问题及原因分析</w:t>
      </w:r>
    </w:p>
    <w:p w14:paraId="543978A4">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存在问题：项目绩效管理缺乏经验，绩效系统性整体性较弱化，有待强化。</w:t>
      </w:r>
    </w:p>
    <w:p w14:paraId="4141027A">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2、原因分析：</w:t>
      </w:r>
      <w:r>
        <w:rPr>
          <w:rFonts w:hint="eastAsia" w:ascii="仿宋_GB2312" w:hAnsi="仿宋_GB2312" w:eastAsia="仿宋_GB2312" w:cs="仿宋_GB2312"/>
          <w:sz w:val="32"/>
          <w:szCs w:val="32"/>
          <w:lang w:eastAsia="zh-CN"/>
        </w:rPr>
        <w:t>在项目具体执行过程往往只重视预算执行情况，忽视产出和效果，项目实施过程中需提供行之有效的绩效管理办法和评价机制。</w:t>
      </w:r>
    </w:p>
    <w:p w14:paraId="768C73F6">
      <w:pPr>
        <w:keepNext w:val="0"/>
        <w:keepLines w:val="0"/>
        <w:pageBreakBefore w:val="0"/>
        <w:kinsoku/>
        <w:wordWrap/>
        <w:overflowPunct/>
        <w:topLinePunct w:val="0"/>
        <w:autoSpaceDE/>
        <w:autoSpaceDN/>
        <w:bidi w:val="0"/>
        <w:adjustRightInd/>
        <w:snapToGrid/>
        <w:spacing w:line="560" w:lineRule="atLeast"/>
        <w:textAlignment w:val="auto"/>
        <w:rPr>
          <w:rFonts w:hint="eastAsia" w:ascii="黑体" w:hAnsi="黑体" w:eastAsia="黑体" w:cs="黑体"/>
          <w:b w:val="0"/>
          <w:bCs/>
          <w:sz w:val="32"/>
          <w:szCs w:val="32"/>
          <w:lang w:eastAsia="zh-CN"/>
        </w:rPr>
      </w:pPr>
      <w:r>
        <w:rPr>
          <w:rFonts w:hint="eastAsia" w:ascii="楷体_GB2312" w:hAnsi="楷体_GB2312" w:eastAsia="楷体_GB2312" w:cs="楷体_GB2312"/>
          <w:b/>
          <w:bCs/>
          <w:sz w:val="32"/>
          <w:szCs w:val="32"/>
          <w:lang w:eastAsia="zh-CN"/>
        </w:rPr>
        <w:fldChar w:fldCharType="end"/>
      </w:r>
      <w:bookmarkStart w:id="6" w:name="_Toc19772_WPSOffice_Level1"/>
      <w:r>
        <w:rPr>
          <w:rFonts w:hint="eastAsia" w:ascii="黑体" w:hAnsi="黑体" w:eastAsia="黑体" w:cs="黑体"/>
          <w:b w:val="0"/>
          <w:bCs/>
          <w:sz w:val="32"/>
          <w:szCs w:val="32"/>
          <w:lang w:eastAsia="zh-CN"/>
        </w:rPr>
        <w:t>六、有关建议</w:t>
      </w:r>
      <w:bookmarkEnd w:id="6"/>
    </w:p>
    <w:p w14:paraId="03EB7974">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14:paraId="72E507D1">
      <w:pPr>
        <w:keepNext w:val="0"/>
        <w:keepLines w:val="0"/>
        <w:pageBreakBefore w:val="0"/>
        <w:numPr>
          <w:ilvl w:val="0"/>
          <w:numId w:val="0"/>
        </w:numPr>
        <w:kinsoku/>
        <w:wordWrap/>
        <w:overflowPunct/>
        <w:topLinePunct w:val="0"/>
        <w:autoSpaceDE/>
        <w:autoSpaceDN/>
        <w:bidi w:val="0"/>
        <w:adjustRightInd/>
        <w:snapToGrid/>
        <w:spacing w:line="560" w:lineRule="atLeas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财政和项目实施单位严格实行“三专”管理，即设专户、建专帐、定专人。同时，资金拨付除坚持按项目计划、工程进度和质量分阶段验收拨款外，还坚持部门联审制，项目单位先做事、后报帐，从而确保专项资金专款专用，有效地防止了截留、挤占和挪用。</w:t>
      </w:r>
    </w:p>
    <w:p w14:paraId="507A3B8F">
      <w:pPr>
        <w:keepNext w:val="0"/>
        <w:keepLines w:val="0"/>
        <w:pageBreakBefore w:val="0"/>
        <w:kinsoku/>
        <w:wordWrap/>
        <w:overflowPunct/>
        <w:topLinePunct w:val="0"/>
        <w:autoSpaceDE/>
        <w:autoSpaceDN/>
        <w:bidi w:val="0"/>
        <w:adjustRightInd/>
        <w:snapToGrid/>
        <w:spacing w:line="560" w:lineRule="atLeast"/>
        <w:textAlignment w:val="auto"/>
        <w:rPr>
          <w:rFonts w:hint="eastAsia" w:ascii="黑体" w:hAnsi="黑体" w:eastAsia="黑体" w:cs="黑体"/>
          <w:b w:val="0"/>
          <w:bCs/>
          <w:sz w:val="32"/>
          <w:szCs w:val="32"/>
          <w:lang w:eastAsia="zh-CN"/>
        </w:rPr>
      </w:pPr>
      <w:bookmarkStart w:id="7" w:name="_Toc1432_WPSOffice_Level1"/>
      <w:r>
        <w:rPr>
          <w:rFonts w:hint="eastAsia" w:ascii="黑体" w:hAnsi="黑体" w:eastAsia="黑体" w:cs="黑体"/>
          <w:b w:val="0"/>
          <w:bCs/>
          <w:sz w:val="32"/>
          <w:szCs w:val="32"/>
          <w:lang w:eastAsia="zh-CN"/>
        </w:rPr>
        <w:t>七、其他需要说明的问题</w:t>
      </w:r>
      <w:bookmarkEnd w:id="7"/>
    </w:p>
    <w:p w14:paraId="6BDF437B">
      <w:pPr>
        <w:keepNext w:val="0"/>
        <w:keepLines w:val="0"/>
        <w:pageBreakBefore w:val="0"/>
        <w:numPr>
          <w:ilvl w:val="0"/>
          <w:numId w:val="0"/>
        </w:numPr>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无</w:t>
      </w:r>
      <w:r>
        <w:rPr>
          <w:rFonts w:hint="eastAsia" w:ascii="仿宋_GB2312" w:hAnsi="仿宋_GB2312" w:eastAsia="仿宋_GB2312" w:cs="仿宋_GB2312"/>
          <w:sz w:val="32"/>
          <w:szCs w:val="32"/>
          <w:lang w:eastAsia="zh-CN"/>
        </w:rPr>
        <w:t>。</w:t>
      </w:r>
    </w:p>
    <w:tbl>
      <w:tblPr>
        <w:tblStyle w:val="10"/>
        <w:tblW w:w="9040" w:type="dxa"/>
        <w:tblInd w:w="0" w:type="dxa"/>
        <w:shd w:val="clear" w:color="auto" w:fill="auto"/>
        <w:tblLayout w:type="fixed"/>
        <w:tblCellMar>
          <w:top w:w="0" w:type="dxa"/>
          <w:left w:w="0" w:type="dxa"/>
          <w:bottom w:w="0" w:type="dxa"/>
          <w:right w:w="0" w:type="dxa"/>
        </w:tblCellMar>
      </w:tblPr>
      <w:tblGrid>
        <w:gridCol w:w="724"/>
        <w:gridCol w:w="726"/>
        <w:gridCol w:w="963"/>
        <w:gridCol w:w="240"/>
        <w:gridCol w:w="1327"/>
        <w:gridCol w:w="1125"/>
        <w:gridCol w:w="735"/>
        <w:gridCol w:w="255"/>
        <w:gridCol w:w="2945"/>
      </w:tblGrid>
      <w:tr w14:paraId="00434247">
        <w:tblPrEx>
          <w:tblCellMar>
            <w:top w:w="0" w:type="dxa"/>
            <w:left w:w="0" w:type="dxa"/>
            <w:bottom w:w="0" w:type="dxa"/>
            <w:right w:w="0" w:type="dxa"/>
          </w:tblCellMar>
        </w:tblPrEx>
        <w:trPr>
          <w:trHeight w:val="614" w:hRule="atLeast"/>
        </w:trPr>
        <w:tc>
          <w:tcPr>
            <w:tcW w:w="9040" w:type="dxa"/>
            <w:gridSpan w:val="9"/>
            <w:tcBorders>
              <w:top w:val="nil"/>
              <w:left w:val="nil"/>
              <w:bottom w:val="nil"/>
              <w:right w:val="nil"/>
            </w:tcBorders>
            <w:shd w:val="clear" w:color="auto" w:fill="auto"/>
            <w:tcMar>
              <w:top w:w="15" w:type="dxa"/>
              <w:left w:w="15" w:type="dxa"/>
              <w:right w:w="15" w:type="dxa"/>
            </w:tcMar>
            <w:vAlign w:val="center"/>
          </w:tcPr>
          <w:p w14:paraId="1F463F55">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方正小标宋简体" w:hAnsi="方正小标宋简体" w:eastAsia="方正小标宋简体" w:cs="方正小标宋简体"/>
                <w:b/>
                <w:i w:val="0"/>
                <w:color w:val="000000"/>
                <w:kern w:val="0"/>
                <w:sz w:val="44"/>
                <w:szCs w:val="44"/>
                <w:u w:val="none"/>
                <w:lang w:val="en-US" w:eastAsia="zh-CN" w:bidi="ar"/>
              </w:rPr>
              <w:t>项目支出绩效自评表</w:t>
            </w:r>
          </w:p>
        </w:tc>
      </w:tr>
      <w:tr w14:paraId="79D4A4C6">
        <w:tblPrEx>
          <w:tblCellMar>
            <w:top w:w="0" w:type="dxa"/>
            <w:left w:w="0" w:type="dxa"/>
            <w:bottom w:w="0" w:type="dxa"/>
            <w:right w:w="0" w:type="dxa"/>
          </w:tblCellMar>
        </w:tblPrEx>
        <w:trPr>
          <w:trHeight w:val="614" w:hRule="atLeast"/>
        </w:trPr>
        <w:tc>
          <w:tcPr>
            <w:tcW w:w="9040" w:type="dxa"/>
            <w:gridSpan w:val="9"/>
            <w:tcBorders>
              <w:top w:val="nil"/>
              <w:left w:val="nil"/>
              <w:bottom w:val="nil"/>
              <w:right w:val="nil"/>
            </w:tcBorders>
            <w:shd w:val="clear" w:color="auto" w:fill="auto"/>
            <w:tcMar>
              <w:top w:w="15" w:type="dxa"/>
              <w:left w:w="15" w:type="dxa"/>
              <w:right w:w="15" w:type="dxa"/>
            </w:tcMar>
            <w:vAlign w:val="center"/>
          </w:tcPr>
          <w:p w14:paraId="316602B2">
            <w:pPr>
              <w:keepNext w:val="0"/>
              <w:keepLines w:val="0"/>
              <w:widowControl/>
              <w:suppressLineNumbers w:val="0"/>
              <w:jc w:val="center"/>
              <w:textAlignment w:val="center"/>
              <w:rPr>
                <w:rFonts w:hint="eastAsia" w:ascii="宋体" w:hAnsi="宋体" w:eastAsia="宋体" w:cs="宋体"/>
                <w:i w:val="0"/>
                <w:color w:val="000000"/>
                <w:sz w:val="32"/>
                <w:szCs w:val="32"/>
                <w:u w:val="none"/>
              </w:rPr>
            </w:pPr>
            <w:r>
              <w:rPr>
                <w:rFonts w:hint="eastAsia" w:ascii="宋体" w:hAnsi="宋体" w:eastAsia="宋体" w:cs="宋体"/>
                <w:i w:val="0"/>
                <w:color w:val="000000"/>
                <w:kern w:val="0"/>
                <w:sz w:val="32"/>
                <w:szCs w:val="32"/>
                <w:u w:val="none"/>
                <w:lang w:val="en-US" w:eastAsia="zh-CN" w:bidi="ar"/>
              </w:rPr>
              <w:t>（   2020 年度）</w:t>
            </w:r>
          </w:p>
        </w:tc>
      </w:tr>
      <w:tr w14:paraId="10BCC444">
        <w:tblPrEx>
          <w:tblCellMar>
            <w:top w:w="0" w:type="dxa"/>
            <w:left w:w="0" w:type="dxa"/>
            <w:bottom w:w="0" w:type="dxa"/>
            <w:right w:w="0" w:type="dxa"/>
          </w:tblCellMar>
        </w:tblPrEx>
        <w:trPr>
          <w:trHeight w:val="614" w:hRule="atLeast"/>
        </w:trPr>
        <w:tc>
          <w:tcPr>
            <w:tcW w:w="9040" w:type="dxa"/>
            <w:gridSpan w:val="9"/>
            <w:tcBorders>
              <w:top w:val="nil"/>
              <w:left w:val="nil"/>
              <w:bottom w:val="nil"/>
              <w:right w:val="nil"/>
            </w:tcBorders>
            <w:shd w:val="clear" w:color="auto" w:fill="auto"/>
            <w:tcMar>
              <w:top w:w="15" w:type="dxa"/>
              <w:left w:w="15" w:type="dxa"/>
              <w:right w:w="15" w:type="dxa"/>
            </w:tcMar>
            <w:vAlign w:val="center"/>
          </w:tcPr>
          <w:p w14:paraId="462E172E">
            <w:pPr>
              <w:jc w:val="center"/>
              <w:rPr>
                <w:rFonts w:hint="eastAsia" w:ascii="宋体" w:hAnsi="宋体" w:eastAsia="宋体" w:cs="宋体"/>
                <w:i w:val="0"/>
                <w:color w:val="000000"/>
                <w:sz w:val="22"/>
                <w:szCs w:val="22"/>
                <w:u w:val="none"/>
              </w:rPr>
            </w:pPr>
          </w:p>
        </w:tc>
      </w:tr>
      <w:tr w14:paraId="117DFA6D">
        <w:tblPrEx>
          <w:tblCellMar>
            <w:top w:w="0" w:type="dxa"/>
            <w:left w:w="0" w:type="dxa"/>
            <w:bottom w:w="0" w:type="dxa"/>
            <w:right w:w="0" w:type="dxa"/>
          </w:tblCellMar>
        </w:tblPrEx>
        <w:trPr>
          <w:trHeight w:val="625" w:hRule="atLeast"/>
        </w:trPr>
        <w:tc>
          <w:tcPr>
            <w:tcW w:w="14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49461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759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2ECCC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党校教育基地建设经费2019年结余</w:t>
            </w:r>
          </w:p>
        </w:tc>
      </w:tr>
      <w:tr w14:paraId="2E968A84">
        <w:tblPrEx>
          <w:tblCellMar>
            <w:top w:w="0" w:type="dxa"/>
            <w:left w:w="0" w:type="dxa"/>
            <w:bottom w:w="0" w:type="dxa"/>
            <w:right w:w="0" w:type="dxa"/>
          </w:tblCellMar>
        </w:tblPrEx>
        <w:trPr>
          <w:trHeight w:val="803" w:hRule="atLeast"/>
        </w:trPr>
        <w:tc>
          <w:tcPr>
            <w:tcW w:w="14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737B6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36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27C5BC">
            <w:pPr>
              <w:jc w:val="center"/>
              <w:rPr>
                <w:rFonts w:hint="eastAsia" w:ascii="宋体" w:hAnsi="宋体" w:eastAsia="宋体" w:cs="宋体"/>
                <w:i w:val="0"/>
                <w:color w:val="000000"/>
                <w:sz w:val="18"/>
                <w:szCs w:val="18"/>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1B763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32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46D13C">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中共塔城地委党校（塔城地区行政学院）</w:t>
            </w:r>
          </w:p>
        </w:tc>
      </w:tr>
      <w:tr w14:paraId="7403BA30">
        <w:tblPrEx>
          <w:tblCellMar>
            <w:top w:w="0" w:type="dxa"/>
            <w:left w:w="0" w:type="dxa"/>
            <w:bottom w:w="0" w:type="dxa"/>
            <w:right w:w="0" w:type="dxa"/>
          </w:tblCellMar>
        </w:tblPrEx>
        <w:trPr>
          <w:trHeight w:val="1224" w:hRule="atLeast"/>
        </w:trPr>
        <w:tc>
          <w:tcPr>
            <w:tcW w:w="1450" w:type="dxa"/>
            <w:gridSpan w:val="2"/>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3314A34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p>
        </w:tc>
        <w:tc>
          <w:tcPr>
            <w:tcW w:w="963" w:type="dxa"/>
            <w:tcBorders>
              <w:top w:val="single" w:color="000000" w:sz="4" w:space="0"/>
              <w:left w:val="single" w:color="000000" w:sz="4" w:space="0"/>
              <w:bottom w:val="single" w:color="auto" w:sz="4" w:space="0"/>
              <w:right w:val="nil"/>
            </w:tcBorders>
            <w:shd w:val="clear" w:color="auto" w:fill="auto"/>
            <w:noWrap/>
            <w:tcMar>
              <w:top w:w="15" w:type="dxa"/>
              <w:left w:w="15" w:type="dxa"/>
              <w:right w:w="15" w:type="dxa"/>
            </w:tcMar>
            <w:vAlign w:val="bottom"/>
          </w:tcPr>
          <w:p w14:paraId="680882AE">
            <w:pPr>
              <w:rPr>
                <w:rFonts w:hint="eastAsia" w:ascii="宋体" w:hAnsi="宋体" w:eastAsia="宋体" w:cs="宋体"/>
                <w:i w:val="0"/>
                <w:color w:val="000000"/>
                <w:sz w:val="18"/>
                <w:szCs w:val="18"/>
                <w:u w:val="none"/>
              </w:rPr>
            </w:pPr>
          </w:p>
        </w:tc>
        <w:tc>
          <w:tcPr>
            <w:tcW w:w="240" w:type="dxa"/>
            <w:tcBorders>
              <w:top w:val="single" w:color="000000" w:sz="4" w:space="0"/>
              <w:left w:val="nil"/>
              <w:bottom w:val="single" w:color="auto" w:sz="4" w:space="0"/>
              <w:right w:val="single" w:color="000000" w:sz="4" w:space="0"/>
            </w:tcBorders>
            <w:shd w:val="clear" w:color="auto" w:fill="auto"/>
            <w:noWrap/>
            <w:tcMar>
              <w:top w:w="15" w:type="dxa"/>
              <w:left w:w="15" w:type="dxa"/>
              <w:right w:w="15" w:type="dxa"/>
            </w:tcMar>
            <w:vAlign w:val="bottom"/>
          </w:tcPr>
          <w:p w14:paraId="0F4D8140"/>
        </w:tc>
        <w:tc>
          <w:tcPr>
            <w:tcW w:w="1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8AE0C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931696">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全年预算数</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4A0EE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4732F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r>
      <w:tr w14:paraId="2A1877C6">
        <w:tblPrEx>
          <w:tblCellMar>
            <w:top w:w="0" w:type="dxa"/>
            <w:left w:w="0" w:type="dxa"/>
            <w:bottom w:w="0" w:type="dxa"/>
            <w:right w:w="0" w:type="dxa"/>
          </w:tblCellMar>
        </w:tblPrEx>
        <w:trPr>
          <w:trHeight w:val="625" w:hRule="atLeast"/>
        </w:trPr>
        <w:tc>
          <w:tcPr>
            <w:tcW w:w="1450" w:type="dxa"/>
            <w:gridSpan w:val="2"/>
            <w:tcBorders>
              <w:top w:val="single" w:color="auto" w:sz="4" w:space="0"/>
              <w:left w:val="single" w:color="000000" w:sz="4" w:space="0"/>
              <w:right w:val="single" w:color="000000" w:sz="4" w:space="0"/>
            </w:tcBorders>
            <w:shd w:val="clear" w:color="auto" w:fill="auto"/>
            <w:tcMar>
              <w:top w:w="15" w:type="dxa"/>
              <w:left w:w="15" w:type="dxa"/>
              <w:right w:w="15" w:type="dxa"/>
            </w:tcMar>
            <w:vAlign w:val="center"/>
          </w:tcPr>
          <w:p w14:paraId="16D4FC3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963"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4A2C2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156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682A8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63.64</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732468">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63.64</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D13AF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63.44</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72D88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99.68%</w:t>
            </w:r>
          </w:p>
        </w:tc>
      </w:tr>
      <w:tr w14:paraId="55F6DBF2">
        <w:tblPrEx>
          <w:tblCellMar>
            <w:top w:w="0" w:type="dxa"/>
            <w:left w:w="0" w:type="dxa"/>
            <w:bottom w:w="0" w:type="dxa"/>
            <w:right w:w="0" w:type="dxa"/>
          </w:tblCellMar>
        </w:tblPrEx>
        <w:trPr>
          <w:trHeight w:val="1224" w:hRule="atLeast"/>
        </w:trPr>
        <w:tc>
          <w:tcPr>
            <w:tcW w:w="1450" w:type="dxa"/>
            <w:gridSpan w:val="2"/>
            <w:tcBorders>
              <w:left w:val="single" w:color="000000" w:sz="4" w:space="0"/>
              <w:right w:val="single" w:color="000000" w:sz="4" w:space="0"/>
            </w:tcBorders>
            <w:shd w:val="clear" w:color="auto" w:fill="auto"/>
            <w:tcMar>
              <w:top w:w="15" w:type="dxa"/>
              <w:left w:w="15" w:type="dxa"/>
              <w:right w:w="15" w:type="dxa"/>
            </w:tcMar>
            <w:vAlign w:val="center"/>
          </w:tcPr>
          <w:p w14:paraId="7B49D75E">
            <w:pPr>
              <w:jc w:val="center"/>
              <w:rPr>
                <w:rFonts w:hint="eastAsia" w:ascii="宋体" w:hAnsi="宋体" w:eastAsia="宋体" w:cs="宋体"/>
                <w:i w:val="0"/>
                <w:color w:val="000000"/>
                <w:sz w:val="22"/>
                <w:szCs w:val="22"/>
                <w:u w:val="none"/>
              </w:rPr>
            </w:pPr>
          </w:p>
        </w:tc>
        <w:tc>
          <w:tcPr>
            <w:tcW w:w="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F5533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156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C123D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63.64</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5C1033">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63.64</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AF868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63.44</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3EE95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2868C16A">
        <w:tblPrEx>
          <w:tblCellMar>
            <w:top w:w="0" w:type="dxa"/>
            <w:left w:w="0" w:type="dxa"/>
            <w:bottom w:w="0" w:type="dxa"/>
            <w:right w:w="0" w:type="dxa"/>
          </w:tblCellMar>
        </w:tblPrEx>
        <w:trPr>
          <w:trHeight w:val="1150" w:hRule="atLeast"/>
        </w:trPr>
        <w:tc>
          <w:tcPr>
            <w:tcW w:w="1450" w:type="dxa"/>
            <w:gridSpan w:val="2"/>
            <w:tcBorders>
              <w:left w:val="single" w:color="000000" w:sz="4" w:space="0"/>
              <w:right w:val="single" w:color="000000" w:sz="4" w:space="0"/>
            </w:tcBorders>
            <w:shd w:val="clear" w:color="auto" w:fill="auto"/>
            <w:tcMar>
              <w:top w:w="15" w:type="dxa"/>
              <w:left w:w="15" w:type="dxa"/>
              <w:right w:w="15" w:type="dxa"/>
            </w:tcMar>
            <w:vAlign w:val="center"/>
          </w:tcPr>
          <w:p w14:paraId="55825434">
            <w:pPr>
              <w:jc w:val="center"/>
              <w:rPr>
                <w:rFonts w:hint="eastAsia" w:ascii="宋体" w:hAnsi="宋体" w:eastAsia="宋体" w:cs="宋体"/>
                <w:i w:val="0"/>
                <w:color w:val="000000"/>
                <w:sz w:val="22"/>
                <w:szCs w:val="22"/>
                <w:u w:val="none"/>
              </w:rPr>
            </w:pPr>
          </w:p>
        </w:tc>
        <w:tc>
          <w:tcPr>
            <w:tcW w:w="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060CC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156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E6317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6217BF">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A08E7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5FA7E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69010FDC">
        <w:tblPrEx>
          <w:tblCellMar>
            <w:top w:w="0" w:type="dxa"/>
            <w:left w:w="0" w:type="dxa"/>
            <w:bottom w:w="0" w:type="dxa"/>
            <w:right w:w="0" w:type="dxa"/>
          </w:tblCellMar>
        </w:tblPrEx>
        <w:trPr>
          <w:trHeight w:val="625" w:hRule="atLeast"/>
        </w:trPr>
        <w:tc>
          <w:tcPr>
            <w:tcW w:w="1450" w:type="dxa"/>
            <w:gridSpan w:val="2"/>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060FB6">
            <w:pPr>
              <w:jc w:val="center"/>
              <w:rPr>
                <w:rFonts w:hint="eastAsia" w:ascii="宋体" w:hAnsi="宋体" w:eastAsia="宋体" w:cs="宋体"/>
                <w:i w:val="0"/>
                <w:color w:val="000000"/>
                <w:sz w:val="22"/>
                <w:szCs w:val="22"/>
                <w:u w:val="none"/>
              </w:rPr>
            </w:pPr>
          </w:p>
        </w:tc>
        <w:tc>
          <w:tcPr>
            <w:tcW w:w="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2AB73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156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094C8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195491">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84982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3EAEA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50BE0372">
        <w:tblPrEx>
          <w:tblCellMar>
            <w:top w:w="0" w:type="dxa"/>
            <w:left w:w="0" w:type="dxa"/>
            <w:bottom w:w="0" w:type="dxa"/>
            <w:right w:w="0" w:type="dxa"/>
          </w:tblCellMar>
        </w:tblPrEx>
        <w:trPr>
          <w:trHeight w:val="625" w:hRule="atLeast"/>
        </w:trPr>
        <w:tc>
          <w:tcPr>
            <w:tcW w:w="72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D9BF0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4381"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FE542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393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34CB8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14:paraId="73809741">
        <w:tblPrEx>
          <w:tblCellMar>
            <w:top w:w="0" w:type="dxa"/>
            <w:left w:w="0" w:type="dxa"/>
            <w:bottom w:w="0" w:type="dxa"/>
            <w:right w:w="0" w:type="dxa"/>
          </w:tblCellMar>
        </w:tblPrEx>
        <w:trPr>
          <w:trHeight w:val="1823" w:hRule="atLeast"/>
        </w:trPr>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9A5B10">
            <w:pPr>
              <w:jc w:val="center"/>
              <w:rPr>
                <w:rFonts w:hint="eastAsia" w:ascii="宋体" w:hAnsi="宋体" w:eastAsia="宋体" w:cs="宋体"/>
                <w:i w:val="0"/>
                <w:color w:val="000000"/>
                <w:sz w:val="18"/>
                <w:szCs w:val="18"/>
                <w:u w:val="none"/>
              </w:rPr>
            </w:pPr>
          </w:p>
        </w:tc>
        <w:tc>
          <w:tcPr>
            <w:tcW w:w="4381"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AF0E3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项目用于我校日常公用支出，保障我单位教育教学正常开展工作正常运转，提高工作效率。</w:t>
            </w:r>
          </w:p>
        </w:tc>
        <w:tc>
          <w:tcPr>
            <w:tcW w:w="393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BC06C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项目用于我校日常公用支出，保障我单位教育教学正常开展工作正常运转，提高工作效率。</w:t>
            </w:r>
          </w:p>
        </w:tc>
      </w:tr>
      <w:tr w14:paraId="161EF66F">
        <w:tblPrEx>
          <w:tblCellMar>
            <w:top w:w="0" w:type="dxa"/>
            <w:left w:w="0" w:type="dxa"/>
            <w:bottom w:w="0" w:type="dxa"/>
            <w:right w:w="0" w:type="dxa"/>
          </w:tblCellMar>
        </w:tblPrEx>
        <w:trPr>
          <w:trHeight w:val="1224"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84D46C">
            <w:pPr>
              <w:jc w:val="center"/>
              <w:rPr>
                <w:rFonts w:hint="eastAsia" w:ascii="宋体" w:hAnsi="宋体" w:eastAsia="宋体" w:cs="宋体"/>
                <w:i w:val="0"/>
                <w:color w:val="000000"/>
                <w:sz w:val="18"/>
                <w:szCs w:val="18"/>
                <w:u w:val="none"/>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D9C10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12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7E634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1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9E65E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B7722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B6C54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5F2B63">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偏差原因分析及改进措施</w:t>
            </w:r>
          </w:p>
        </w:tc>
      </w:tr>
      <w:tr w14:paraId="7A2C48CB">
        <w:tblPrEx>
          <w:tblCellMar>
            <w:top w:w="0" w:type="dxa"/>
            <w:left w:w="0" w:type="dxa"/>
            <w:bottom w:w="0" w:type="dxa"/>
            <w:right w:w="0" w:type="dxa"/>
          </w:tblCellMar>
        </w:tblPrEx>
        <w:trPr>
          <w:trHeight w:val="625" w:hRule="atLeast"/>
        </w:trPr>
        <w:tc>
          <w:tcPr>
            <w:tcW w:w="72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B8D3C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72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09E21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12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8D85E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13AB9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经费保障人数</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44C38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≥55人</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6E371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60人</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4F375B">
            <w:pPr>
              <w:jc w:val="center"/>
            </w:pPr>
          </w:p>
        </w:tc>
      </w:tr>
      <w:tr w14:paraId="386AEE72">
        <w:tblPrEx>
          <w:tblCellMar>
            <w:top w:w="0" w:type="dxa"/>
            <w:left w:w="0" w:type="dxa"/>
            <w:bottom w:w="0" w:type="dxa"/>
            <w:right w:w="0" w:type="dxa"/>
          </w:tblCellMar>
        </w:tblPrEx>
        <w:trPr>
          <w:trHeight w:val="1224" w:hRule="atLeast"/>
        </w:trPr>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1B416D">
            <w:pPr>
              <w:jc w:val="center"/>
              <w:rPr>
                <w:rFonts w:hint="eastAsia" w:ascii="宋体" w:hAnsi="宋体" w:eastAsia="宋体" w:cs="宋体"/>
                <w:i w:val="0"/>
                <w:color w:val="000000"/>
                <w:sz w:val="18"/>
                <w:szCs w:val="18"/>
                <w:u w:val="none"/>
              </w:rPr>
            </w:pPr>
          </w:p>
        </w:tc>
        <w:tc>
          <w:tcPr>
            <w:tcW w:w="7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003001">
            <w:pPr>
              <w:jc w:val="center"/>
              <w:rPr>
                <w:rFonts w:hint="eastAsia" w:ascii="宋体" w:hAnsi="宋体" w:eastAsia="宋体" w:cs="宋体"/>
                <w:i w:val="0"/>
                <w:color w:val="000000"/>
                <w:sz w:val="18"/>
                <w:szCs w:val="18"/>
                <w:u w:val="none"/>
              </w:rPr>
            </w:pPr>
          </w:p>
        </w:tc>
        <w:tc>
          <w:tcPr>
            <w:tcW w:w="12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BDF38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1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E36D3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经费保障覆盖率</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250C9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6D624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3D1106">
            <w:pPr>
              <w:jc w:val="center"/>
            </w:pPr>
          </w:p>
        </w:tc>
      </w:tr>
      <w:tr w14:paraId="6E3F9D5B">
        <w:tblPrEx>
          <w:tblCellMar>
            <w:top w:w="0" w:type="dxa"/>
            <w:left w:w="0" w:type="dxa"/>
            <w:bottom w:w="0" w:type="dxa"/>
            <w:right w:w="0" w:type="dxa"/>
          </w:tblCellMar>
        </w:tblPrEx>
        <w:trPr>
          <w:trHeight w:val="1224" w:hRule="atLeast"/>
        </w:trPr>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B438BC">
            <w:pPr>
              <w:jc w:val="center"/>
              <w:rPr>
                <w:rFonts w:hint="eastAsia" w:ascii="宋体" w:hAnsi="宋体" w:eastAsia="宋体" w:cs="宋体"/>
                <w:i w:val="0"/>
                <w:color w:val="000000"/>
                <w:sz w:val="18"/>
                <w:szCs w:val="18"/>
                <w:u w:val="none"/>
              </w:rPr>
            </w:pPr>
          </w:p>
        </w:tc>
        <w:tc>
          <w:tcPr>
            <w:tcW w:w="7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2B60A9">
            <w:pPr>
              <w:jc w:val="center"/>
              <w:rPr>
                <w:rFonts w:hint="eastAsia" w:ascii="宋体" w:hAnsi="宋体" w:eastAsia="宋体" w:cs="宋体"/>
                <w:i w:val="0"/>
                <w:color w:val="000000"/>
                <w:sz w:val="18"/>
                <w:szCs w:val="18"/>
                <w:u w:val="none"/>
              </w:rPr>
            </w:pPr>
          </w:p>
        </w:tc>
        <w:tc>
          <w:tcPr>
            <w:tcW w:w="12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4427C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1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9FAB7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资金拨付及时率</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5E749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9FB9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832A99">
            <w:pPr>
              <w:jc w:val="center"/>
            </w:pPr>
          </w:p>
        </w:tc>
      </w:tr>
      <w:tr w14:paraId="4CB58361">
        <w:tblPrEx>
          <w:tblCellMar>
            <w:top w:w="0" w:type="dxa"/>
            <w:left w:w="0" w:type="dxa"/>
            <w:bottom w:w="0" w:type="dxa"/>
            <w:right w:w="0" w:type="dxa"/>
          </w:tblCellMar>
        </w:tblPrEx>
        <w:trPr>
          <w:trHeight w:val="1224" w:hRule="atLeast"/>
        </w:trPr>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B648B8">
            <w:pPr>
              <w:jc w:val="center"/>
              <w:rPr>
                <w:rFonts w:hint="eastAsia" w:ascii="宋体" w:hAnsi="宋体" w:eastAsia="宋体" w:cs="宋体"/>
                <w:i w:val="0"/>
                <w:color w:val="000000"/>
                <w:sz w:val="18"/>
                <w:szCs w:val="18"/>
                <w:u w:val="none"/>
              </w:rPr>
            </w:pPr>
          </w:p>
        </w:tc>
        <w:tc>
          <w:tcPr>
            <w:tcW w:w="7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654386">
            <w:pPr>
              <w:jc w:val="center"/>
              <w:rPr>
                <w:rFonts w:hint="eastAsia" w:ascii="宋体" w:hAnsi="宋体" w:eastAsia="宋体" w:cs="宋体"/>
                <w:i w:val="0"/>
                <w:color w:val="000000"/>
                <w:sz w:val="18"/>
                <w:szCs w:val="18"/>
                <w:u w:val="none"/>
              </w:rPr>
            </w:pPr>
          </w:p>
        </w:tc>
        <w:tc>
          <w:tcPr>
            <w:tcW w:w="12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3BBC5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1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78534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项目支出成本</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F317C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≤63.64万元</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AA367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63.44万元</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A7498C">
            <w:pPr>
              <w:jc w:val="center"/>
            </w:pPr>
          </w:p>
        </w:tc>
      </w:tr>
      <w:tr w14:paraId="42B86474">
        <w:tblPrEx>
          <w:tblCellMar>
            <w:top w:w="0" w:type="dxa"/>
            <w:left w:w="0" w:type="dxa"/>
            <w:bottom w:w="0" w:type="dxa"/>
            <w:right w:w="0" w:type="dxa"/>
          </w:tblCellMar>
        </w:tblPrEx>
        <w:trPr>
          <w:trHeight w:val="1150" w:hRule="atLeast"/>
        </w:trPr>
        <w:tc>
          <w:tcPr>
            <w:tcW w:w="724" w:type="dxa"/>
            <w:vMerge w:val="continue"/>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7104F3AF">
            <w:pPr>
              <w:jc w:val="center"/>
              <w:rPr>
                <w:rFonts w:hint="eastAsia" w:ascii="宋体" w:hAnsi="宋体" w:eastAsia="宋体" w:cs="宋体"/>
                <w:i w:val="0"/>
                <w:color w:val="000000"/>
                <w:sz w:val="18"/>
                <w:szCs w:val="18"/>
                <w:u w:val="none"/>
              </w:rPr>
            </w:pPr>
          </w:p>
        </w:tc>
        <w:tc>
          <w:tcPr>
            <w:tcW w:w="726" w:type="dxa"/>
            <w:vMerge w:val="restart"/>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1FE7EE34">
            <w:pPr>
              <w:jc w:val="center"/>
              <w:rPr>
                <w:rFonts w:hint="eastAsia" w:ascii="宋体" w:hAnsi="宋体" w:eastAsia="宋体" w:cs="宋体"/>
                <w:i w:val="0"/>
                <w:color w:val="000000"/>
                <w:sz w:val="18"/>
                <w:szCs w:val="18"/>
                <w:u w:val="none"/>
              </w:rPr>
            </w:pPr>
          </w:p>
        </w:tc>
        <w:tc>
          <w:tcPr>
            <w:tcW w:w="120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C4249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1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D1B95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提升教职工教研能力</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4A79D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有所提升</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356D4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有所提升</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8CCE9D">
            <w:pPr>
              <w:jc w:val="center"/>
            </w:pPr>
          </w:p>
        </w:tc>
      </w:tr>
      <w:tr w14:paraId="44C8FA71">
        <w:tblPrEx>
          <w:tblCellMar>
            <w:top w:w="0" w:type="dxa"/>
            <w:left w:w="0" w:type="dxa"/>
            <w:bottom w:w="0" w:type="dxa"/>
            <w:right w:w="0" w:type="dxa"/>
          </w:tblCellMar>
        </w:tblPrEx>
        <w:trPr>
          <w:trHeight w:val="1224" w:hRule="atLeast"/>
        </w:trPr>
        <w:tc>
          <w:tcPr>
            <w:tcW w:w="72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13ACAEFC">
            <w:pPr>
              <w:jc w:val="center"/>
              <w:rPr>
                <w:rFonts w:hint="eastAsia" w:ascii="宋体" w:hAnsi="宋体" w:eastAsia="宋体" w:cs="宋体"/>
                <w:i w:val="0"/>
                <w:color w:val="000000"/>
                <w:sz w:val="18"/>
                <w:szCs w:val="18"/>
                <w:u w:val="none"/>
              </w:rPr>
            </w:pPr>
          </w:p>
        </w:tc>
        <w:tc>
          <w:tcPr>
            <w:tcW w:w="726"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53B27168">
            <w:pPr>
              <w:jc w:val="center"/>
              <w:rPr>
                <w:rFonts w:hint="eastAsia" w:ascii="宋体" w:hAnsi="宋体" w:eastAsia="宋体" w:cs="宋体"/>
                <w:i w:val="0"/>
                <w:color w:val="000000"/>
                <w:sz w:val="18"/>
                <w:szCs w:val="18"/>
                <w:u w:val="none"/>
              </w:rPr>
            </w:pPr>
          </w:p>
        </w:tc>
        <w:tc>
          <w:tcPr>
            <w:tcW w:w="1203" w:type="dxa"/>
            <w:gridSpan w:val="2"/>
            <w:vMerge w:val="continue"/>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3B257410">
            <w:pPr>
              <w:jc w:val="center"/>
              <w:rPr>
                <w:rFonts w:hint="eastAsia" w:ascii="宋体" w:hAnsi="宋体" w:eastAsia="宋体" w:cs="宋体"/>
                <w:i w:val="0"/>
                <w:color w:val="000000"/>
                <w:sz w:val="18"/>
                <w:szCs w:val="18"/>
                <w:u w:val="none"/>
              </w:rPr>
            </w:pPr>
          </w:p>
        </w:tc>
        <w:tc>
          <w:tcPr>
            <w:tcW w:w="1327"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324204A2">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保障日常工作的正常开展</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B39055">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有所保障</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75516B">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有所保障</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E38F92">
            <w:pPr>
              <w:jc w:val="center"/>
            </w:pPr>
          </w:p>
        </w:tc>
      </w:tr>
      <w:tr w14:paraId="26F42D29">
        <w:tblPrEx>
          <w:tblCellMar>
            <w:top w:w="0" w:type="dxa"/>
            <w:left w:w="0" w:type="dxa"/>
            <w:bottom w:w="0" w:type="dxa"/>
            <w:right w:w="0" w:type="dxa"/>
          </w:tblCellMar>
        </w:tblPrEx>
        <w:trPr>
          <w:trHeight w:val="1823" w:hRule="atLeast"/>
        </w:trPr>
        <w:tc>
          <w:tcPr>
            <w:tcW w:w="72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79FF9E28">
            <w:pPr>
              <w:jc w:val="center"/>
              <w:rPr>
                <w:rFonts w:hint="eastAsia" w:ascii="宋体" w:hAnsi="宋体" w:eastAsia="宋体" w:cs="宋体"/>
                <w:i w:val="0"/>
                <w:color w:val="000000"/>
                <w:sz w:val="18"/>
                <w:szCs w:val="18"/>
                <w:u w:val="none"/>
              </w:rPr>
            </w:pPr>
          </w:p>
        </w:tc>
        <w:tc>
          <w:tcPr>
            <w:tcW w:w="726"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68E080C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1203" w:type="dxa"/>
            <w:gridSpan w:val="2"/>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7D00DD6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1327"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1FC58270">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单位使用人员满意度</w:t>
            </w:r>
          </w:p>
        </w:tc>
        <w:tc>
          <w:tcPr>
            <w:tcW w:w="11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5CFB4C19">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≥90%</w:t>
            </w:r>
          </w:p>
        </w:tc>
        <w:tc>
          <w:tcPr>
            <w:tcW w:w="990" w:type="dxa"/>
            <w:gridSpan w:val="2"/>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7BC6D5FC">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100%</w:t>
            </w:r>
          </w:p>
        </w:tc>
        <w:tc>
          <w:tcPr>
            <w:tcW w:w="294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3FD15C77">
            <w:pPr>
              <w:jc w:val="center"/>
            </w:pPr>
          </w:p>
        </w:tc>
      </w:tr>
      <w:tr w14:paraId="3084CC41">
        <w:tblPrEx>
          <w:tblCellMar>
            <w:top w:w="0" w:type="dxa"/>
            <w:left w:w="0" w:type="dxa"/>
            <w:bottom w:w="0" w:type="dxa"/>
            <w:right w:w="0" w:type="dxa"/>
          </w:tblCellMar>
        </w:tblPrEx>
        <w:trPr>
          <w:trHeight w:val="1690" w:hRule="atLeast"/>
        </w:trPr>
        <w:tc>
          <w:tcPr>
            <w:tcW w:w="9040" w:type="dxa"/>
            <w:gridSpan w:val="9"/>
            <w:tcBorders>
              <w:top w:val="nil"/>
              <w:left w:val="nil"/>
              <w:bottom w:val="nil"/>
              <w:right w:val="nil"/>
            </w:tcBorders>
            <w:shd w:val="clear" w:color="auto" w:fill="auto"/>
            <w:tcMar>
              <w:top w:w="15" w:type="dxa"/>
              <w:left w:w="15" w:type="dxa"/>
              <w:right w:w="15" w:type="dxa"/>
            </w:tcMar>
            <w:vAlign w:val="center"/>
          </w:tcPr>
          <w:p w14:paraId="10BF4D61">
            <w:pPr>
              <w:keepNext w:val="0"/>
              <w:keepLines w:val="0"/>
              <w:widowControl/>
              <w:suppressLineNumbers w:val="0"/>
              <w:jc w:val="center"/>
              <w:textAlignment w:val="center"/>
              <w:rPr>
                <w:rFonts w:hint="eastAsia" w:ascii="宋体" w:hAnsi="宋体" w:eastAsia="宋体" w:cs="宋体"/>
                <w:i w:val="0"/>
                <w:color w:val="000000"/>
                <w:sz w:val="18"/>
                <w:szCs w:val="18"/>
                <w:u w:val="none"/>
              </w:rPr>
            </w:pPr>
          </w:p>
        </w:tc>
      </w:tr>
    </w:tbl>
    <w:p w14:paraId="4C8315DD">
      <w:pPr>
        <w:pStyle w:val="2"/>
        <w:rPr>
          <w:rFonts w:hint="eastAsia" w:ascii="仿宋_GB2312" w:hAnsi="仿宋_GB2312" w:eastAsia="仿宋_GB2312" w:cs="仿宋_GB2312"/>
          <w:sz w:val="32"/>
          <w:szCs w:val="32"/>
          <w:lang w:eastAsia="zh-CN"/>
        </w:rPr>
      </w:pPr>
    </w:p>
    <w:p w14:paraId="6C05FD58"/>
    <w:p w14:paraId="51A47B97">
      <w:pPr>
        <w:keepNext w:val="0"/>
        <w:keepLines w:val="0"/>
        <w:widowControl/>
        <w:suppressLineNumbers w:val="0"/>
        <w:jc w:val="center"/>
        <w:textAlignment w:val="center"/>
        <w:rPr>
          <w:rFonts w:hint="eastAsia" w:ascii="宋体" w:hAnsi="宋体" w:eastAsia="宋体" w:cs="宋体"/>
          <w:b/>
          <w:i w:val="0"/>
          <w:color w:val="000000"/>
          <w:kern w:val="0"/>
          <w:sz w:val="32"/>
          <w:szCs w:val="32"/>
          <w:u w:val="none"/>
          <w:lang w:val="en-US" w:eastAsia="zh-CN" w:bidi="ar"/>
        </w:rPr>
      </w:pPr>
      <w:r>
        <w:rPr>
          <w:rFonts w:hint="eastAsia" w:ascii="宋体" w:hAnsi="宋体" w:eastAsia="宋体" w:cs="宋体"/>
          <w:b/>
          <w:i w:val="0"/>
          <w:color w:val="000000"/>
          <w:kern w:val="0"/>
          <w:sz w:val="32"/>
          <w:szCs w:val="32"/>
          <w:u w:val="none"/>
          <w:lang w:val="en-US" w:eastAsia="zh-CN" w:bidi="ar"/>
        </w:rPr>
        <w:br w:type="page"/>
      </w:r>
    </w:p>
    <w:p w14:paraId="2D07F798">
      <w:pPr>
        <w:pStyle w:val="2"/>
        <w:jc w:val="both"/>
        <w:rPr>
          <w:rFonts w:hint="default"/>
          <w:lang w:val="en-US" w:eastAsia="zh-CN"/>
        </w:rPr>
      </w:pPr>
    </w:p>
    <w:p w14:paraId="75DA1ED6">
      <w:pPr>
        <w:pStyle w:val="2"/>
        <w:rPr>
          <w:rFonts w:hint="default"/>
          <w:lang w:val="en-US" w:eastAsia="zh-CN"/>
        </w:rPr>
      </w:pPr>
    </w:p>
    <w:p w14:paraId="325CF8FF">
      <w:pPr>
        <w:rPr>
          <w:rFonts w:hint="default"/>
          <w:lang w:val="en-US" w:eastAsia="zh-CN"/>
        </w:rPr>
      </w:pPr>
    </w:p>
    <w:p w14:paraId="18A74752">
      <w:pPr>
        <w:pStyle w:val="2"/>
        <w:rPr>
          <w:rFonts w:hint="default"/>
          <w:lang w:val="en-US" w:eastAsia="zh-CN"/>
        </w:rPr>
      </w:pPr>
    </w:p>
    <w:p w14:paraId="37B4E99E">
      <w:pPr>
        <w:rPr>
          <w:rFonts w:hint="default"/>
          <w:lang w:val="en-US" w:eastAsia="zh-CN"/>
        </w:rPr>
      </w:pPr>
    </w:p>
    <w:p w14:paraId="14707BE6">
      <w:pPr>
        <w:pStyle w:val="2"/>
        <w:rPr>
          <w:rFonts w:hint="default"/>
          <w:lang w:val="en-US" w:eastAsia="zh-CN"/>
        </w:rPr>
      </w:pPr>
    </w:p>
    <w:p w14:paraId="1AF94B4B">
      <w:pPr>
        <w:rPr>
          <w:rFonts w:hint="default"/>
          <w:lang w:val="en-US" w:eastAsia="zh-CN"/>
        </w:rPr>
      </w:pPr>
    </w:p>
    <w:p w14:paraId="55075FF8">
      <w:pPr>
        <w:pStyle w:val="2"/>
        <w:rPr>
          <w:rFonts w:hint="default"/>
          <w:lang w:val="en-US" w:eastAsia="zh-CN"/>
        </w:rPr>
      </w:pPr>
    </w:p>
    <w:p w14:paraId="461C76C9">
      <w:pPr>
        <w:rPr>
          <w:rFonts w:hint="default"/>
          <w:lang w:val="en-US" w:eastAsia="zh-CN"/>
        </w:rPr>
      </w:pPr>
    </w:p>
    <w:p w14:paraId="33F77700">
      <w:pPr>
        <w:pStyle w:val="2"/>
        <w:rPr>
          <w:rFonts w:hint="default"/>
          <w:lang w:val="en-US" w:eastAsia="zh-CN"/>
        </w:rPr>
      </w:pPr>
    </w:p>
    <w:p w14:paraId="4381E931">
      <w:pPr>
        <w:rPr>
          <w:rFonts w:hint="default"/>
          <w:lang w:val="en-US" w:eastAsia="zh-CN"/>
        </w:rPr>
      </w:pPr>
    </w:p>
    <w:p w14:paraId="5920C985">
      <w:pPr>
        <w:pStyle w:val="2"/>
        <w:rPr>
          <w:rFonts w:hint="default"/>
          <w:lang w:val="en-US" w:eastAsia="zh-CN"/>
        </w:rPr>
      </w:pPr>
    </w:p>
    <w:p w14:paraId="48100E12">
      <w:pPr>
        <w:rPr>
          <w:rFonts w:hint="default"/>
          <w:lang w:val="en-US" w:eastAsia="zh-CN"/>
        </w:rPr>
      </w:pPr>
    </w:p>
    <w:p w14:paraId="20ED471F">
      <w:pPr>
        <w:pStyle w:val="2"/>
        <w:rPr>
          <w:rFonts w:hint="default"/>
          <w:lang w:val="en-US" w:eastAsia="zh-CN"/>
        </w:rPr>
      </w:pPr>
    </w:p>
    <w:p w14:paraId="4AE70AE0">
      <w:pPr>
        <w:rPr>
          <w:rFonts w:hint="default"/>
          <w:lang w:val="en-US" w:eastAsia="zh-CN"/>
        </w:rPr>
      </w:pPr>
    </w:p>
    <w:p w14:paraId="6A562684">
      <w:pPr>
        <w:pStyle w:val="2"/>
        <w:rPr>
          <w:rFonts w:hint="default"/>
          <w:lang w:val="en-US" w:eastAsia="zh-CN"/>
        </w:rPr>
        <w:sectPr>
          <w:footerReference r:id="rId5" w:type="default"/>
          <w:footerReference r:id="rId6" w:type="even"/>
          <w:pgSz w:w="11906" w:h="16838"/>
          <w:pgMar w:top="2098" w:right="1531" w:bottom="1985" w:left="1531" w:header="851" w:footer="992" w:gutter="0"/>
          <w:pgNumType w:fmt="numberInDash" w:start="0"/>
          <w:cols w:space="720" w:num="1"/>
          <w:docGrid w:type="lines" w:linePitch="579" w:charSpace="-1675"/>
        </w:sectPr>
      </w:pPr>
    </w:p>
    <w:p w14:paraId="7DEF365D">
      <w:pPr>
        <w:spacing w:line="600" w:lineRule="exact"/>
        <w:rPr>
          <w:rFonts w:hint="eastAsia" w:ascii="仿宋_GB2312"/>
          <w:bCs/>
          <w:sz w:val="32"/>
          <w:szCs w:val="32"/>
          <w:lang w:val="en-US" w:eastAsia="zh-CN"/>
        </w:rPr>
      </w:pPr>
      <w:r>
        <w:rPr>
          <w:rFonts w:hint="eastAsia" w:ascii="仿宋_GB2312"/>
          <w:bCs/>
          <w:sz w:val="32"/>
          <w:szCs w:val="32"/>
          <w:lang w:val="en-US" w:eastAsia="zh-CN"/>
        </w:rPr>
        <w:t>附件1</w:t>
      </w:r>
    </w:p>
    <w:p w14:paraId="673B1E0C">
      <w:pPr>
        <w:pStyle w:val="2"/>
        <w:rPr>
          <w:rFonts w:hint="default"/>
          <w:lang w:val="en-US" w:eastAsia="zh-CN"/>
        </w:rPr>
      </w:pPr>
    </w:p>
    <w:p w14:paraId="0DF40EC1"/>
    <w:p w14:paraId="59AA1A96">
      <w:pPr>
        <w:spacing w:line="540" w:lineRule="exact"/>
        <w:ind w:firstLine="640"/>
        <w:rPr>
          <w:rStyle w:val="12"/>
          <w:rFonts w:ascii="黑体" w:hAnsi="黑体" w:eastAsia="黑体"/>
          <w:bCs w:val="0"/>
          <w:spacing w:val="-4"/>
          <w:sz w:val="32"/>
          <w:szCs w:val="32"/>
        </w:rPr>
      </w:pPr>
    </w:p>
    <w:p w14:paraId="6D06999F">
      <w:pPr>
        <w:spacing w:line="540" w:lineRule="exact"/>
        <w:ind w:firstLine="640"/>
        <w:rPr>
          <w:rStyle w:val="12"/>
          <w:rFonts w:ascii="黑体" w:hAnsi="黑体" w:eastAsia="黑体"/>
          <w:bCs w:val="0"/>
          <w:spacing w:val="-4"/>
          <w:sz w:val="32"/>
          <w:szCs w:val="32"/>
        </w:rPr>
      </w:pPr>
    </w:p>
    <w:p w14:paraId="42113793">
      <w:pPr>
        <w:spacing w:line="540" w:lineRule="exact"/>
        <w:ind w:firstLine="640"/>
        <w:rPr>
          <w:rStyle w:val="12"/>
          <w:rFonts w:ascii="黑体" w:hAnsi="黑体" w:eastAsia="黑体"/>
          <w:bCs w:val="0"/>
          <w:spacing w:val="-4"/>
          <w:sz w:val="32"/>
          <w:szCs w:val="32"/>
        </w:rPr>
      </w:pPr>
    </w:p>
    <w:p w14:paraId="64789953">
      <w:pPr>
        <w:spacing w:line="540" w:lineRule="exact"/>
        <w:ind w:firstLine="640"/>
        <w:rPr>
          <w:rStyle w:val="12"/>
          <w:rFonts w:ascii="黑体" w:hAnsi="黑体" w:eastAsia="黑体"/>
          <w:bCs w:val="0"/>
          <w:spacing w:val="-4"/>
          <w:sz w:val="32"/>
          <w:szCs w:val="32"/>
        </w:rPr>
      </w:pPr>
    </w:p>
    <w:p w14:paraId="666038F3">
      <w:pPr>
        <w:spacing w:line="540" w:lineRule="exact"/>
        <w:ind w:firstLine="640"/>
        <w:rPr>
          <w:rStyle w:val="12"/>
          <w:rFonts w:ascii="黑体" w:hAnsi="黑体" w:eastAsia="黑体"/>
          <w:bCs w:val="0"/>
          <w:spacing w:val="-4"/>
          <w:sz w:val="32"/>
          <w:szCs w:val="32"/>
        </w:rPr>
      </w:pPr>
    </w:p>
    <w:p w14:paraId="20C91542">
      <w:pPr>
        <w:spacing w:line="540" w:lineRule="exact"/>
        <w:ind w:firstLine="640"/>
        <w:rPr>
          <w:rStyle w:val="12"/>
          <w:rFonts w:ascii="黑体" w:hAnsi="黑体" w:eastAsia="黑体"/>
          <w:bCs w:val="0"/>
          <w:spacing w:val="-4"/>
          <w:sz w:val="32"/>
          <w:szCs w:val="32"/>
        </w:rPr>
      </w:pPr>
    </w:p>
    <w:p w14:paraId="2B12D810">
      <w:pPr>
        <w:spacing w:line="540" w:lineRule="exact"/>
        <w:rPr>
          <w:rStyle w:val="12"/>
          <w:rFonts w:ascii="仿宋" w:hAnsi="仿宋" w:eastAsia="仿宋"/>
          <w:b w:val="0"/>
          <w:spacing w:val="-4"/>
          <w:sz w:val="32"/>
          <w:szCs w:val="32"/>
        </w:rPr>
      </w:pPr>
    </w:p>
    <w:p w14:paraId="58DC1AA8">
      <w:pPr>
        <w:spacing w:line="20" w:lineRule="atLeast"/>
        <w:contextualSpacing/>
        <w:rPr>
          <w:rFonts w:ascii="仿宋_GB2312" w:hAnsi="仿宋_GB2312" w:eastAsia="仿宋_GB2312" w:cs="仿宋_GB2312"/>
          <w:sz w:val="30"/>
          <w:szCs w:val="30"/>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7E9A051-8ACC-4118-8DF6-74004E799F3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embedRegular r:id="rId2" w:fontKey="{F4794C11-2A3B-4F67-9175-C2A3E54CE22D}"/>
  </w:font>
  <w:font w:name="华文中宋">
    <w:panose1 w:val="02010600040101010101"/>
    <w:charset w:val="86"/>
    <w:family w:val="auto"/>
    <w:pitch w:val="default"/>
    <w:sig w:usb0="00000287" w:usb1="080F0000" w:usb2="00000000" w:usb3="00000000" w:csb0="0004009F" w:csb1="DFD70000"/>
    <w:embedRegular r:id="rId3" w:fontKey="{10338A8B-7F09-48EA-9D19-31C520B6694F}"/>
  </w:font>
  <w:font w:name="方正小标宋简体">
    <w:panose1 w:val="02000000000000000000"/>
    <w:charset w:val="86"/>
    <w:family w:val="auto"/>
    <w:pitch w:val="default"/>
    <w:sig w:usb0="00000001" w:usb1="08000000" w:usb2="00000000" w:usb3="00000000" w:csb0="00040000" w:csb1="00000000"/>
    <w:embedRegular r:id="rId4" w:fontKey="{2FDF187C-6485-45D6-974D-50AD301C759D}"/>
  </w:font>
  <w:font w:name="仿宋">
    <w:panose1 w:val="02010609060101010101"/>
    <w:charset w:val="86"/>
    <w:family w:val="modern"/>
    <w:pitch w:val="default"/>
    <w:sig w:usb0="800002BF" w:usb1="38CF7CFA" w:usb2="00000016" w:usb3="00000000" w:csb0="00040001" w:csb1="00000000"/>
    <w:embedRegular r:id="rId5" w:fontKey="{809C891C-6DE3-42EB-A80A-5AE3B6343728}"/>
  </w:font>
  <w:font w:name="楷体_GB2312">
    <w:altName w:val="楷体"/>
    <w:panose1 w:val="02010609030101010101"/>
    <w:charset w:val="86"/>
    <w:family w:val="auto"/>
    <w:pitch w:val="default"/>
    <w:sig w:usb0="00000000" w:usb1="00000000" w:usb2="00000000" w:usb3="00000000" w:csb0="00040000" w:csb1="00000000"/>
    <w:embedRegular r:id="rId6" w:fontKey="{A3C1DBAD-7AFC-4D98-804F-3C9FEA2CC427}"/>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C0034A">
    <w:pPr>
      <w:pStyle w:val="7"/>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3626A5">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E3626A5">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2EFD2">
    <w:pPr>
      <w:pStyle w:val="7"/>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F8DB30">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- 0 -</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3F8DB30">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- 0 -</w:t>
                    </w:r>
                    <w:r>
                      <w:rPr>
                        <w:rFonts w:hint="eastAsia"/>
                        <w:lang w:eastAsia="zh-CN"/>
                      </w:rPr>
                      <w:fldChar w:fldCharType="end"/>
                    </w:r>
                  </w:p>
                </w:txbxContent>
              </v:textbox>
            </v:shape>
          </w:pict>
        </mc:Fallback>
      </mc:AlternateContent>
    </w:r>
  </w:p>
  <w:p w14:paraId="60F5336E">
    <w:pPr>
      <w:pStyle w:val="7"/>
      <w:ind w:right="360"/>
      <w:jc w:val="center"/>
      <w:rPr>
        <w:rFonts w:ascii="宋体" w:hAnsi="宋体" w:eastAsia="宋体"/>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96ACA9">
    <w:pPr>
      <w:pStyle w:val="7"/>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AEE762">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FAEE762">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546DB9">
    <w:pPr>
      <w:pStyle w:val="7"/>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B3C9BD">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- 0 -</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72B3C9BD">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- 0 -</w:t>
                    </w:r>
                    <w:r>
                      <w:rPr>
                        <w:rFonts w:hint="eastAsia"/>
                        <w:lang w:eastAsia="zh-CN"/>
                      </w:rPr>
                      <w:fldChar w:fldCharType="end"/>
                    </w:r>
                  </w:p>
                </w:txbxContent>
              </v:textbox>
            </v:shape>
          </w:pict>
        </mc:Fallback>
      </mc:AlternateContent>
    </w:r>
  </w:p>
  <w:p w14:paraId="02D3AEC0">
    <w:pPr>
      <w:pStyle w:val="7"/>
      <w:ind w:right="360"/>
      <w:jc w:val="center"/>
      <w:rPr>
        <w:rFonts w:ascii="宋体" w:hAnsi="宋体" w:eastAsia="宋体"/>
        <w:sz w:val="28"/>
        <w:szCs w:val="28"/>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67D328"/>
    <w:multiLevelType w:val="singleLevel"/>
    <w:tmpl w:val="B767D328"/>
    <w:lvl w:ilvl="0" w:tentative="0">
      <w:start w:val="1"/>
      <w:numFmt w:val="decimal"/>
      <w:suff w:val="nothing"/>
      <w:lvlText w:val="（%1）"/>
      <w:lvlJc w:val="left"/>
    </w:lvl>
  </w:abstractNum>
  <w:abstractNum w:abstractNumId="1">
    <w:nsid w:val="D2E7478A"/>
    <w:multiLevelType w:val="singleLevel"/>
    <w:tmpl w:val="D2E7478A"/>
    <w:lvl w:ilvl="0" w:tentative="0">
      <w:start w:val="2"/>
      <w:numFmt w:val="decimal"/>
      <w:suff w:val="nothing"/>
      <w:lvlText w:val="%1、"/>
      <w:lvlJc w:val="left"/>
    </w:lvl>
  </w:abstractNum>
  <w:abstractNum w:abstractNumId="2">
    <w:nsid w:val="DEF60FE1"/>
    <w:multiLevelType w:val="singleLevel"/>
    <w:tmpl w:val="DEF60FE1"/>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mirrorMargins w:val="1"/>
  <w:bordersDoNotSurroundHeader w:val="0"/>
  <w:bordersDoNotSurroundFooter w:val="0"/>
  <w:documentProtection w:enforcement="0"/>
  <w:defaultTabStop w:val="420"/>
  <w:evenAndOddHeaders w:val="1"/>
  <w:drawingGridHorizontalSpacing w:val="101"/>
  <w:drawingGridVerticalSpacing w:val="57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0058"/>
    <w:rsid w:val="00092390"/>
    <w:rsid w:val="000E3729"/>
    <w:rsid w:val="000F4112"/>
    <w:rsid w:val="000F4655"/>
    <w:rsid w:val="002A7207"/>
    <w:rsid w:val="002A77DA"/>
    <w:rsid w:val="00331A8D"/>
    <w:rsid w:val="003A4A46"/>
    <w:rsid w:val="003F29C1"/>
    <w:rsid w:val="00442473"/>
    <w:rsid w:val="00454000"/>
    <w:rsid w:val="004B36DB"/>
    <w:rsid w:val="00513AE4"/>
    <w:rsid w:val="00514A5E"/>
    <w:rsid w:val="00564CBE"/>
    <w:rsid w:val="0060668E"/>
    <w:rsid w:val="00607357"/>
    <w:rsid w:val="00627F92"/>
    <w:rsid w:val="006700C2"/>
    <w:rsid w:val="006B55BD"/>
    <w:rsid w:val="006B786A"/>
    <w:rsid w:val="006C323A"/>
    <w:rsid w:val="006D0058"/>
    <w:rsid w:val="006D391A"/>
    <w:rsid w:val="006D654E"/>
    <w:rsid w:val="00711352"/>
    <w:rsid w:val="00714386"/>
    <w:rsid w:val="00725034"/>
    <w:rsid w:val="007565E9"/>
    <w:rsid w:val="007C3E67"/>
    <w:rsid w:val="007D0528"/>
    <w:rsid w:val="00814029"/>
    <w:rsid w:val="008322BB"/>
    <w:rsid w:val="008771E2"/>
    <w:rsid w:val="008C1578"/>
    <w:rsid w:val="008F6E3C"/>
    <w:rsid w:val="00913A39"/>
    <w:rsid w:val="009853D6"/>
    <w:rsid w:val="009A16C4"/>
    <w:rsid w:val="009A79DA"/>
    <w:rsid w:val="00A6579F"/>
    <w:rsid w:val="00AB48DA"/>
    <w:rsid w:val="00AE7904"/>
    <w:rsid w:val="00B128D2"/>
    <w:rsid w:val="00B27295"/>
    <w:rsid w:val="00C02A83"/>
    <w:rsid w:val="00C13FD2"/>
    <w:rsid w:val="00C80AD2"/>
    <w:rsid w:val="00C97E19"/>
    <w:rsid w:val="00CC319C"/>
    <w:rsid w:val="00D21981"/>
    <w:rsid w:val="00D86537"/>
    <w:rsid w:val="00DA046F"/>
    <w:rsid w:val="00EF7D8C"/>
    <w:rsid w:val="00F3176F"/>
    <w:rsid w:val="00F93D47"/>
    <w:rsid w:val="00FA6BAA"/>
    <w:rsid w:val="00FD0443"/>
    <w:rsid w:val="01784A05"/>
    <w:rsid w:val="01914558"/>
    <w:rsid w:val="01CF00D6"/>
    <w:rsid w:val="025B3BE8"/>
    <w:rsid w:val="031E36AF"/>
    <w:rsid w:val="038A6EDE"/>
    <w:rsid w:val="0399685F"/>
    <w:rsid w:val="055139A5"/>
    <w:rsid w:val="070C54E0"/>
    <w:rsid w:val="070D0DDE"/>
    <w:rsid w:val="07552D6A"/>
    <w:rsid w:val="092642FB"/>
    <w:rsid w:val="0939518B"/>
    <w:rsid w:val="0B893605"/>
    <w:rsid w:val="0C135457"/>
    <w:rsid w:val="0C141BBC"/>
    <w:rsid w:val="0C5D51E5"/>
    <w:rsid w:val="0D29368F"/>
    <w:rsid w:val="0F4D5DFE"/>
    <w:rsid w:val="0F7530D6"/>
    <w:rsid w:val="0F8E064B"/>
    <w:rsid w:val="10581E1B"/>
    <w:rsid w:val="1145536B"/>
    <w:rsid w:val="11FD6573"/>
    <w:rsid w:val="13ED34A5"/>
    <w:rsid w:val="141B32B9"/>
    <w:rsid w:val="15DF59D6"/>
    <w:rsid w:val="15F85BAC"/>
    <w:rsid w:val="16554DB2"/>
    <w:rsid w:val="17DB2585"/>
    <w:rsid w:val="1807337A"/>
    <w:rsid w:val="183703D5"/>
    <w:rsid w:val="19242CB5"/>
    <w:rsid w:val="19733339"/>
    <w:rsid w:val="1A75199D"/>
    <w:rsid w:val="1A911D06"/>
    <w:rsid w:val="1D2C6782"/>
    <w:rsid w:val="1D684560"/>
    <w:rsid w:val="1DFA21B9"/>
    <w:rsid w:val="1F642450"/>
    <w:rsid w:val="1FD17C0C"/>
    <w:rsid w:val="201964A9"/>
    <w:rsid w:val="201A665E"/>
    <w:rsid w:val="20747316"/>
    <w:rsid w:val="20820D71"/>
    <w:rsid w:val="20C54D12"/>
    <w:rsid w:val="20CF45F1"/>
    <w:rsid w:val="21172E4E"/>
    <w:rsid w:val="235653BC"/>
    <w:rsid w:val="23710AB2"/>
    <w:rsid w:val="23D6312B"/>
    <w:rsid w:val="2542567F"/>
    <w:rsid w:val="27B97C29"/>
    <w:rsid w:val="286B6DC0"/>
    <w:rsid w:val="299440C2"/>
    <w:rsid w:val="29B55817"/>
    <w:rsid w:val="2AEC3DA1"/>
    <w:rsid w:val="2D8B7FBE"/>
    <w:rsid w:val="2D8E7843"/>
    <w:rsid w:val="2DAC5CC0"/>
    <w:rsid w:val="2DC16599"/>
    <w:rsid w:val="2E163768"/>
    <w:rsid w:val="2E75095B"/>
    <w:rsid w:val="301F6672"/>
    <w:rsid w:val="302D1B85"/>
    <w:rsid w:val="30EA7E32"/>
    <w:rsid w:val="32AA61FC"/>
    <w:rsid w:val="32F52106"/>
    <w:rsid w:val="33172B0D"/>
    <w:rsid w:val="33433B3D"/>
    <w:rsid w:val="33D51CDD"/>
    <w:rsid w:val="34800692"/>
    <w:rsid w:val="34845194"/>
    <w:rsid w:val="35182190"/>
    <w:rsid w:val="36562918"/>
    <w:rsid w:val="36E64691"/>
    <w:rsid w:val="37140406"/>
    <w:rsid w:val="394028F2"/>
    <w:rsid w:val="3AB4330E"/>
    <w:rsid w:val="3AC500C9"/>
    <w:rsid w:val="3B2C2449"/>
    <w:rsid w:val="3C1B3EE5"/>
    <w:rsid w:val="3C2B6C5E"/>
    <w:rsid w:val="3C916D75"/>
    <w:rsid w:val="3CA059BD"/>
    <w:rsid w:val="3CF92CAE"/>
    <w:rsid w:val="3D755E2F"/>
    <w:rsid w:val="3DD67D46"/>
    <w:rsid w:val="3F077EFC"/>
    <w:rsid w:val="3FD44BC9"/>
    <w:rsid w:val="3FDA4CE3"/>
    <w:rsid w:val="41196C54"/>
    <w:rsid w:val="429E23B0"/>
    <w:rsid w:val="4312091A"/>
    <w:rsid w:val="445874D8"/>
    <w:rsid w:val="44B107B8"/>
    <w:rsid w:val="44F02B2E"/>
    <w:rsid w:val="450B57D4"/>
    <w:rsid w:val="4547788F"/>
    <w:rsid w:val="456742AD"/>
    <w:rsid w:val="45B67C28"/>
    <w:rsid w:val="484676D5"/>
    <w:rsid w:val="486661A3"/>
    <w:rsid w:val="48E43BA8"/>
    <w:rsid w:val="49F671AB"/>
    <w:rsid w:val="4BCC6442"/>
    <w:rsid w:val="4BEA7161"/>
    <w:rsid w:val="4C9318D1"/>
    <w:rsid w:val="4C962BB0"/>
    <w:rsid w:val="4CA85B75"/>
    <w:rsid w:val="4DE73A20"/>
    <w:rsid w:val="4E033EF0"/>
    <w:rsid w:val="4E4310CC"/>
    <w:rsid w:val="4F777F61"/>
    <w:rsid w:val="50262313"/>
    <w:rsid w:val="516959CF"/>
    <w:rsid w:val="51E46BF3"/>
    <w:rsid w:val="522C5A2D"/>
    <w:rsid w:val="52310B39"/>
    <w:rsid w:val="52C215DB"/>
    <w:rsid w:val="52C87B95"/>
    <w:rsid w:val="54636DD4"/>
    <w:rsid w:val="55000196"/>
    <w:rsid w:val="554E71FF"/>
    <w:rsid w:val="56EA18C1"/>
    <w:rsid w:val="5742436A"/>
    <w:rsid w:val="57472B42"/>
    <w:rsid w:val="57D35B06"/>
    <w:rsid w:val="57DD7104"/>
    <w:rsid w:val="588A234B"/>
    <w:rsid w:val="58BC2193"/>
    <w:rsid w:val="59133268"/>
    <w:rsid w:val="598D63D7"/>
    <w:rsid w:val="59E536A4"/>
    <w:rsid w:val="5A313F0D"/>
    <w:rsid w:val="5A3A6E93"/>
    <w:rsid w:val="5A893083"/>
    <w:rsid w:val="5AB31D12"/>
    <w:rsid w:val="5C0A733F"/>
    <w:rsid w:val="5C1B2810"/>
    <w:rsid w:val="5C415C39"/>
    <w:rsid w:val="5D480EBA"/>
    <w:rsid w:val="5DAB2317"/>
    <w:rsid w:val="5E147AF1"/>
    <w:rsid w:val="5EF16B2E"/>
    <w:rsid w:val="5F5711C4"/>
    <w:rsid w:val="5FAD31C1"/>
    <w:rsid w:val="5FE67149"/>
    <w:rsid w:val="5FF85BDA"/>
    <w:rsid w:val="60A277B2"/>
    <w:rsid w:val="60C02DB6"/>
    <w:rsid w:val="60F50300"/>
    <w:rsid w:val="613F7866"/>
    <w:rsid w:val="61B53D20"/>
    <w:rsid w:val="61E53B58"/>
    <w:rsid w:val="62066949"/>
    <w:rsid w:val="626A07E8"/>
    <w:rsid w:val="626F22F4"/>
    <w:rsid w:val="634E63B2"/>
    <w:rsid w:val="63960F93"/>
    <w:rsid w:val="65234EF5"/>
    <w:rsid w:val="659C2052"/>
    <w:rsid w:val="66231AAF"/>
    <w:rsid w:val="66547576"/>
    <w:rsid w:val="670B15D1"/>
    <w:rsid w:val="6A2724B2"/>
    <w:rsid w:val="6B025D87"/>
    <w:rsid w:val="6B1D30DA"/>
    <w:rsid w:val="6CBA30C2"/>
    <w:rsid w:val="6D8A3547"/>
    <w:rsid w:val="6DCC6C28"/>
    <w:rsid w:val="6E280F49"/>
    <w:rsid w:val="6F6B08DC"/>
    <w:rsid w:val="702C1DD5"/>
    <w:rsid w:val="711516D2"/>
    <w:rsid w:val="71233C7C"/>
    <w:rsid w:val="716B13F9"/>
    <w:rsid w:val="71C12BD4"/>
    <w:rsid w:val="72ED352B"/>
    <w:rsid w:val="734E6B09"/>
    <w:rsid w:val="73D25B3D"/>
    <w:rsid w:val="763F446A"/>
    <w:rsid w:val="7679400C"/>
    <w:rsid w:val="769C7A31"/>
    <w:rsid w:val="779B0063"/>
    <w:rsid w:val="78C666E6"/>
    <w:rsid w:val="78FA0E91"/>
    <w:rsid w:val="79D82916"/>
    <w:rsid w:val="7B26755D"/>
    <w:rsid w:val="7CC3540F"/>
    <w:rsid w:val="7CFF243F"/>
    <w:rsid w:val="7D9A5C8C"/>
    <w:rsid w:val="7EEC36DC"/>
    <w:rsid w:val="7F8F35F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link w:val="1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qFormat/>
    <w:uiPriority w:val="99"/>
    <w:pPr>
      <w:keepNext/>
      <w:keepLines/>
      <w:spacing w:before="260" w:after="260" w:line="416" w:lineRule="auto"/>
      <w:outlineLvl w:val="2"/>
    </w:pPr>
    <w:rPr>
      <w:rFonts w:ascii="Times New Roman"/>
      <w:b/>
      <w:bCs/>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annotation text"/>
    <w:basedOn w:val="1"/>
    <w:semiHidden/>
    <w:unhideWhenUsed/>
    <w:qFormat/>
    <w:uiPriority w:val="99"/>
    <w:pPr>
      <w:jc w:val="left"/>
    </w:pPr>
  </w:style>
  <w:style w:type="paragraph" w:styleId="6">
    <w:name w:val="Balloon Text"/>
    <w:basedOn w:val="1"/>
    <w:link w:val="20"/>
    <w:semiHidden/>
    <w:unhideWhenUsed/>
    <w:qFormat/>
    <w:uiPriority w:val="99"/>
    <w:rPr>
      <w:sz w:val="18"/>
      <w:szCs w:val="18"/>
    </w:rPr>
  </w:style>
  <w:style w:type="paragraph" w:styleId="7">
    <w:name w:val="footer"/>
    <w:basedOn w:val="1"/>
    <w:link w:val="14"/>
    <w:qFormat/>
    <w:uiPriority w:val="99"/>
    <w:pPr>
      <w:tabs>
        <w:tab w:val="center" w:pos="4153"/>
        <w:tab w:val="right" w:pos="8306"/>
      </w:tabs>
      <w:snapToGrid w:val="0"/>
      <w:jc w:val="left"/>
    </w:pPr>
    <w:rPr>
      <w:rFonts w:eastAsia="黑体" w:asciiTheme="minorHAnsi" w:hAnsiTheme="minorHAnsi" w:cstheme="minorBidi"/>
      <w:sz w:val="18"/>
      <w:szCs w:val="18"/>
    </w:rPr>
  </w:style>
  <w:style w:type="paragraph" w:styleId="8">
    <w:name w:val="header"/>
    <w:basedOn w:val="1"/>
    <w:link w:val="16"/>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100" w:beforeAutospacing="1" w:after="100" w:afterAutospacing="1"/>
      <w:jc w:val="left"/>
    </w:pPr>
    <w:rPr>
      <w:kern w:val="0"/>
      <w:sz w:val="24"/>
    </w:rPr>
  </w:style>
  <w:style w:type="character" w:styleId="12">
    <w:name w:val="Strong"/>
    <w:basedOn w:val="11"/>
    <w:qFormat/>
    <w:uiPriority w:val="0"/>
    <w:rPr>
      <w:b/>
      <w:bCs/>
    </w:rPr>
  </w:style>
  <w:style w:type="character" w:customStyle="1" w:styleId="13">
    <w:name w:val="页脚 Char"/>
    <w:link w:val="7"/>
    <w:qFormat/>
    <w:uiPriority w:val="99"/>
    <w:rPr>
      <w:rFonts w:eastAsia="黑体"/>
      <w:sz w:val="18"/>
      <w:szCs w:val="18"/>
    </w:rPr>
  </w:style>
  <w:style w:type="character" w:customStyle="1" w:styleId="14">
    <w:name w:val="页脚 Char1"/>
    <w:basedOn w:val="11"/>
    <w:link w:val="7"/>
    <w:semiHidden/>
    <w:qFormat/>
    <w:uiPriority w:val="99"/>
    <w:rPr>
      <w:rFonts w:ascii="Calibri" w:hAnsi="Calibri" w:eastAsia="宋体" w:cs="Times New Roman"/>
      <w:sz w:val="18"/>
      <w:szCs w:val="18"/>
    </w:rPr>
  </w:style>
  <w:style w:type="paragraph" w:styleId="15">
    <w:name w:val="List Paragraph"/>
    <w:basedOn w:val="1"/>
    <w:link w:val="18"/>
    <w:qFormat/>
    <w:uiPriority w:val="99"/>
    <w:pPr>
      <w:ind w:firstLine="420" w:firstLineChars="200"/>
    </w:pPr>
  </w:style>
  <w:style w:type="character" w:customStyle="1" w:styleId="16">
    <w:name w:val="页眉 Char"/>
    <w:basedOn w:val="11"/>
    <w:link w:val="8"/>
    <w:semiHidden/>
    <w:qFormat/>
    <w:uiPriority w:val="99"/>
    <w:rPr>
      <w:rFonts w:ascii="Calibri" w:hAnsi="Calibri" w:eastAsia="宋体" w:cs="Times New Roman"/>
      <w:kern w:val="2"/>
      <w:sz w:val="18"/>
      <w:szCs w:val="18"/>
    </w:rPr>
  </w:style>
  <w:style w:type="character" w:customStyle="1" w:styleId="17">
    <w:name w:val="标题 2 Char"/>
    <w:basedOn w:val="11"/>
    <w:link w:val="3"/>
    <w:qFormat/>
    <w:uiPriority w:val="9"/>
    <w:rPr>
      <w:rFonts w:asciiTheme="majorHAnsi" w:hAnsiTheme="majorHAnsi" w:eastAsiaTheme="majorEastAsia" w:cstheme="majorBidi"/>
      <w:b/>
      <w:bCs/>
      <w:kern w:val="2"/>
      <w:sz w:val="32"/>
      <w:szCs w:val="32"/>
    </w:rPr>
  </w:style>
  <w:style w:type="character" w:customStyle="1" w:styleId="18">
    <w:name w:val="列出段落 Char"/>
    <w:link w:val="15"/>
    <w:qFormat/>
    <w:locked/>
    <w:uiPriority w:val="99"/>
    <w:rPr>
      <w:rFonts w:ascii="Calibri" w:hAnsi="Calibri" w:eastAsia="宋体" w:cs="Times New Roman"/>
      <w:kern w:val="2"/>
      <w:sz w:val="21"/>
      <w:szCs w:val="24"/>
    </w:rPr>
  </w:style>
  <w:style w:type="paragraph" w:customStyle="1" w:styleId="19">
    <w:name w:val="闻政-正文段落文字"/>
    <w:basedOn w:val="1"/>
    <w:qFormat/>
    <w:uiPriority w:val="3"/>
    <w:pPr>
      <w:spacing w:line="500" w:lineRule="exact"/>
      <w:ind w:firstLine="200"/>
    </w:pPr>
    <w:rPr>
      <w:rFonts w:ascii="Times New Roman" w:hAnsi="Times New Roman" w:eastAsiaTheme="minorEastAsia"/>
      <w:kern w:val="0"/>
      <w:szCs w:val="28"/>
    </w:rPr>
  </w:style>
  <w:style w:type="character" w:customStyle="1" w:styleId="20">
    <w:name w:val="批注框文本 Char"/>
    <w:basedOn w:val="11"/>
    <w:link w:val="6"/>
    <w:semiHidden/>
    <w:qFormat/>
    <w:uiPriority w:val="99"/>
    <w:rPr>
      <w:rFonts w:ascii="Calibri" w:hAnsi="Calibri" w:eastAsia="宋体" w:cs="Times New Roman"/>
      <w:kern w:val="2"/>
      <w:sz w:val="18"/>
      <w:szCs w:val="18"/>
    </w:rPr>
  </w:style>
  <w:style w:type="paragraph" w:customStyle="1" w:styleId="21">
    <w:name w:val="WPSOffice手动目录 1"/>
    <w:qFormat/>
    <w:uiPriority w:val="0"/>
    <w:pPr>
      <w:ind w:leftChars="0"/>
    </w:pPr>
    <w:rPr>
      <w:rFonts w:ascii="Times New Roman" w:hAnsi="Times New Roman" w:eastAsia="宋体" w:cs="Times New Roman"/>
      <w:sz w:val="20"/>
      <w:szCs w:val="20"/>
    </w:rPr>
  </w:style>
  <w:style w:type="character" w:customStyle="1" w:styleId="22">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21</Pages>
  <Words>6522</Words>
  <Characters>7063</Characters>
  <Lines>60</Lines>
  <Paragraphs>17</Paragraphs>
  <TotalTime>2</TotalTime>
  <ScaleCrop>false</ScaleCrop>
  <LinksUpToDate>false</LinksUpToDate>
  <CharactersWithSpaces>7093</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2020-03-25T11:26:00Z</dcterms:created>
  <dc:creator>颜娜</dc:creator>
  <cp:lastModifiedBy>周而</cp:lastModifiedBy>
  <cp:lastPrinted>2020-04-23T05:07:00Z</cp:lastPrinted>
  <dcterms:modified xsi:type="dcterms:W3CDTF">2025-09-02T10:27:19Z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KSOSaveFontToCloudKey">
    <vt:lpwstr>1174200665_cloud</vt:lpwstr>
  </property>
  <property fmtid="{D5CDD505-2E9C-101B-9397-08002B2CF9AE}" pid="4" name="ICV">
    <vt:lpwstr>78C6C411A6DB40AF84480DDFFB584E2C</vt:lpwstr>
  </property>
  <property fmtid="{D5CDD505-2E9C-101B-9397-08002B2CF9AE}" pid="5" name="KSOTemplateDocerSaveRecord">
    <vt:lpwstr>eyJoZGlkIjoiN2VjMGM4YTNmZTY1NDFjMWFjNmVmZmU0NDA2ZTk0ZmMiLCJ1c2VySWQiOiI4NjI1NDMxNDkifQ==</vt:lpwstr>
  </property>
</Properties>
</file>