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contextualSpacing/>
        <w:jc w:val="center"/>
        <w:rPr>
          <w:rFonts w:hint="eastAsia" w:ascii="仿宋_GB2312" w:hAnsi="仿宋_GB2312" w:eastAsia="仿宋_GB2312" w:cs="仿宋_GB2312"/>
          <w:b/>
          <w:bCs/>
          <w:color w:val="auto"/>
          <w:sz w:val="44"/>
          <w:szCs w:val="44"/>
          <w:highlight w:val="none"/>
        </w:rPr>
      </w:pPr>
    </w:p>
    <w:p>
      <w:pPr>
        <w:spacing w:line="500" w:lineRule="exact"/>
        <w:contextualSpacing/>
        <w:jc w:val="center"/>
        <w:rPr>
          <w:rFonts w:hint="eastAsia" w:ascii="仿宋_GB2312" w:hAnsi="仿宋_GB2312" w:eastAsia="仿宋_GB2312" w:cs="仿宋_GB2312"/>
          <w:b/>
          <w:bCs/>
          <w:color w:val="auto"/>
          <w:sz w:val="44"/>
          <w:szCs w:val="44"/>
          <w:highlight w:val="none"/>
        </w:rPr>
      </w:pPr>
    </w:p>
    <w:p>
      <w:pPr>
        <w:spacing w:line="500" w:lineRule="exact"/>
        <w:jc w:val="center"/>
        <w:rPr>
          <w:rFonts w:hint="eastAsia" w:ascii="仿宋_GB2312" w:hAnsi="仿宋_GB2312" w:eastAsia="仿宋_GB2312" w:cs="仿宋_GB2312"/>
          <w:b/>
          <w:color w:val="auto"/>
          <w:kern w:val="0"/>
          <w:sz w:val="48"/>
          <w:szCs w:val="48"/>
          <w:highlight w:val="none"/>
        </w:rPr>
      </w:pPr>
      <w:r>
        <w:rPr>
          <w:rFonts w:hint="eastAsia" w:ascii="仿宋_GB2312" w:hAnsi="仿宋_GB2312" w:eastAsia="仿宋_GB2312" w:cs="仿宋_GB2312"/>
          <w:b/>
          <w:color w:val="auto"/>
          <w:kern w:val="0"/>
          <w:sz w:val="48"/>
          <w:szCs w:val="48"/>
          <w:highlight w:val="none"/>
        </w:rPr>
        <w:t>塔城地区关心下一代工作委员会办公经费</w:t>
      </w:r>
      <w:r>
        <w:rPr>
          <w:rFonts w:hint="eastAsia" w:ascii="仿宋_GB2312" w:hAnsi="仿宋_GB2312" w:eastAsia="仿宋_GB2312" w:cs="仿宋_GB2312"/>
          <w:b/>
          <w:color w:val="auto"/>
          <w:kern w:val="0"/>
          <w:sz w:val="48"/>
          <w:szCs w:val="48"/>
          <w:highlight w:val="none"/>
          <w:lang w:val="en-US" w:eastAsia="zh-CN"/>
        </w:rPr>
        <w:t>项目</w:t>
      </w:r>
      <w:r>
        <w:rPr>
          <w:rFonts w:hint="eastAsia" w:ascii="仿宋_GB2312" w:hAnsi="仿宋_GB2312" w:eastAsia="仿宋_GB2312" w:cs="仿宋_GB2312"/>
          <w:b/>
          <w:color w:val="auto"/>
          <w:kern w:val="0"/>
          <w:sz w:val="48"/>
          <w:szCs w:val="48"/>
          <w:highlight w:val="none"/>
        </w:rPr>
        <w:t xml:space="preserve">支出绩效评价报告 </w:t>
      </w: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p>
    <w:p>
      <w:pPr>
        <w:spacing w:line="500" w:lineRule="exact"/>
        <w:contextualSpacing/>
        <w:rPr>
          <w:rFonts w:hint="eastAsia" w:ascii="仿宋_GB2312" w:hAnsi="仿宋_GB2312" w:eastAsia="仿宋_GB2312" w:cs="仿宋_GB2312"/>
          <w:color w:val="auto"/>
          <w:sz w:val="32"/>
          <w:szCs w:val="32"/>
          <w:highlight w:val="none"/>
        </w:rPr>
      </w:pPr>
    </w:p>
    <w:p>
      <w:pPr>
        <w:spacing w:line="500" w:lineRule="exact"/>
        <w:contextualSpacing/>
        <w:rPr>
          <w:rFonts w:hint="eastAsia" w:ascii="仿宋_GB2312" w:hAnsi="仿宋_GB2312" w:eastAsia="仿宋_GB2312" w:cs="仿宋_GB2312"/>
          <w:color w:val="auto"/>
          <w:sz w:val="32"/>
          <w:szCs w:val="32"/>
          <w:highlight w:val="none"/>
        </w:rPr>
      </w:pPr>
    </w:p>
    <w:p>
      <w:pPr>
        <w:spacing w:line="500" w:lineRule="exact"/>
        <w:contextualSpacing/>
        <w:rPr>
          <w:rFonts w:hint="eastAsia" w:ascii="仿宋_GB2312" w:hAnsi="仿宋_GB2312" w:eastAsia="仿宋_GB2312" w:cs="仿宋_GB2312"/>
          <w:color w:val="auto"/>
          <w:sz w:val="32"/>
          <w:szCs w:val="32"/>
          <w:highlight w:val="none"/>
        </w:rPr>
      </w:pPr>
    </w:p>
    <w:p>
      <w:pPr>
        <w:spacing w:line="500" w:lineRule="exact"/>
        <w:contextualSpacing/>
        <w:rPr>
          <w:rFonts w:hint="eastAsia" w:ascii="仿宋_GB2312" w:hAnsi="仿宋_GB2312" w:eastAsia="仿宋_GB2312" w:cs="仿宋_GB2312"/>
          <w:color w:val="auto"/>
          <w:sz w:val="32"/>
          <w:szCs w:val="32"/>
          <w:highlight w:val="none"/>
        </w:rPr>
      </w:pP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p>
    <w:p>
      <w:pPr>
        <w:spacing w:line="500" w:lineRule="exact"/>
        <w:contextualSpacing/>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项目名称：塔城地区关心下一代工作委员会办公经费</w:t>
      </w: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项目实施单位：塔城地委老干部局</w:t>
      </w: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单位负责人：吾尔坎</w:t>
      </w: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项目负责人：张晓燕</w:t>
      </w:r>
    </w:p>
    <w:p>
      <w:pPr>
        <w:spacing w:line="500" w:lineRule="exact"/>
        <w:ind w:firstLine="1280" w:firstLineChars="400"/>
        <w:contextualSpacing/>
        <w:rPr>
          <w:rFonts w:hint="eastAsia" w:ascii="仿宋_GB2312" w:hAnsi="仿宋_GB2312" w:eastAsia="仿宋_GB2312" w:cs="仿宋_GB2312"/>
          <w:color w:val="auto"/>
          <w:sz w:val="32"/>
          <w:szCs w:val="32"/>
          <w:highlight w:val="none"/>
        </w:rPr>
      </w:pPr>
    </w:p>
    <w:p>
      <w:pPr>
        <w:spacing w:line="500" w:lineRule="exact"/>
        <w:contextualSpacing/>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二〇二一年四月</w:t>
      </w:r>
    </w:p>
    <w:p>
      <w:pPr>
        <w:pStyle w:val="16"/>
        <w:snapToGrid w:val="0"/>
        <w:spacing w:line="500" w:lineRule="exact"/>
        <w:ind w:left="648" w:firstLine="0" w:firstLineChars="0"/>
        <w:rPr>
          <w:rFonts w:hint="eastAsia" w:ascii="仿宋_GB2312" w:hAnsi="仿宋_GB2312" w:eastAsia="仿宋_GB2312" w:cs="仿宋_GB2312"/>
          <w:bCs/>
          <w:color w:val="auto"/>
          <w:kern w:val="2"/>
          <w:sz w:val="32"/>
          <w:szCs w:val="32"/>
          <w:highlight w:val="none"/>
        </w:rPr>
      </w:pPr>
    </w:p>
    <w:p>
      <w:pPr>
        <w:pStyle w:val="16"/>
        <w:snapToGrid w:val="0"/>
        <w:spacing w:line="500" w:lineRule="exact"/>
        <w:ind w:left="648" w:firstLine="0" w:firstLineChars="0"/>
        <w:rPr>
          <w:rFonts w:hint="eastAsia" w:ascii="仿宋_GB2312" w:hAnsi="仿宋_GB2312" w:eastAsia="仿宋_GB2312" w:cs="仿宋_GB2312"/>
          <w:bCs/>
          <w:color w:val="auto"/>
          <w:kern w:val="2"/>
          <w:sz w:val="32"/>
          <w:szCs w:val="32"/>
          <w:highlight w:val="none"/>
        </w:rPr>
      </w:pPr>
    </w:p>
    <w:p>
      <w:pPr>
        <w:pStyle w:val="16"/>
        <w:snapToGrid w:val="0"/>
        <w:spacing w:line="500" w:lineRule="exact"/>
        <w:ind w:left="648" w:firstLine="0" w:firstLineChars="0"/>
        <w:rPr>
          <w:rFonts w:hint="eastAsia" w:ascii="仿宋_GB2312" w:hAnsi="仿宋_GB2312" w:eastAsia="仿宋_GB2312" w:cs="仿宋_GB2312"/>
          <w:bCs/>
          <w:color w:val="auto"/>
          <w:kern w:val="2"/>
          <w:sz w:val="32"/>
          <w:szCs w:val="32"/>
          <w:highlight w:val="none"/>
        </w:rPr>
      </w:pPr>
    </w:p>
    <w:p>
      <w:pPr>
        <w:spacing w:line="500" w:lineRule="exact"/>
        <w:ind w:firstLine="640" w:firstLineChars="200"/>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一、基本情况</w:t>
      </w:r>
    </w:p>
    <w:p>
      <w:pPr>
        <w:spacing w:line="500" w:lineRule="exact"/>
        <w:ind w:firstLine="641"/>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（一）项目概况</w:t>
      </w:r>
    </w:p>
    <w:p>
      <w:pPr>
        <w:spacing w:line="500" w:lineRule="exact"/>
        <w:ind w:firstLine="641"/>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1、项目背景</w:t>
      </w:r>
    </w:p>
    <w:p>
      <w:pPr>
        <w:pStyle w:val="2"/>
        <w:spacing w:before="0" w:after="0" w:line="500" w:lineRule="exact"/>
        <w:ind w:firstLine="640" w:firstLineChars="200"/>
        <w:jc w:val="left"/>
        <w:rPr>
          <w:rFonts w:hint="eastAsia" w:ascii="仿宋_GB2312" w:hAnsi="仿宋_GB2312" w:eastAsia="仿宋_GB2312" w:cs="仿宋_GB2312"/>
          <w:b w:val="0"/>
          <w:color w:val="auto"/>
          <w:kern w:val="2"/>
          <w:highlight w:val="none"/>
        </w:rPr>
      </w:pPr>
      <w:r>
        <w:rPr>
          <w:rFonts w:hint="eastAsia" w:ascii="仿宋_GB2312" w:hAnsi="仿宋_GB2312" w:eastAsia="仿宋_GB2312" w:cs="仿宋_GB2312"/>
          <w:b w:val="0"/>
          <w:bCs w:val="0"/>
          <w:color w:val="auto"/>
          <w:kern w:val="0"/>
          <w:highlight w:val="none"/>
        </w:rPr>
        <w:t>根据</w:t>
      </w:r>
      <w:r>
        <w:rPr>
          <w:rFonts w:hint="eastAsia" w:ascii="仿宋_GB2312" w:hAnsi="仿宋_GB2312" w:eastAsia="仿宋_GB2312" w:cs="仿宋_GB2312"/>
          <w:b w:val="0"/>
          <w:bCs w:val="0"/>
          <w:color w:val="auto"/>
          <w:kern w:val="0"/>
          <w:highlight w:val="none"/>
          <w:lang w:eastAsia="zh-CN"/>
        </w:rPr>
        <w:t>“三定”编制方案等文件</w:t>
      </w:r>
      <w:r>
        <w:rPr>
          <w:rFonts w:hint="eastAsia" w:ascii="仿宋_GB2312" w:hAnsi="仿宋_GB2312" w:eastAsia="仿宋_GB2312" w:cs="仿宋_GB2312"/>
          <w:b w:val="0"/>
          <w:bCs w:val="0"/>
          <w:color w:val="auto"/>
          <w:kern w:val="0"/>
          <w:highlight w:val="none"/>
        </w:rPr>
        <w:t>设定此项目。</w:t>
      </w:r>
      <w:r>
        <w:rPr>
          <w:rFonts w:hint="eastAsia" w:ascii="仿宋_GB2312" w:hAnsi="仿宋_GB2312" w:eastAsia="仿宋_GB2312" w:cs="仿宋_GB2312"/>
          <w:b w:val="0"/>
          <w:bCs w:val="0"/>
          <w:color w:val="auto"/>
          <w:kern w:val="2"/>
          <w:highlight w:val="none"/>
        </w:rPr>
        <w:t>资金主要由财政拨付地区关心下一代工作委员会办公费15万元，无其他自筹资金。</w:t>
      </w:r>
    </w:p>
    <w:p>
      <w:pPr>
        <w:numPr>
          <w:ilvl w:val="0"/>
          <w:numId w:val="1"/>
        </w:numPr>
        <w:spacing w:line="500" w:lineRule="exact"/>
        <w:ind w:firstLine="641"/>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项目主要内容及实施情况</w:t>
      </w:r>
    </w:p>
    <w:p>
      <w:pPr>
        <w:spacing w:line="5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项目主要内容：</w:t>
      </w:r>
      <w:r>
        <w:rPr>
          <w:rFonts w:hint="eastAsia" w:ascii="仿宋_GB2312" w:hAnsi="仿宋_GB2312" w:eastAsia="仿宋_GB2312" w:cs="仿宋_GB2312"/>
          <w:color w:val="auto"/>
          <w:sz w:val="32"/>
          <w:szCs w:val="32"/>
          <w:highlight w:val="none"/>
          <w:lang w:eastAsia="zh-CN"/>
        </w:rPr>
        <w:t>地</w:t>
      </w:r>
      <w:bookmarkStart w:id="1" w:name="_GoBack"/>
      <w:bookmarkEnd w:id="1"/>
      <w:r>
        <w:rPr>
          <w:rFonts w:hint="eastAsia" w:ascii="仿宋_GB2312" w:hAnsi="仿宋_GB2312" w:eastAsia="仿宋_GB2312" w:cs="仿宋_GB2312"/>
          <w:color w:val="auto"/>
          <w:sz w:val="32"/>
          <w:szCs w:val="32"/>
          <w:highlight w:val="none"/>
        </w:rPr>
        <w:t>区关心下一代工作委员会办公费实际使用15万元，主要用于贯彻落实中国关工委、自治区关工委工作会议精神，充分发挥“五老”优势，通过深入5县2市开展社会主义核心价值观教育、法制进校园、民族团结教育等宣讲活动，</w:t>
      </w:r>
      <w:r>
        <w:rPr>
          <w:rFonts w:hint="eastAsia" w:ascii="仿宋_GB2312" w:hAnsi="仿宋_GB2312" w:eastAsia="仿宋_GB2312" w:cs="仿宋_GB2312"/>
          <w:bCs/>
          <w:color w:val="auto"/>
          <w:sz w:val="32"/>
          <w:szCs w:val="32"/>
          <w:highlight w:val="none"/>
        </w:rPr>
        <w:t>以全面提高青少年的思想道德素质、科学文化素质和健康素质为基本目标，加强未成年人思想道德建设，培养有理想、有道德、有文化、有纪律的德、智、体、美全面发展的中国特色社会主义事业建设者和接班人。</w:t>
      </w:r>
    </w:p>
    <w:p>
      <w:pPr>
        <w:spacing w:line="500" w:lineRule="exact"/>
        <w:ind w:firstLine="64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500" w:lineRule="exact"/>
        <w:ind w:firstLine="579" w:firstLineChars="181"/>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本项目总投资15万元，其中：财政本级资金15万元。项目实际支出8.5</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万元，支出率为57%。</w:t>
      </w:r>
    </w:p>
    <w:p>
      <w:pPr>
        <w:spacing w:line="500" w:lineRule="exact"/>
        <w:ind w:firstLine="641"/>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3、资金投入和使用情况</w:t>
      </w:r>
    </w:p>
    <w:p>
      <w:pPr>
        <w:spacing w:line="500" w:lineRule="exact"/>
        <w:ind w:firstLine="641"/>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32"/>
          <w:szCs w:val="32"/>
          <w:highlight w:val="none"/>
        </w:rPr>
        <w:t>（1）资金安排</w:t>
      </w:r>
    </w:p>
    <w:p>
      <w:pPr>
        <w:spacing w:line="500" w:lineRule="exact"/>
        <w:ind w:firstLine="579" w:firstLineChars="181"/>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总投资15万元，按照相关规定，资金支出符合专项资金费用范围，做到了专款专用。在项目资金拨付和使用过程中，为确保项目资金的安全性，提高项目资金使用效率，严格遵循资金的拨付程序，认真审核项目实施各阶段的相关材料和手续，根据项目实施进展情况拨付资金。</w:t>
      </w:r>
    </w:p>
    <w:p>
      <w:pPr>
        <w:spacing w:line="500" w:lineRule="exact"/>
        <w:ind w:firstLine="641"/>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（2）预算资金来源及使用情况</w:t>
      </w:r>
      <w:bookmarkStart w:id="0" w:name="page10"/>
      <w:bookmarkEnd w:id="0"/>
    </w:p>
    <w:p>
      <w:pPr>
        <w:spacing w:line="500" w:lineRule="exact"/>
        <w:ind w:firstLine="579" w:firstLineChars="181"/>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项目预算资金来源于塔地财预文件中批复的资金，项目资金到位15万元，实际支出8.5万元，用于支付项目实施进程中的各项费用。</w:t>
      </w:r>
    </w:p>
    <w:p>
      <w:pPr>
        <w:pStyle w:val="16"/>
        <w:snapToGrid w:val="0"/>
        <w:spacing w:line="500" w:lineRule="exact"/>
        <w:ind w:left="648" w:firstLine="0" w:firstLineChars="0"/>
        <w:rPr>
          <w:rFonts w:hint="eastAsia" w:ascii="黑体" w:hAnsi="黑体" w:eastAsia="黑体" w:cs="黑体"/>
          <w:bCs/>
          <w:color w:val="auto"/>
          <w:kern w:val="2"/>
          <w:sz w:val="32"/>
          <w:szCs w:val="32"/>
          <w:highlight w:val="none"/>
        </w:rPr>
      </w:pPr>
      <w:r>
        <w:rPr>
          <w:rFonts w:hint="eastAsia" w:ascii="黑体" w:hAnsi="黑体" w:eastAsia="黑体" w:cs="黑体"/>
          <w:bCs/>
          <w:color w:val="auto"/>
          <w:kern w:val="2"/>
          <w:sz w:val="32"/>
          <w:szCs w:val="32"/>
          <w:highlight w:val="none"/>
        </w:rPr>
        <w:t>二、绩效评价工作开展情况</w:t>
      </w:r>
    </w:p>
    <w:p>
      <w:pPr>
        <w:spacing w:line="500" w:lineRule="exact"/>
        <w:ind w:firstLine="641"/>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（一）绩效评价目的、对象和范围</w:t>
      </w:r>
    </w:p>
    <w:p>
      <w:pPr>
        <w:spacing w:line="50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rPr>
        <w:t>绩效评价目的：</w:t>
      </w:r>
    </w:p>
    <w:p>
      <w:pPr>
        <w:spacing w:line="500" w:lineRule="exact"/>
        <w:ind w:firstLine="64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32"/>
          <w:szCs w:val="32"/>
          <w:highlight w:val="none"/>
        </w:rPr>
        <w:t>通过充分发挥“五老”优势，深入全地区5县2市开展社会主义核心价值观教育、法制进校园、民族团结等主题教育活动内容，使各族师生、机关干部职工、边远乡镇农牧民深刻领会习近平新时代中国特色社会主义思想，提高聚焦总目标意识发挥积极作用。</w:t>
      </w:r>
    </w:p>
    <w:p>
      <w:pPr>
        <w:numPr>
          <w:ilvl w:val="0"/>
          <w:numId w:val="0"/>
        </w:numPr>
        <w:spacing w:line="500" w:lineRule="exact"/>
        <w:ind w:firstLine="643" w:firstLineChars="200"/>
        <w:contextualSpacing/>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rPr>
        <w:t>绩效评价对象：</w:t>
      </w:r>
    </w:p>
    <w:p>
      <w:pPr>
        <w:numPr>
          <w:ilvl w:val="0"/>
          <w:numId w:val="0"/>
        </w:numPr>
        <w:spacing w:line="500" w:lineRule="exact"/>
        <w:ind w:firstLine="640" w:firstLineChars="200"/>
        <w:contextualSpacing/>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塔城地区关心下一代工作委员会办公经费项目。</w:t>
      </w:r>
    </w:p>
    <w:p>
      <w:pPr>
        <w:numPr>
          <w:ilvl w:val="0"/>
          <w:numId w:val="0"/>
        </w:numPr>
        <w:spacing w:line="50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rPr>
        <w:t>绩效评价范围：</w:t>
      </w:r>
    </w:p>
    <w:p>
      <w:pPr>
        <w:numPr>
          <w:ilvl w:val="0"/>
          <w:numId w:val="0"/>
        </w:numPr>
        <w:spacing w:line="5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通过深入基层开展关心下一代工作调研，了解掌握在新形势下基层开展关心下一代工作情况，为</w:t>
      </w:r>
      <w:r>
        <w:rPr>
          <w:rFonts w:hint="eastAsia" w:ascii="仿宋_GB2312" w:hAnsi="仿宋_GB2312" w:eastAsia="仿宋_GB2312" w:cs="仿宋_GB2312"/>
          <w:bCs/>
          <w:color w:val="auto"/>
          <w:sz w:val="32"/>
          <w:szCs w:val="32"/>
          <w:highlight w:val="none"/>
        </w:rPr>
        <w:t>进一步提高青少年的思想道德素质、科学文化素质和健康素质，加强未成年人思想道德建设，努力培养有理想、有道德、有文化、有纪律的德、智、体、美全面发展的中国特色社会主义事业建设者和接班人打下坚实的基础。</w:t>
      </w:r>
    </w:p>
    <w:p>
      <w:pPr>
        <w:spacing w:line="500" w:lineRule="exact"/>
        <w:ind w:firstLine="641"/>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（二）绩效评价原则、评价指标体系（附表说明）、评价方法、评价标准等。</w:t>
      </w:r>
    </w:p>
    <w:p>
      <w:pPr>
        <w:spacing w:line="500" w:lineRule="exact"/>
        <w:ind w:firstLine="643" w:firstLineChars="200"/>
        <w:contextualSpacing/>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1、绩效评价原则</w:t>
      </w: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以遵循“科学公正、统筹兼顾、激励约束、公开透明”为原则；</w:t>
      </w: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（1）科学公正。绩效评价应当运用科学合理的方法，按照规范的程序，对项目绩效进行客观、公正的反映。</w:t>
      </w: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（2）统筹兼顾。单位自评、部门评价和财政评价应职责明确，各有侧重，相互衔接。</w:t>
      </w: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（3）激励约束。绩效评价结果应与预算安排、政策调整、改进管理实质性挂钩，体现奖优罚劣和激励相容导向，有效要安排、低效要压减、无效要问责。</w:t>
      </w: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（4）公开透明。绩效评价结果应依法依规公开，并自觉接受社会监督。</w:t>
      </w:r>
    </w:p>
    <w:p>
      <w:pPr>
        <w:spacing w:line="500" w:lineRule="exact"/>
        <w:ind w:firstLine="643" w:firstLineChars="200"/>
        <w:contextualSpacing/>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2、评价指标体系</w:t>
      </w: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指标体系主要分为共性指标和个性指标两大类。共性指标下设决策与过程2个一级指标，其中：决策下设绩效目标、项目决策和资金投入3个二级指标；过程下设资金管理、组织实施2个二级指标。个性指标下设产出、效益2个一级指标。项目绩效评价指标体系详见下表：</w:t>
      </w:r>
    </w:p>
    <w:tbl>
      <w:tblPr>
        <w:tblStyle w:val="9"/>
        <w:tblW w:w="8942" w:type="dxa"/>
        <w:tblInd w:w="0" w:type="dxa"/>
        <w:tblLayout w:type="fixed"/>
        <w:tblCellMar>
          <w:top w:w="0" w:type="dxa"/>
          <w:left w:w="0" w:type="dxa"/>
          <w:bottom w:w="0" w:type="dxa"/>
          <w:right w:w="0" w:type="dxa"/>
        </w:tblCellMar>
      </w:tblPr>
      <w:tblGrid>
        <w:gridCol w:w="990"/>
        <w:gridCol w:w="520"/>
        <w:gridCol w:w="1200"/>
        <w:gridCol w:w="960"/>
        <w:gridCol w:w="912"/>
        <w:gridCol w:w="3330"/>
        <w:gridCol w:w="1030"/>
      </w:tblGrid>
      <w:tr>
        <w:tblPrEx>
          <w:tblCellMar>
            <w:top w:w="0" w:type="dxa"/>
            <w:left w:w="0" w:type="dxa"/>
            <w:bottom w:w="0" w:type="dxa"/>
            <w:right w:w="0" w:type="dxa"/>
          </w:tblCellMar>
        </w:tblPrEx>
        <w:trPr>
          <w:trHeight w:val="347"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一级指标</w:t>
            </w:r>
          </w:p>
        </w:tc>
        <w:tc>
          <w:tcPr>
            <w:tcW w:w="5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分值</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二级指标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分值</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三级指标</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分值</w:t>
            </w:r>
          </w:p>
        </w:tc>
      </w:tr>
      <w:tr>
        <w:tblPrEx>
          <w:tblCellMar>
            <w:top w:w="0" w:type="dxa"/>
            <w:left w:w="0" w:type="dxa"/>
            <w:bottom w:w="0" w:type="dxa"/>
            <w:right w:w="0" w:type="dxa"/>
          </w:tblCellMar>
        </w:tblPrEx>
        <w:trPr>
          <w:trHeight w:val="31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决策</w:t>
            </w:r>
          </w:p>
        </w:tc>
        <w:tc>
          <w:tcPr>
            <w:tcW w:w="52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20</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绩效目标</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5</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绩效目标合理性</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5</w:t>
            </w:r>
          </w:p>
        </w:tc>
      </w:tr>
      <w:tr>
        <w:tblPrEx>
          <w:tblCellMar>
            <w:top w:w="0" w:type="dxa"/>
            <w:left w:w="0" w:type="dxa"/>
            <w:bottom w:w="0" w:type="dxa"/>
            <w:right w:w="0" w:type="dxa"/>
          </w:tblCellMar>
        </w:tblPrEx>
        <w:trPr>
          <w:trHeight w:val="31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项目决策</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10</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决策依据充分性</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5</w:t>
            </w:r>
          </w:p>
        </w:tc>
      </w:tr>
      <w:tr>
        <w:tblPrEx>
          <w:tblCellMar>
            <w:top w:w="0" w:type="dxa"/>
            <w:left w:w="0" w:type="dxa"/>
            <w:bottom w:w="0" w:type="dxa"/>
            <w:right w:w="0" w:type="dxa"/>
          </w:tblCellMar>
        </w:tblPrEx>
        <w:trPr>
          <w:trHeight w:val="31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决策程序规范性</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5</w:t>
            </w:r>
          </w:p>
        </w:tc>
      </w:tr>
      <w:tr>
        <w:tblPrEx>
          <w:tblCellMar>
            <w:top w:w="0" w:type="dxa"/>
            <w:left w:w="0" w:type="dxa"/>
            <w:bottom w:w="0" w:type="dxa"/>
            <w:right w:w="0" w:type="dxa"/>
          </w:tblCellMar>
        </w:tblPrEx>
        <w:trPr>
          <w:trHeight w:val="31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1200" w:type="dxa"/>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资金投入</w:t>
            </w:r>
          </w:p>
        </w:tc>
        <w:tc>
          <w:tcPr>
            <w:tcW w:w="960" w:type="dxa"/>
            <w:tcBorders>
              <w:top w:val="single" w:color="000000" w:sz="4" w:space="0"/>
              <w:left w:val="single" w:color="000000" w:sz="4" w:space="0"/>
              <w:bottom w:val="nil"/>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5</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预算编制科学性</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5</w:t>
            </w:r>
          </w:p>
        </w:tc>
      </w:tr>
      <w:tr>
        <w:tblPrEx>
          <w:tblCellMar>
            <w:top w:w="0" w:type="dxa"/>
            <w:left w:w="0" w:type="dxa"/>
            <w:bottom w:w="0" w:type="dxa"/>
            <w:right w:w="0" w:type="dxa"/>
          </w:tblCellMar>
        </w:tblPrEx>
        <w:trPr>
          <w:trHeight w:val="31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过程</w:t>
            </w:r>
          </w:p>
        </w:tc>
        <w:tc>
          <w:tcPr>
            <w:tcW w:w="52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20</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资金管理</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10</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资金到位率</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5</w:t>
            </w:r>
          </w:p>
        </w:tc>
      </w:tr>
      <w:tr>
        <w:tblPrEx>
          <w:tblCellMar>
            <w:top w:w="0" w:type="dxa"/>
            <w:left w:w="0" w:type="dxa"/>
            <w:bottom w:w="0" w:type="dxa"/>
            <w:right w:w="0" w:type="dxa"/>
          </w:tblCellMar>
        </w:tblPrEx>
        <w:trPr>
          <w:trHeight w:val="31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资金使用合规性</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5</w:t>
            </w:r>
          </w:p>
        </w:tc>
      </w:tr>
      <w:tr>
        <w:tblPrEx>
          <w:tblCellMar>
            <w:top w:w="0" w:type="dxa"/>
            <w:left w:w="0" w:type="dxa"/>
            <w:bottom w:w="0" w:type="dxa"/>
            <w:right w:w="0" w:type="dxa"/>
          </w:tblCellMar>
        </w:tblPrEx>
        <w:trPr>
          <w:trHeight w:val="31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组织实施</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10</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管理制度健全性</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5</w:t>
            </w:r>
          </w:p>
        </w:tc>
      </w:tr>
      <w:tr>
        <w:tblPrEx>
          <w:tblCellMar>
            <w:top w:w="0" w:type="dxa"/>
            <w:left w:w="0" w:type="dxa"/>
            <w:bottom w:w="0" w:type="dxa"/>
            <w:right w:w="0" w:type="dxa"/>
          </w:tblCellMar>
        </w:tblPrEx>
        <w:trPr>
          <w:trHeight w:val="31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制度建设有效性</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5</w:t>
            </w:r>
          </w:p>
        </w:tc>
      </w:tr>
      <w:tr>
        <w:tblPrEx>
          <w:tblCellMar>
            <w:top w:w="0" w:type="dxa"/>
            <w:left w:w="0" w:type="dxa"/>
            <w:bottom w:w="0" w:type="dxa"/>
            <w:right w:w="0" w:type="dxa"/>
          </w:tblCellMar>
        </w:tblPrEx>
        <w:trPr>
          <w:trHeight w:val="31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产出</w:t>
            </w:r>
          </w:p>
        </w:tc>
        <w:tc>
          <w:tcPr>
            <w:tcW w:w="52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40</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产出数量</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10</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附属设施建设数量</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10</w:t>
            </w:r>
          </w:p>
        </w:tc>
      </w:tr>
      <w:tr>
        <w:tblPrEx>
          <w:tblCellMar>
            <w:top w:w="0" w:type="dxa"/>
            <w:left w:w="0" w:type="dxa"/>
            <w:bottom w:w="0" w:type="dxa"/>
            <w:right w:w="0"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产出质量</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10</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验收合格率</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7.5</w:t>
            </w:r>
          </w:p>
        </w:tc>
      </w:tr>
      <w:tr>
        <w:tblPrEx>
          <w:tblCellMar>
            <w:top w:w="0" w:type="dxa"/>
            <w:left w:w="0" w:type="dxa"/>
            <w:bottom w:w="0" w:type="dxa"/>
            <w:right w:w="0"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产出时效</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10</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工程进度按计划时间完成</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10</w:t>
            </w:r>
          </w:p>
        </w:tc>
      </w:tr>
      <w:tr>
        <w:tblPrEx>
          <w:tblCellMar>
            <w:top w:w="0" w:type="dxa"/>
            <w:left w:w="0" w:type="dxa"/>
            <w:bottom w:w="0" w:type="dxa"/>
            <w:right w:w="0"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产出成本</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10</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成本节约率</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5.6</w:t>
            </w:r>
          </w:p>
        </w:tc>
      </w:tr>
      <w:tr>
        <w:tblPrEx>
          <w:tblCellMar>
            <w:top w:w="0" w:type="dxa"/>
            <w:left w:w="0" w:type="dxa"/>
            <w:bottom w:w="0" w:type="dxa"/>
            <w:right w:w="0" w:type="dxa"/>
          </w:tblCellMar>
        </w:tblPrEx>
        <w:trPr>
          <w:trHeight w:val="57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效益</w:t>
            </w:r>
          </w:p>
        </w:tc>
        <w:tc>
          <w:tcPr>
            <w:tcW w:w="52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20</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项目效益</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15</w:t>
            </w:r>
          </w:p>
        </w:tc>
        <w:tc>
          <w:tcPr>
            <w:tcW w:w="91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实施效益</w:t>
            </w:r>
          </w:p>
        </w:tc>
        <w:tc>
          <w:tcPr>
            <w:tcW w:w="33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党史教育水平得到提升</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8</w:t>
            </w:r>
          </w:p>
        </w:tc>
      </w:tr>
      <w:tr>
        <w:tblPrEx>
          <w:tblCellMar>
            <w:top w:w="0" w:type="dxa"/>
            <w:left w:w="0" w:type="dxa"/>
            <w:bottom w:w="0" w:type="dxa"/>
            <w:right w:w="0"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33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青少年法治意识显著增强</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7</w:t>
            </w:r>
          </w:p>
        </w:tc>
      </w:tr>
      <w:tr>
        <w:tblPrEx>
          <w:tblCellMar>
            <w:top w:w="0" w:type="dxa"/>
            <w:left w:w="0" w:type="dxa"/>
            <w:bottom w:w="0" w:type="dxa"/>
            <w:right w:w="0"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5</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满意度</w:t>
            </w:r>
          </w:p>
        </w:tc>
        <w:tc>
          <w:tcPr>
            <w:tcW w:w="33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工作人员使用满意度</w:t>
            </w:r>
            <w:r>
              <w:rPr>
                <w:rStyle w:val="17"/>
                <w:rFonts w:hint="eastAsia" w:ascii="仿宋_GB2312" w:hAnsi="仿宋_GB2312" w:eastAsia="仿宋_GB2312" w:cs="仿宋_GB2312"/>
                <w:color w:val="auto"/>
                <w:sz w:val="28"/>
                <w:szCs w:val="28"/>
                <w:highlight w:val="none"/>
              </w:rPr>
              <w:t>≧</w:t>
            </w:r>
            <w:r>
              <w:rPr>
                <w:rStyle w:val="18"/>
                <w:rFonts w:hint="eastAsia" w:ascii="仿宋_GB2312" w:hAnsi="仿宋_GB2312" w:eastAsia="仿宋_GB2312" w:cs="仿宋_GB2312"/>
                <w:color w:val="auto"/>
                <w:sz w:val="28"/>
                <w:szCs w:val="28"/>
                <w:highlight w:val="none"/>
              </w:rPr>
              <w:t>95%</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5</w:t>
            </w:r>
          </w:p>
        </w:tc>
      </w:tr>
      <w:tr>
        <w:tblPrEx>
          <w:tblCellMar>
            <w:top w:w="0" w:type="dxa"/>
            <w:left w:w="0" w:type="dxa"/>
            <w:bottom w:w="0" w:type="dxa"/>
            <w:right w:w="0" w:type="dxa"/>
          </w:tblCellMar>
        </w:tblPrEx>
        <w:trPr>
          <w:trHeight w:val="538"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合计</w:t>
            </w:r>
          </w:p>
        </w:tc>
        <w:tc>
          <w:tcPr>
            <w:tcW w:w="5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100</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8"/>
                <w:szCs w:val="28"/>
                <w:highlight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93.1</w:t>
            </w:r>
          </w:p>
        </w:tc>
      </w:tr>
    </w:tbl>
    <w:p>
      <w:pPr>
        <w:numPr>
          <w:ilvl w:val="0"/>
          <w:numId w:val="2"/>
        </w:numPr>
        <w:spacing w:line="500" w:lineRule="exact"/>
        <w:ind w:firstLine="643" w:firstLineChars="200"/>
        <w:contextualSpacing/>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评价方法</w:t>
      </w:r>
    </w:p>
    <w:p>
      <w:pPr>
        <w:numPr>
          <w:ilvl w:val="0"/>
          <w:numId w:val="0"/>
        </w:numPr>
        <w:spacing w:line="500" w:lineRule="exact"/>
        <w:ind w:firstLine="640" w:firstLineChars="200"/>
        <w:contextualSpacing/>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绩效评价方法主要包括成本效益分析法、比较法、因素分析法、最低成本法、公众评判法、标杆管理法等。针对本项目，在评价过程中主要采用了比较法、因素分析法、最低成本法。</w:t>
      </w:r>
    </w:p>
    <w:p>
      <w:pPr>
        <w:numPr>
          <w:ilvl w:val="0"/>
          <w:numId w:val="2"/>
        </w:numPr>
        <w:spacing w:line="500" w:lineRule="exact"/>
        <w:ind w:firstLine="643" w:firstLineChars="200"/>
        <w:contextualSpacing/>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评价标准</w:t>
      </w:r>
    </w:p>
    <w:p>
      <w:pPr>
        <w:numPr>
          <w:ilvl w:val="0"/>
          <w:numId w:val="0"/>
        </w:numPr>
        <w:spacing w:line="500" w:lineRule="exact"/>
        <w:ind w:firstLine="640" w:firstLineChars="200"/>
        <w:contextualSpacing/>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绩效评价标准通常包括计划标准、行业标准、历史标准等，用于对绩效指标完成情况进行比较。本次评价主要采用了计划标准和行业标准。</w:t>
      </w:r>
    </w:p>
    <w:p>
      <w:pPr>
        <w:spacing w:line="500" w:lineRule="exact"/>
        <w:ind w:firstLine="641"/>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（三）绩效评价工作过程</w:t>
      </w:r>
    </w:p>
    <w:p>
      <w:pPr>
        <w:spacing w:line="500" w:lineRule="exact"/>
        <w:ind w:firstLine="640" w:firstLineChars="200"/>
        <w:contextualSpacing/>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关于印发&lt;塔城地区项目支出绩效评价管理办法&gt;的通知》文件要求，高度重视评价工作，牢固树立“花钱必问效、无效必追责”的绩效理念，运用科学、合理的绩效评价指标、评价标准和方法，对单位的项目开展绩效评价。我单位按照文件要求成立绩效评价小组，研究制定绩效评价工作方案，收集绩效评价的相关数据资料，并进行现场调研、座谈，确定指标体系，综合分析，并形成综合评价结论。</w:t>
      </w:r>
    </w:p>
    <w:p>
      <w:pPr>
        <w:pStyle w:val="16"/>
        <w:snapToGrid w:val="0"/>
        <w:spacing w:line="500" w:lineRule="exact"/>
        <w:ind w:left="648" w:firstLine="0" w:firstLineChars="0"/>
        <w:rPr>
          <w:rFonts w:hint="eastAsia" w:ascii="黑体" w:hAnsi="黑体" w:eastAsia="黑体" w:cs="黑体"/>
          <w:bCs/>
          <w:color w:val="auto"/>
          <w:kern w:val="2"/>
          <w:sz w:val="32"/>
          <w:szCs w:val="32"/>
          <w:highlight w:val="none"/>
        </w:rPr>
      </w:pPr>
      <w:r>
        <w:rPr>
          <w:rFonts w:hint="eastAsia" w:ascii="黑体" w:hAnsi="黑体" w:eastAsia="黑体" w:cs="黑体"/>
          <w:bCs/>
          <w:color w:val="auto"/>
          <w:kern w:val="2"/>
          <w:sz w:val="32"/>
          <w:szCs w:val="32"/>
          <w:highlight w:val="none"/>
        </w:rPr>
        <w:t>三、综合评价情况及评价结论</w:t>
      </w:r>
    </w:p>
    <w:p>
      <w:pPr>
        <w:spacing w:line="5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综合考虑投入、产出、效果、影响力等各方面因素，通过数据采集及分析，最终评分结果：项目绩效评价结果为:总得分9</w:t>
      </w:r>
      <w:r>
        <w:rPr>
          <w:rFonts w:hint="eastAsia" w:ascii="仿宋_GB2312" w:hAnsi="仿宋_GB2312" w:eastAsia="仿宋_GB2312" w:cs="仿宋_GB2312"/>
          <w:color w:val="auto"/>
          <w:sz w:val="32"/>
          <w:szCs w:val="32"/>
          <w:highlight w:val="none"/>
          <w:lang w:val="en-US" w:eastAsia="zh-CN"/>
        </w:rPr>
        <w:t>0.94</w:t>
      </w:r>
      <w:r>
        <w:rPr>
          <w:rFonts w:hint="eastAsia" w:ascii="仿宋_GB2312" w:hAnsi="仿宋_GB2312" w:eastAsia="仿宋_GB2312" w:cs="仿宋_GB2312"/>
          <w:color w:val="auto"/>
          <w:sz w:val="32"/>
          <w:szCs w:val="32"/>
          <w:highlight w:val="none"/>
        </w:rPr>
        <w:t>分，属于</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优</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。其中：决策指标权重为20分，得分为20分，得分率为100%；过程指标权重为20分，得分为20分，得分率为100%；项目产出指标权重为40分，得分为</w:t>
      </w:r>
      <w:r>
        <w:rPr>
          <w:rFonts w:hint="eastAsia" w:ascii="仿宋_GB2312" w:hAnsi="仿宋_GB2312" w:eastAsia="仿宋_GB2312" w:cs="仿宋_GB2312"/>
          <w:color w:val="auto"/>
          <w:sz w:val="32"/>
          <w:szCs w:val="32"/>
          <w:highlight w:val="none"/>
          <w:lang w:val="en-US" w:eastAsia="zh-CN"/>
        </w:rPr>
        <w:t>30.94</w:t>
      </w:r>
      <w:r>
        <w:rPr>
          <w:rFonts w:hint="eastAsia" w:ascii="仿宋_GB2312" w:hAnsi="仿宋_GB2312" w:eastAsia="仿宋_GB2312" w:cs="仿宋_GB2312"/>
          <w:color w:val="auto"/>
          <w:sz w:val="32"/>
          <w:szCs w:val="32"/>
          <w:highlight w:val="none"/>
        </w:rPr>
        <w:t>分，得分率为</w:t>
      </w:r>
      <w:r>
        <w:rPr>
          <w:rFonts w:hint="eastAsia" w:ascii="仿宋_GB2312" w:hAnsi="仿宋_GB2312" w:eastAsia="仿宋_GB2312" w:cs="仿宋_GB2312"/>
          <w:color w:val="auto"/>
          <w:sz w:val="32"/>
          <w:szCs w:val="32"/>
          <w:highlight w:val="none"/>
          <w:lang w:val="en-US" w:eastAsia="zh-CN"/>
        </w:rPr>
        <w:t>77.35</w:t>
      </w:r>
      <w:r>
        <w:rPr>
          <w:rFonts w:hint="eastAsia" w:ascii="仿宋_GB2312" w:hAnsi="仿宋_GB2312" w:eastAsia="仿宋_GB2312" w:cs="仿宋_GB2312"/>
          <w:color w:val="auto"/>
          <w:sz w:val="32"/>
          <w:szCs w:val="32"/>
          <w:highlight w:val="none"/>
        </w:rPr>
        <w:t>%；项目效益指标权重为20分，得分为</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分，得分率为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%；具体打分情况详见下表：</w:t>
      </w:r>
    </w:p>
    <w:p>
      <w:pPr>
        <w:pStyle w:val="16"/>
        <w:spacing w:line="500" w:lineRule="exact"/>
        <w:ind w:firstLine="0" w:firstLineChars="0"/>
        <w:jc w:val="center"/>
        <w:rPr>
          <w:rFonts w:hint="eastAsia" w:ascii="仿宋_GB2312" w:hAnsi="仿宋_GB2312" w:eastAsia="仿宋_GB2312" w:cs="仿宋_GB2312"/>
          <w:b/>
          <w:bCs/>
          <w:color w:val="auto"/>
          <w:kern w:val="2"/>
          <w:sz w:val="32"/>
          <w:szCs w:val="32"/>
          <w:highlight w:val="none"/>
        </w:rPr>
      </w:pPr>
      <w:r>
        <w:rPr>
          <w:rFonts w:hint="eastAsia" w:ascii="仿宋_GB2312" w:hAnsi="仿宋_GB2312" w:eastAsia="仿宋_GB2312" w:cs="仿宋_GB2312"/>
          <w:b/>
          <w:bCs/>
          <w:color w:val="auto"/>
          <w:kern w:val="2"/>
          <w:sz w:val="32"/>
          <w:szCs w:val="32"/>
          <w:highlight w:val="none"/>
        </w:rPr>
        <w:t>项目绩效评价综合评分情况表</w:t>
      </w:r>
    </w:p>
    <w:tbl>
      <w:tblPr>
        <w:tblStyle w:val="9"/>
        <w:tblpPr w:leftFromText="180" w:rightFromText="180" w:vertAnchor="text" w:horzAnchor="page" w:tblpX="2118" w:tblpY="235"/>
        <w:tblOverlap w:val="never"/>
        <w:tblW w:w="8473" w:type="dxa"/>
        <w:tblInd w:w="0" w:type="dxa"/>
        <w:tblLayout w:type="fixed"/>
        <w:tblCellMar>
          <w:top w:w="0" w:type="dxa"/>
          <w:left w:w="108" w:type="dxa"/>
          <w:bottom w:w="0" w:type="dxa"/>
          <w:right w:w="108" w:type="dxa"/>
        </w:tblCellMar>
      </w:tblPr>
      <w:tblGrid>
        <w:gridCol w:w="2660"/>
        <w:gridCol w:w="2127"/>
        <w:gridCol w:w="1986"/>
        <w:gridCol w:w="1700"/>
      </w:tblGrid>
      <w:tr>
        <w:tblPrEx>
          <w:tblCellMar>
            <w:top w:w="0" w:type="dxa"/>
            <w:left w:w="108" w:type="dxa"/>
            <w:bottom w:w="0" w:type="dxa"/>
            <w:right w:w="108" w:type="dxa"/>
          </w:tblCellMar>
        </w:tblPrEx>
        <w:trPr>
          <w:trHeight w:val="510" w:hRule="exact"/>
          <w:tblHeader/>
        </w:trPr>
        <w:tc>
          <w:tcPr>
            <w:tcW w:w="2660" w:type="dxa"/>
            <w:tcBorders>
              <w:top w:val="single" w:color="auto" w:sz="8" w:space="0"/>
              <w:left w:val="single" w:color="auto" w:sz="8" w:space="0"/>
              <w:bottom w:val="single" w:color="auto" w:sz="8" w:space="0"/>
              <w:right w:val="single" w:color="auto" w:sz="8" w:space="0"/>
            </w:tcBorders>
            <w:shd w:val="clear" w:color="000000" w:fill="A6A6A6"/>
            <w:vAlign w:val="center"/>
          </w:tcPr>
          <w:p>
            <w:pPr>
              <w:spacing w:line="5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一级指标</w:t>
            </w:r>
          </w:p>
        </w:tc>
        <w:tc>
          <w:tcPr>
            <w:tcW w:w="2127" w:type="dxa"/>
            <w:tcBorders>
              <w:top w:val="single" w:color="auto" w:sz="8" w:space="0"/>
              <w:left w:val="nil"/>
              <w:bottom w:val="single" w:color="auto" w:sz="8" w:space="0"/>
              <w:right w:val="single" w:color="auto" w:sz="8" w:space="0"/>
            </w:tcBorders>
            <w:shd w:val="clear" w:color="000000" w:fill="A6A6A6"/>
            <w:vAlign w:val="center"/>
          </w:tcPr>
          <w:p>
            <w:pPr>
              <w:spacing w:line="5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权重</w:t>
            </w:r>
          </w:p>
        </w:tc>
        <w:tc>
          <w:tcPr>
            <w:tcW w:w="1986" w:type="dxa"/>
            <w:tcBorders>
              <w:top w:val="single" w:color="auto" w:sz="8" w:space="0"/>
              <w:left w:val="nil"/>
              <w:bottom w:val="single" w:color="auto" w:sz="8" w:space="0"/>
              <w:right w:val="single" w:color="auto" w:sz="8" w:space="0"/>
            </w:tcBorders>
            <w:shd w:val="clear" w:color="000000" w:fill="A6A6A6"/>
            <w:vAlign w:val="center"/>
          </w:tcPr>
          <w:p>
            <w:pPr>
              <w:spacing w:line="5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得分率</w:t>
            </w:r>
          </w:p>
        </w:tc>
        <w:tc>
          <w:tcPr>
            <w:tcW w:w="1700" w:type="dxa"/>
            <w:tcBorders>
              <w:top w:val="single" w:color="auto" w:sz="8" w:space="0"/>
              <w:left w:val="nil"/>
              <w:bottom w:val="single" w:color="auto" w:sz="8" w:space="0"/>
              <w:right w:val="single" w:color="auto" w:sz="8" w:space="0"/>
            </w:tcBorders>
            <w:shd w:val="clear" w:color="000000" w:fill="A6A6A6"/>
            <w:vAlign w:val="center"/>
          </w:tcPr>
          <w:p>
            <w:pPr>
              <w:spacing w:line="5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实际得分</w:t>
            </w:r>
          </w:p>
        </w:tc>
      </w:tr>
      <w:tr>
        <w:tblPrEx>
          <w:tblCellMar>
            <w:top w:w="0" w:type="dxa"/>
            <w:left w:w="108" w:type="dxa"/>
            <w:bottom w:w="0" w:type="dxa"/>
            <w:right w:w="108" w:type="dxa"/>
          </w:tblCellMar>
        </w:tblPrEx>
        <w:trPr>
          <w:trHeight w:val="510" w:hRule="exact"/>
          <w:tblHeader/>
        </w:trPr>
        <w:tc>
          <w:tcPr>
            <w:tcW w:w="2660" w:type="dxa"/>
            <w:tcBorders>
              <w:top w:val="single" w:color="auto" w:sz="8" w:space="0"/>
              <w:left w:val="single" w:color="auto" w:sz="8" w:space="0"/>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决策</w:t>
            </w:r>
          </w:p>
        </w:tc>
        <w:tc>
          <w:tcPr>
            <w:tcW w:w="2127" w:type="dxa"/>
            <w:tcBorders>
              <w:top w:val="single" w:color="auto" w:sz="8" w:space="0"/>
              <w:left w:val="nil"/>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w:t>
            </w:r>
          </w:p>
        </w:tc>
        <w:tc>
          <w:tcPr>
            <w:tcW w:w="1986" w:type="dxa"/>
            <w:tcBorders>
              <w:top w:val="single" w:color="auto" w:sz="8" w:space="0"/>
              <w:left w:val="nil"/>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1700" w:type="dxa"/>
            <w:tcBorders>
              <w:top w:val="single" w:color="auto" w:sz="8" w:space="0"/>
              <w:left w:val="nil"/>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w:t>
            </w:r>
          </w:p>
        </w:tc>
      </w:tr>
      <w:tr>
        <w:tblPrEx>
          <w:tblCellMar>
            <w:top w:w="0" w:type="dxa"/>
            <w:left w:w="108" w:type="dxa"/>
            <w:bottom w:w="0" w:type="dxa"/>
            <w:right w:w="108" w:type="dxa"/>
          </w:tblCellMar>
        </w:tblPrEx>
        <w:trPr>
          <w:trHeight w:val="510" w:hRule="exact"/>
          <w:tblHeader/>
        </w:trPr>
        <w:tc>
          <w:tcPr>
            <w:tcW w:w="2660" w:type="dxa"/>
            <w:tcBorders>
              <w:top w:val="nil"/>
              <w:left w:val="single" w:color="auto" w:sz="8" w:space="0"/>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过程</w:t>
            </w:r>
          </w:p>
        </w:tc>
        <w:tc>
          <w:tcPr>
            <w:tcW w:w="2127" w:type="dxa"/>
            <w:tcBorders>
              <w:top w:val="nil"/>
              <w:left w:val="nil"/>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w:t>
            </w:r>
          </w:p>
        </w:tc>
        <w:tc>
          <w:tcPr>
            <w:tcW w:w="1986" w:type="dxa"/>
            <w:tcBorders>
              <w:top w:val="nil"/>
              <w:left w:val="nil"/>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1700" w:type="dxa"/>
            <w:tcBorders>
              <w:top w:val="nil"/>
              <w:left w:val="nil"/>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w:t>
            </w:r>
          </w:p>
        </w:tc>
      </w:tr>
      <w:tr>
        <w:tblPrEx>
          <w:tblCellMar>
            <w:top w:w="0" w:type="dxa"/>
            <w:left w:w="108" w:type="dxa"/>
            <w:bottom w:w="0" w:type="dxa"/>
            <w:right w:w="108" w:type="dxa"/>
          </w:tblCellMar>
        </w:tblPrEx>
        <w:trPr>
          <w:trHeight w:val="510" w:hRule="exact"/>
          <w:tblHeader/>
        </w:trPr>
        <w:tc>
          <w:tcPr>
            <w:tcW w:w="2660" w:type="dxa"/>
            <w:tcBorders>
              <w:top w:val="nil"/>
              <w:left w:val="single" w:color="auto" w:sz="8" w:space="0"/>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产出</w:t>
            </w:r>
          </w:p>
        </w:tc>
        <w:tc>
          <w:tcPr>
            <w:tcW w:w="2127" w:type="dxa"/>
            <w:tcBorders>
              <w:top w:val="nil"/>
              <w:left w:val="nil"/>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40</w:t>
            </w:r>
          </w:p>
        </w:tc>
        <w:tc>
          <w:tcPr>
            <w:tcW w:w="1986" w:type="dxa"/>
            <w:tcBorders>
              <w:top w:val="nil"/>
              <w:left w:val="nil"/>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77.35%</w:t>
            </w:r>
          </w:p>
        </w:tc>
        <w:tc>
          <w:tcPr>
            <w:tcW w:w="1700" w:type="dxa"/>
            <w:tcBorders>
              <w:top w:val="nil"/>
              <w:left w:val="nil"/>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30.94</w:t>
            </w:r>
          </w:p>
        </w:tc>
      </w:tr>
      <w:tr>
        <w:tblPrEx>
          <w:tblCellMar>
            <w:top w:w="0" w:type="dxa"/>
            <w:left w:w="108" w:type="dxa"/>
            <w:bottom w:w="0" w:type="dxa"/>
            <w:right w:w="108" w:type="dxa"/>
          </w:tblCellMar>
        </w:tblPrEx>
        <w:trPr>
          <w:trHeight w:val="510" w:hRule="exact"/>
          <w:tblHeader/>
        </w:trPr>
        <w:tc>
          <w:tcPr>
            <w:tcW w:w="2660" w:type="dxa"/>
            <w:tcBorders>
              <w:top w:val="nil"/>
              <w:left w:val="single" w:color="auto" w:sz="8" w:space="0"/>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效益</w:t>
            </w:r>
          </w:p>
        </w:tc>
        <w:tc>
          <w:tcPr>
            <w:tcW w:w="2127" w:type="dxa"/>
            <w:tcBorders>
              <w:top w:val="nil"/>
              <w:left w:val="nil"/>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w:t>
            </w:r>
          </w:p>
        </w:tc>
        <w:tc>
          <w:tcPr>
            <w:tcW w:w="1986" w:type="dxa"/>
            <w:tcBorders>
              <w:top w:val="nil"/>
              <w:left w:val="nil"/>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w:t>
            </w:r>
          </w:p>
        </w:tc>
        <w:tc>
          <w:tcPr>
            <w:tcW w:w="1700" w:type="dxa"/>
            <w:tcBorders>
              <w:top w:val="nil"/>
              <w:left w:val="nil"/>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20</w:t>
            </w:r>
          </w:p>
        </w:tc>
      </w:tr>
      <w:tr>
        <w:tblPrEx>
          <w:tblCellMar>
            <w:top w:w="0" w:type="dxa"/>
            <w:left w:w="108" w:type="dxa"/>
            <w:bottom w:w="0" w:type="dxa"/>
            <w:right w:w="108" w:type="dxa"/>
          </w:tblCellMar>
        </w:tblPrEx>
        <w:trPr>
          <w:trHeight w:val="510" w:hRule="exact"/>
          <w:tblHeader/>
        </w:trPr>
        <w:tc>
          <w:tcPr>
            <w:tcW w:w="2660" w:type="dxa"/>
            <w:tcBorders>
              <w:top w:val="nil"/>
              <w:left w:val="single" w:color="auto" w:sz="8" w:space="0"/>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合计</w:t>
            </w:r>
          </w:p>
        </w:tc>
        <w:tc>
          <w:tcPr>
            <w:tcW w:w="2127" w:type="dxa"/>
            <w:tcBorders>
              <w:top w:val="nil"/>
              <w:left w:val="nil"/>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1986" w:type="dxa"/>
            <w:tcBorders>
              <w:top w:val="nil"/>
              <w:left w:val="nil"/>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90.94</w:t>
            </w:r>
            <w:r>
              <w:rPr>
                <w:rFonts w:hint="eastAsia" w:ascii="仿宋_GB2312" w:hAnsi="仿宋_GB2312" w:eastAsia="仿宋_GB2312" w:cs="仿宋_GB2312"/>
                <w:color w:val="auto"/>
                <w:kern w:val="0"/>
                <w:sz w:val="32"/>
                <w:szCs w:val="32"/>
                <w:highlight w:val="none"/>
              </w:rPr>
              <w:t>%</w:t>
            </w:r>
          </w:p>
        </w:tc>
        <w:tc>
          <w:tcPr>
            <w:tcW w:w="1700" w:type="dxa"/>
            <w:tcBorders>
              <w:top w:val="nil"/>
              <w:left w:val="nil"/>
              <w:bottom w:val="single" w:color="auto" w:sz="8" w:space="0"/>
              <w:right w:val="single" w:color="auto" w:sz="8" w:space="0"/>
            </w:tcBorders>
            <w:vAlign w:val="center"/>
          </w:tcPr>
          <w:p>
            <w:pPr>
              <w:spacing w:line="500" w:lineRule="exact"/>
              <w:jc w:val="cente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90.94</w:t>
            </w:r>
          </w:p>
        </w:tc>
      </w:tr>
    </w:tbl>
    <w:p>
      <w:pPr>
        <w:pStyle w:val="14"/>
        <w:ind w:firstLine="624" w:firstLineChars="195"/>
        <w:rPr>
          <w:rFonts w:hint="eastAsia"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kern w:val="2"/>
          <w:sz w:val="32"/>
          <w:szCs w:val="32"/>
          <w:highlight w:val="none"/>
        </w:rPr>
        <w:t>本次评价通过文件研读、实地调研、数据分析等方式，全面了解该项目资金的使用效率和效果，项目管理过程规范，基本完成了预期绩效目标等。同时，通过开展自我评价来总结经验和教训，为今后项目工作的开展提供参考建议。</w:t>
      </w:r>
    </w:p>
    <w:p>
      <w:pPr>
        <w:pStyle w:val="16"/>
        <w:snapToGrid w:val="0"/>
        <w:spacing w:line="500" w:lineRule="exact"/>
        <w:ind w:left="648" w:firstLine="0" w:firstLineChars="0"/>
        <w:rPr>
          <w:rFonts w:hint="eastAsia" w:ascii="黑体" w:hAnsi="黑体" w:eastAsia="黑体" w:cs="黑体"/>
          <w:bCs/>
          <w:color w:val="auto"/>
          <w:kern w:val="2"/>
          <w:sz w:val="32"/>
          <w:szCs w:val="32"/>
          <w:highlight w:val="none"/>
        </w:rPr>
      </w:pPr>
      <w:r>
        <w:rPr>
          <w:rFonts w:hint="eastAsia" w:ascii="黑体" w:hAnsi="黑体" w:eastAsia="黑体" w:cs="黑体"/>
          <w:bCs/>
          <w:color w:val="auto"/>
          <w:kern w:val="2"/>
          <w:sz w:val="32"/>
          <w:szCs w:val="32"/>
          <w:highlight w:val="none"/>
        </w:rPr>
        <w:t>四、绩效评价指标分析</w:t>
      </w:r>
    </w:p>
    <w:p>
      <w:pPr>
        <w:pStyle w:val="16"/>
        <w:snapToGrid w:val="0"/>
        <w:spacing w:line="500" w:lineRule="exact"/>
        <w:ind w:left="648" w:firstLine="0" w:firstLineChars="0"/>
        <w:rPr>
          <w:rFonts w:hint="eastAsia" w:ascii="仿宋_GB2312" w:hAnsi="仿宋_GB2312" w:eastAsia="仿宋_GB2312" w:cs="仿宋_GB2312"/>
          <w:b/>
          <w:color w:val="auto"/>
          <w:kern w:val="2"/>
          <w:sz w:val="32"/>
          <w:szCs w:val="32"/>
          <w:highlight w:val="none"/>
        </w:rPr>
      </w:pPr>
      <w:r>
        <w:rPr>
          <w:rFonts w:hint="eastAsia" w:ascii="仿宋_GB2312" w:hAnsi="仿宋_GB2312" w:eastAsia="仿宋_GB2312" w:cs="仿宋_GB2312"/>
          <w:b/>
          <w:color w:val="auto"/>
          <w:kern w:val="2"/>
          <w:sz w:val="32"/>
          <w:szCs w:val="32"/>
          <w:highlight w:val="none"/>
        </w:rPr>
        <w:t>（一）项目决策情况</w:t>
      </w:r>
    </w:p>
    <w:p>
      <w:pPr>
        <w:pStyle w:val="14"/>
        <w:ind w:firstLine="624" w:firstLineChars="195"/>
        <w:rPr>
          <w:rFonts w:hint="eastAsia"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kern w:val="2"/>
          <w:sz w:val="32"/>
          <w:szCs w:val="32"/>
          <w:highlight w:val="none"/>
        </w:rPr>
        <w:t>项目决策指标从项目立项、绩效目标、资金投入3个方面对项目的决策进行考察，项目决策类指标分值20分，实际得分20分，得分率100%。项目决策指标得分情况如表所示。</w:t>
      </w:r>
    </w:p>
    <w:tbl>
      <w:tblPr>
        <w:tblStyle w:val="9"/>
        <w:tblW w:w="9060" w:type="dxa"/>
        <w:tblInd w:w="0" w:type="dxa"/>
        <w:tblLayout w:type="fixed"/>
        <w:tblCellMar>
          <w:top w:w="0" w:type="dxa"/>
          <w:left w:w="108" w:type="dxa"/>
          <w:bottom w:w="0" w:type="dxa"/>
          <w:right w:w="108" w:type="dxa"/>
        </w:tblCellMar>
      </w:tblPr>
      <w:tblGrid>
        <w:gridCol w:w="2674"/>
        <w:gridCol w:w="2412"/>
        <w:gridCol w:w="2111"/>
        <w:gridCol w:w="1863"/>
      </w:tblGrid>
      <w:tr>
        <w:tblPrEx>
          <w:tblCellMar>
            <w:top w:w="0" w:type="dxa"/>
            <w:left w:w="108" w:type="dxa"/>
            <w:bottom w:w="0" w:type="dxa"/>
            <w:right w:w="108" w:type="dxa"/>
          </w:tblCellMar>
        </w:tblPrEx>
        <w:trPr>
          <w:trHeight w:val="480" w:hRule="atLeast"/>
        </w:trPr>
        <w:tc>
          <w:tcPr>
            <w:tcW w:w="9060" w:type="dxa"/>
            <w:gridSpan w:val="4"/>
            <w:tcBorders>
              <w:top w:val="nil"/>
              <w:left w:val="nil"/>
              <w:bottom w:val="single" w:color="auto" w:sz="8" w:space="0"/>
              <w:right w:val="nil"/>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项目决策指标得分情况</w:t>
            </w:r>
          </w:p>
        </w:tc>
      </w:tr>
      <w:tr>
        <w:tblPrEx>
          <w:tblCellMar>
            <w:top w:w="0" w:type="dxa"/>
            <w:left w:w="108" w:type="dxa"/>
            <w:bottom w:w="0" w:type="dxa"/>
            <w:right w:w="108" w:type="dxa"/>
          </w:tblCellMar>
        </w:tblPrEx>
        <w:trPr>
          <w:trHeight w:val="510" w:hRule="exact"/>
        </w:trPr>
        <w:tc>
          <w:tcPr>
            <w:tcW w:w="2674" w:type="dxa"/>
            <w:tcBorders>
              <w:top w:val="nil"/>
              <w:left w:val="single" w:color="auto" w:sz="8" w:space="0"/>
              <w:bottom w:val="single" w:color="auto" w:sz="8" w:space="0"/>
              <w:right w:val="single" w:color="auto" w:sz="8" w:space="0"/>
            </w:tcBorders>
            <w:shd w:val="clear" w:color="000000" w:fill="A6A6A6"/>
            <w:vAlign w:val="center"/>
          </w:tcPr>
          <w:p>
            <w:pPr>
              <w:widowControl/>
              <w:spacing w:line="5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二级指标</w:t>
            </w:r>
          </w:p>
        </w:tc>
        <w:tc>
          <w:tcPr>
            <w:tcW w:w="2412" w:type="dxa"/>
            <w:tcBorders>
              <w:top w:val="nil"/>
              <w:left w:val="nil"/>
              <w:bottom w:val="single" w:color="auto" w:sz="8" w:space="0"/>
              <w:right w:val="single" w:color="auto" w:sz="8" w:space="0"/>
            </w:tcBorders>
            <w:shd w:val="clear" w:color="000000" w:fill="A6A6A6"/>
            <w:vAlign w:val="center"/>
          </w:tcPr>
          <w:p>
            <w:pPr>
              <w:widowControl/>
              <w:spacing w:line="5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权重</w:t>
            </w:r>
          </w:p>
        </w:tc>
        <w:tc>
          <w:tcPr>
            <w:tcW w:w="2111" w:type="dxa"/>
            <w:tcBorders>
              <w:top w:val="nil"/>
              <w:left w:val="nil"/>
              <w:bottom w:val="single" w:color="auto" w:sz="8" w:space="0"/>
              <w:right w:val="single" w:color="auto" w:sz="8" w:space="0"/>
            </w:tcBorders>
            <w:shd w:val="clear" w:color="000000" w:fill="A6A6A6"/>
            <w:vAlign w:val="center"/>
          </w:tcPr>
          <w:p>
            <w:pPr>
              <w:widowControl/>
              <w:spacing w:line="5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得分率</w:t>
            </w:r>
          </w:p>
        </w:tc>
        <w:tc>
          <w:tcPr>
            <w:tcW w:w="1863" w:type="dxa"/>
            <w:tcBorders>
              <w:top w:val="nil"/>
              <w:left w:val="nil"/>
              <w:bottom w:val="single" w:color="auto" w:sz="8" w:space="0"/>
              <w:right w:val="single" w:color="auto" w:sz="8" w:space="0"/>
            </w:tcBorders>
            <w:shd w:val="clear" w:color="000000" w:fill="A6A6A6"/>
            <w:vAlign w:val="center"/>
          </w:tcPr>
          <w:p>
            <w:pPr>
              <w:widowControl/>
              <w:spacing w:line="5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实际得分</w:t>
            </w:r>
          </w:p>
        </w:tc>
      </w:tr>
      <w:tr>
        <w:tblPrEx>
          <w:tblCellMar>
            <w:top w:w="0" w:type="dxa"/>
            <w:left w:w="108" w:type="dxa"/>
            <w:bottom w:w="0" w:type="dxa"/>
            <w:right w:w="108" w:type="dxa"/>
          </w:tblCellMar>
        </w:tblPrEx>
        <w:trPr>
          <w:trHeight w:val="510" w:hRule="exact"/>
        </w:trPr>
        <w:tc>
          <w:tcPr>
            <w:tcW w:w="2674" w:type="dxa"/>
            <w:tcBorders>
              <w:top w:val="nil"/>
              <w:left w:val="single" w:color="auto" w:sz="8" w:space="0"/>
              <w:bottom w:val="single" w:color="auto" w:sz="8" w:space="0"/>
              <w:right w:val="single" w:color="auto" w:sz="8"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绩效目标</w:t>
            </w:r>
          </w:p>
        </w:tc>
        <w:tc>
          <w:tcPr>
            <w:tcW w:w="2412" w:type="dxa"/>
            <w:tcBorders>
              <w:top w:val="nil"/>
              <w:left w:val="nil"/>
              <w:bottom w:val="single" w:color="auto" w:sz="8" w:space="0"/>
              <w:right w:val="single" w:color="auto" w:sz="8"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w:t>
            </w:r>
          </w:p>
        </w:tc>
        <w:tc>
          <w:tcPr>
            <w:tcW w:w="2111" w:type="dxa"/>
            <w:tcBorders>
              <w:top w:val="nil"/>
              <w:left w:val="nil"/>
              <w:bottom w:val="single" w:color="auto" w:sz="8" w:space="0"/>
              <w:right w:val="single" w:color="auto" w:sz="8"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1863" w:type="dxa"/>
            <w:tcBorders>
              <w:top w:val="nil"/>
              <w:left w:val="nil"/>
              <w:bottom w:val="single" w:color="auto" w:sz="8" w:space="0"/>
              <w:right w:val="single" w:color="auto" w:sz="8"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w:t>
            </w:r>
          </w:p>
        </w:tc>
      </w:tr>
      <w:tr>
        <w:tblPrEx>
          <w:tblCellMar>
            <w:top w:w="0" w:type="dxa"/>
            <w:left w:w="108" w:type="dxa"/>
            <w:bottom w:w="0" w:type="dxa"/>
            <w:right w:w="108" w:type="dxa"/>
          </w:tblCellMar>
        </w:tblPrEx>
        <w:trPr>
          <w:trHeight w:val="510" w:hRule="exact"/>
        </w:trPr>
        <w:tc>
          <w:tcPr>
            <w:tcW w:w="2674" w:type="dxa"/>
            <w:tcBorders>
              <w:top w:val="nil"/>
              <w:left w:val="single" w:color="auto" w:sz="8" w:space="0"/>
              <w:bottom w:val="single" w:color="auto" w:sz="8" w:space="0"/>
              <w:right w:val="single" w:color="auto" w:sz="8"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项目决策</w:t>
            </w:r>
          </w:p>
        </w:tc>
        <w:tc>
          <w:tcPr>
            <w:tcW w:w="2412" w:type="dxa"/>
            <w:tcBorders>
              <w:top w:val="nil"/>
              <w:left w:val="nil"/>
              <w:bottom w:val="single" w:color="auto" w:sz="8" w:space="0"/>
              <w:right w:val="single" w:color="auto" w:sz="8"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w:t>
            </w:r>
          </w:p>
        </w:tc>
        <w:tc>
          <w:tcPr>
            <w:tcW w:w="2111" w:type="dxa"/>
            <w:tcBorders>
              <w:top w:val="nil"/>
              <w:left w:val="nil"/>
              <w:bottom w:val="single" w:color="auto" w:sz="8" w:space="0"/>
              <w:right w:val="single" w:color="auto" w:sz="8"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1863" w:type="dxa"/>
            <w:tcBorders>
              <w:top w:val="nil"/>
              <w:left w:val="nil"/>
              <w:bottom w:val="single" w:color="auto" w:sz="8" w:space="0"/>
              <w:right w:val="single" w:color="auto" w:sz="8"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w:t>
            </w:r>
          </w:p>
        </w:tc>
      </w:tr>
      <w:tr>
        <w:tblPrEx>
          <w:tblCellMar>
            <w:top w:w="0" w:type="dxa"/>
            <w:left w:w="108" w:type="dxa"/>
            <w:bottom w:w="0" w:type="dxa"/>
            <w:right w:w="108" w:type="dxa"/>
          </w:tblCellMar>
        </w:tblPrEx>
        <w:trPr>
          <w:trHeight w:val="510" w:hRule="exact"/>
        </w:trPr>
        <w:tc>
          <w:tcPr>
            <w:tcW w:w="2674" w:type="dxa"/>
            <w:tcBorders>
              <w:top w:val="nil"/>
              <w:left w:val="single" w:color="auto" w:sz="8" w:space="0"/>
              <w:bottom w:val="single" w:color="auto" w:sz="8" w:space="0"/>
              <w:right w:val="single" w:color="auto" w:sz="8"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资金投入</w:t>
            </w:r>
          </w:p>
        </w:tc>
        <w:tc>
          <w:tcPr>
            <w:tcW w:w="2412" w:type="dxa"/>
            <w:tcBorders>
              <w:top w:val="nil"/>
              <w:left w:val="nil"/>
              <w:bottom w:val="single" w:color="auto" w:sz="8" w:space="0"/>
              <w:right w:val="single" w:color="auto" w:sz="8"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w:t>
            </w:r>
          </w:p>
        </w:tc>
        <w:tc>
          <w:tcPr>
            <w:tcW w:w="2111" w:type="dxa"/>
            <w:tcBorders>
              <w:top w:val="nil"/>
              <w:left w:val="nil"/>
              <w:bottom w:val="single" w:color="auto" w:sz="8" w:space="0"/>
              <w:right w:val="single" w:color="auto" w:sz="8"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1863" w:type="dxa"/>
            <w:tcBorders>
              <w:top w:val="nil"/>
              <w:left w:val="nil"/>
              <w:bottom w:val="single" w:color="auto" w:sz="8" w:space="0"/>
              <w:right w:val="single" w:color="auto" w:sz="8"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w:t>
            </w:r>
          </w:p>
        </w:tc>
      </w:tr>
      <w:tr>
        <w:tblPrEx>
          <w:tblCellMar>
            <w:top w:w="0" w:type="dxa"/>
            <w:left w:w="108" w:type="dxa"/>
            <w:bottom w:w="0" w:type="dxa"/>
            <w:right w:w="108" w:type="dxa"/>
          </w:tblCellMar>
        </w:tblPrEx>
        <w:trPr>
          <w:trHeight w:val="510" w:hRule="exact"/>
        </w:trPr>
        <w:tc>
          <w:tcPr>
            <w:tcW w:w="2674" w:type="dxa"/>
            <w:tcBorders>
              <w:top w:val="single" w:color="auto" w:sz="8" w:space="0"/>
              <w:left w:val="single" w:color="auto" w:sz="8" w:space="0"/>
              <w:bottom w:val="single" w:color="auto" w:sz="8" w:space="0"/>
              <w:right w:val="single" w:color="auto" w:sz="8"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合计</w:t>
            </w:r>
          </w:p>
        </w:tc>
        <w:tc>
          <w:tcPr>
            <w:tcW w:w="2412" w:type="dxa"/>
            <w:tcBorders>
              <w:top w:val="single" w:color="auto" w:sz="8" w:space="0"/>
              <w:left w:val="nil"/>
              <w:bottom w:val="single" w:color="auto" w:sz="8" w:space="0"/>
              <w:right w:val="single" w:color="auto" w:sz="8"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w:t>
            </w:r>
          </w:p>
        </w:tc>
        <w:tc>
          <w:tcPr>
            <w:tcW w:w="2111" w:type="dxa"/>
            <w:tcBorders>
              <w:top w:val="single" w:color="auto" w:sz="8" w:space="0"/>
              <w:left w:val="nil"/>
              <w:bottom w:val="single" w:color="auto" w:sz="8" w:space="0"/>
              <w:right w:val="single" w:color="auto" w:sz="8"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1863" w:type="dxa"/>
            <w:tcBorders>
              <w:top w:val="single" w:color="auto" w:sz="8" w:space="0"/>
              <w:left w:val="nil"/>
              <w:bottom w:val="single" w:color="auto" w:sz="8" w:space="0"/>
              <w:right w:val="single" w:color="auto" w:sz="8"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w:t>
            </w:r>
          </w:p>
        </w:tc>
      </w:tr>
    </w:tbl>
    <w:p>
      <w:pPr>
        <w:pStyle w:val="14"/>
        <w:ind w:firstLine="624" w:firstLineChars="195"/>
        <w:rPr>
          <w:rFonts w:hint="eastAsia"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kern w:val="2"/>
          <w:sz w:val="32"/>
          <w:szCs w:val="32"/>
          <w:highlight w:val="none"/>
        </w:rPr>
        <w:t>对于“绩效目标”，本项目绩效目标设置合理，绩效指标明确，本指标不扣分。</w:t>
      </w:r>
    </w:p>
    <w:p>
      <w:pPr>
        <w:pStyle w:val="14"/>
        <w:ind w:firstLine="624" w:firstLineChars="195"/>
        <w:rPr>
          <w:rFonts w:hint="eastAsia"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kern w:val="2"/>
          <w:sz w:val="32"/>
          <w:szCs w:val="32"/>
          <w:highlight w:val="none"/>
        </w:rPr>
        <w:t>对于“项目决策”本项目按照年初制定的计划进行，符合国家政策，决策程序规范，本项指标不扣分。</w:t>
      </w:r>
    </w:p>
    <w:p>
      <w:pPr>
        <w:pStyle w:val="14"/>
        <w:ind w:firstLine="624" w:firstLineChars="195"/>
        <w:rPr>
          <w:rFonts w:hint="eastAsia"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kern w:val="2"/>
          <w:sz w:val="32"/>
          <w:szCs w:val="32"/>
          <w:highlight w:val="none"/>
        </w:rPr>
        <w:t>对于“资金投入”，本项目严格按照年初制定的项目资金计划执行，本项指标不扣分。</w:t>
      </w:r>
    </w:p>
    <w:p>
      <w:pPr>
        <w:pStyle w:val="16"/>
        <w:snapToGrid w:val="0"/>
        <w:spacing w:line="500" w:lineRule="exact"/>
        <w:ind w:left="648" w:firstLine="0" w:firstLineChars="0"/>
        <w:rPr>
          <w:rFonts w:hint="eastAsia" w:ascii="仿宋_GB2312" w:hAnsi="仿宋_GB2312" w:eastAsia="仿宋_GB2312" w:cs="仿宋_GB2312"/>
          <w:b/>
          <w:color w:val="auto"/>
          <w:kern w:val="2"/>
          <w:sz w:val="32"/>
          <w:szCs w:val="32"/>
          <w:highlight w:val="none"/>
        </w:rPr>
      </w:pPr>
      <w:r>
        <w:rPr>
          <w:rFonts w:hint="eastAsia" w:ascii="仿宋_GB2312" w:hAnsi="仿宋_GB2312" w:eastAsia="仿宋_GB2312" w:cs="仿宋_GB2312"/>
          <w:b/>
          <w:color w:val="auto"/>
          <w:kern w:val="2"/>
          <w:sz w:val="32"/>
          <w:szCs w:val="32"/>
          <w:highlight w:val="none"/>
        </w:rPr>
        <w:t>（二）项目过程情况</w:t>
      </w:r>
    </w:p>
    <w:p>
      <w:pPr>
        <w:spacing w:line="5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项目过程指标从资金到位率、资金使用合规性、管理制度健全性、制度执行有效性4个方面对项目的管理情况进行考察。项目管理类指标分值20分，实际得分20分，得分率为100%。项目管理指标得分情况如表所示。</w:t>
      </w:r>
    </w:p>
    <w:tbl>
      <w:tblPr>
        <w:tblStyle w:val="9"/>
        <w:tblW w:w="9060" w:type="dxa"/>
        <w:tblInd w:w="0" w:type="dxa"/>
        <w:tblLayout w:type="fixed"/>
        <w:tblCellMar>
          <w:top w:w="0" w:type="dxa"/>
          <w:left w:w="108" w:type="dxa"/>
          <w:bottom w:w="0" w:type="dxa"/>
          <w:right w:w="108" w:type="dxa"/>
        </w:tblCellMar>
      </w:tblPr>
      <w:tblGrid>
        <w:gridCol w:w="2371"/>
        <w:gridCol w:w="2559"/>
        <w:gridCol w:w="2111"/>
        <w:gridCol w:w="2019"/>
      </w:tblGrid>
      <w:tr>
        <w:tblPrEx>
          <w:tblCellMar>
            <w:top w:w="0" w:type="dxa"/>
            <w:left w:w="108" w:type="dxa"/>
            <w:bottom w:w="0" w:type="dxa"/>
            <w:right w:w="108" w:type="dxa"/>
          </w:tblCellMar>
        </w:tblPrEx>
        <w:trPr>
          <w:trHeight w:val="495" w:hRule="atLeast"/>
          <w:tblHeader/>
        </w:trPr>
        <w:tc>
          <w:tcPr>
            <w:tcW w:w="9060" w:type="dxa"/>
            <w:gridSpan w:val="4"/>
            <w:tcBorders>
              <w:top w:val="nil"/>
              <w:left w:val="nil"/>
              <w:bottom w:val="single" w:color="auto" w:sz="8" w:space="0"/>
              <w:right w:val="nil"/>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eastAsia="zh-CN"/>
              </w:rPr>
              <w:t>过程</w:t>
            </w:r>
            <w:r>
              <w:rPr>
                <w:rFonts w:hint="eastAsia" w:ascii="仿宋_GB2312" w:hAnsi="仿宋_GB2312" w:eastAsia="仿宋_GB2312" w:cs="仿宋_GB2312"/>
                <w:color w:val="auto"/>
                <w:kern w:val="0"/>
                <w:sz w:val="32"/>
                <w:szCs w:val="32"/>
                <w:highlight w:val="none"/>
              </w:rPr>
              <w:t>指标得分情况</w:t>
            </w:r>
          </w:p>
        </w:tc>
      </w:tr>
      <w:tr>
        <w:tblPrEx>
          <w:tblCellMar>
            <w:top w:w="0" w:type="dxa"/>
            <w:left w:w="108" w:type="dxa"/>
            <w:bottom w:w="0" w:type="dxa"/>
            <w:right w:w="108" w:type="dxa"/>
          </w:tblCellMar>
        </w:tblPrEx>
        <w:trPr>
          <w:trHeight w:val="510" w:hRule="exact"/>
          <w:tblHeader/>
        </w:trPr>
        <w:tc>
          <w:tcPr>
            <w:tcW w:w="2371" w:type="dxa"/>
            <w:tcBorders>
              <w:top w:val="nil"/>
              <w:left w:val="single" w:color="auto" w:sz="8" w:space="0"/>
              <w:bottom w:val="nil"/>
              <w:right w:val="single" w:color="auto" w:sz="8" w:space="0"/>
            </w:tcBorders>
            <w:shd w:val="clear" w:color="000000" w:fill="A6A6A6"/>
            <w:vAlign w:val="center"/>
          </w:tcPr>
          <w:p>
            <w:pPr>
              <w:widowControl/>
              <w:spacing w:line="5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三级指标</w:t>
            </w:r>
          </w:p>
        </w:tc>
        <w:tc>
          <w:tcPr>
            <w:tcW w:w="2559" w:type="dxa"/>
            <w:tcBorders>
              <w:top w:val="nil"/>
              <w:left w:val="nil"/>
              <w:bottom w:val="nil"/>
              <w:right w:val="single" w:color="auto" w:sz="8" w:space="0"/>
            </w:tcBorders>
            <w:shd w:val="clear" w:color="000000" w:fill="A6A6A6"/>
            <w:vAlign w:val="center"/>
          </w:tcPr>
          <w:p>
            <w:pPr>
              <w:widowControl/>
              <w:spacing w:line="5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权重</w:t>
            </w:r>
          </w:p>
        </w:tc>
        <w:tc>
          <w:tcPr>
            <w:tcW w:w="2111" w:type="dxa"/>
            <w:tcBorders>
              <w:top w:val="nil"/>
              <w:left w:val="nil"/>
              <w:bottom w:val="nil"/>
              <w:right w:val="single" w:color="auto" w:sz="8" w:space="0"/>
            </w:tcBorders>
            <w:shd w:val="clear" w:color="000000" w:fill="A6A6A6"/>
            <w:vAlign w:val="center"/>
          </w:tcPr>
          <w:p>
            <w:pPr>
              <w:widowControl/>
              <w:spacing w:line="5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得分率</w:t>
            </w:r>
          </w:p>
        </w:tc>
        <w:tc>
          <w:tcPr>
            <w:tcW w:w="2019" w:type="dxa"/>
            <w:tcBorders>
              <w:top w:val="nil"/>
              <w:left w:val="nil"/>
              <w:bottom w:val="nil"/>
              <w:right w:val="single" w:color="auto" w:sz="8" w:space="0"/>
            </w:tcBorders>
            <w:shd w:val="clear" w:color="000000" w:fill="A6A6A6"/>
            <w:vAlign w:val="center"/>
          </w:tcPr>
          <w:p>
            <w:pPr>
              <w:widowControl/>
              <w:spacing w:line="5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实际得分</w:t>
            </w:r>
          </w:p>
        </w:tc>
      </w:tr>
      <w:tr>
        <w:tblPrEx>
          <w:tblCellMar>
            <w:top w:w="0" w:type="dxa"/>
            <w:left w:w="108" w:type="dxa"/>
            <w:bottom w:w="0" w:type="dxa"/>
            <w:right w:w="108" w:type="dxa"/>
          </w:tblCellMar>
        </w:tblPrEx>
        <w:trPr>
          <w:trHeight w:val="510" w:hRule="exact"/>
        </w:trPr>
        <w:tc>
          <w:tcPr>
            <w:tcW w:w="2371" w:type="dxa"/>
            <w:tcBorders>
              <w:top w:val="nil"/>
              <w:left w:val="single" w:color="auto" w:sz="4" w:space="0"/>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资金到位率</w:t>
            </w:r>
          </w:p>
        </w:tc>
        <w:tc>
          <w:tcPr>
            <w:tcW w:w="2559" w:type="dxa"/>
            <w:tcBorders>
              <w:top w:val="nil"/>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w:t>
            </w:r>
          </w:p>
        </w:tc>
        <w:tc>
          <w:tcPr>
            <w:tcW w:w="2111" w:type="dxa"/>
            <w:tcBorders>
              <w:top w:val="nil"/>
              <w:left w:val="nil"/>
              <w:bottom w:val="single" w:color="auto" w:sz="4" w:space="0"/>
              <w:right w:val="single" w:color="auto" w:sz="4"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2019" w:type="dxa"/>
            <w:tcBorders>
              <w:top w:val="nil"/>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w:t>
            </w:r>
          </w:p>
        </w:tc>
      </w:tr>
      <w:tr>
        <w:tblPrEx>
          <w:tblCellMar>
            <w:top w:w="0" w:type="dxa"/>
            <w:left w:w="108" w:type="dxa"/>
            <w:bottom w:w="0" w:type="dxa"/>
            <w:right w:w="108" w:type="dxa"/>
          </w:tblCellMar>
        </w:tblPrEx>
        <w:trPr>
          <w:trHeight w:val="510" w:hRule="exact"/>
        </w:trPr>
        <w:tc>
          <w:tcPr>
            <w:tcW w:w="2371" w:type="dxa"/>
            <w:tcBorders>
              <w:top w:val="nil"/>
              <w:left w:val="single" w:color="auto" w:sz="4" w:space="0"/>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资金使用合规性</w:t>
            </w:r>
          </w:p>
        </w:tc>
        <w:tc>
          <w:tcPr>
            <w:tcW w:w="2559" w:type="dxa"/>
            <w:tcBorders>
              <w:top w:val="nil"/>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w:t>
            </w:r>
          </w:p>
        </w:tc>
        <w:tc>
          <w:tcPr>
            <w:tcW w:w="2111" w:type="dxa"/>
            <w:tcBorders>
              <w:top w:val="nil"/>
              <w:left w:val="nil"/>
              <w:bottom w:val="single" w:color="auto" w:sz="4" w:space="0"/>
              <w:right w:val="single" w:color="auto" w:sz="4"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2019" w:type="dxa"/>
            <w:tcBorders>
              <w:top w:val="nil"/>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w:t>
            </w:r>
          </w:p>
        </w:tc>
      </w:tr>
      <w:tr>
        <w:tblPrEx>
          <w:tblCellMar>
            <w:top w:w="0" w:type="dxa"/>
            <w:left w:w="108" w:type="dxa"/>
            <w:bottom w:w="0" w:type="dxa"/>
            <w:right w:w="108" w:type="dxa"/>
          </w:tblCellMar>
        </w:tblPrEx>
        <w:trPr>
          <w:trHeight w:val="510" w:hRule="exact"/>
        </w:trPr>
        <w:tc>
          <w:tcPr>
            <w:tcW w:w="2371" w:type="dxa"/>
            <w:tcBorders>
              <w:top w:val="nil"/>
              <w:left w:val="single" w:color="auto" w:sz="4" w:space="0"/>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管理制度健全性</w:t>
            </w:r>
          </w:p>
        </w:tc>
        <w:tc>
          <w:tcPr>
            <w:tcW w:w="2559" w:type="dxa"/>
            <w:tcBorders>
              <w:top w:val="nil"/>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w:t>
            </w:r>
          </w:p>
        </w:tc>
        <w:tc>
          <w:tcPr>
            <w:tcW w:w="2111" w:type="dxa"/>
            <w:tcBorders>
              <w:top w:val="nil"/>
              <w:left w:val="nil"/>
              <w:bottom w:val="single" w:color="auto" w:sz="4" w:space="0"/>
              <w:right w:val="single" w:color="auto" w:sz="4"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2019" w:type="dxa"/>
            <w:tcBorders>
              <w:top w:val="nil"/>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w:t>
            </w:r>
          </w:p>
        </w:tc>
      </w:tr>
      <w:tr>
        <w:tblPrEx>
          <w:tblCellMar>
            <w:top w:w="0" w:type="dxa"/>
            <w:left w:w="108" w:type="dxa"/>
            <w:bottom w:w="0" w:type="dxa"/>
            <w:right w:w="108" w:type="dxa"/>
          </w:tblCellMar>
        </w:tblPrEx>
        <w:trPr>
          <w:trHeight w:val="510" w:hRule="exact"/>
        </w:trPr>
        <w:tc>
          <w:tcPr>
            <w:tcW w:w="2371" w:type="dxa"/>
            <w:tcBorders>
              <w:top w:val="nil"/>
              <w:left w:val="single" w:color="auto" w:sz="4" w:space="0"/>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制度执行有效性</w:t>
            </w:r>
          </w:p>
        </w:tc>
        <w:tc>
          <w:tcPr>
            <w:tcW w:w="2559" w:type="dxa"/>
            <w:tcBorders>
              <w:top w:val="nil"/>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w:t>
            </w:r>
          </w:p>
        </w:tc>
        <w:tc>
          <w:tcPr>
            <w:tcW w:w="2111" w:type="dxa"/>
            <w:tcBorders>
              <w:top w:val="nil"/>
              <w:left w:val="nil"/>
              <w:bottom w:val="single" w:color="auto" w:sz="4" w:space="0"/>
              <w:right w:val="single" w:color="auto" w:sz="4"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2019" w:type="dxa"/>
            <w:tcBorders>
              <w:top w:val="nil"/>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w:t>
            </w:r>
          </w:p>
        </w:tc>
      </w:tr>
      <w:tr>
        <w:tblPrEx>
          <w:tblCellMar>
            <w:top w:w="0" w:type="dxa"/>
            <w:left w:w="108" w:type="dxa"/>
            <w:bottom w:w="0" w:type="dxa"/>
            <w:right w:w="108" w:type="dxa"/>
          </w:tblCellMar>
        </w:tblPrEx>
        <w:trPr>
          <w:trHeight w:val="510" w:hRule="exact"/>
        </w:trPr>
        <w:tc>
          <w:tcPr>
            <w:tcW w:w="2371" w:type="dxa"/>
            <w:tcBorders>
              <w:top w:val="single" w:color="auto" w:sz="4" w:space="0"/>
              <w:left w:val="single" w:color="auto" w:sz="4" w:space="0"/>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合  计</w:t>
            </w:r>
          </w:p>
        </w:tc>
        <w:tc>
          <w:tcPr>
            <w:tcW w:w="2559"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w:t>
            </w:r>
          </w:p>
        </w:tc>
        <w:tc>
          <w:tcPr>
            <w:tcW w:w="2111"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2019"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w:t>
            </w:r>
          </w:p>
        </w:tc>
      </w:tr>
    </w:tbl>
    <w:p>
      <w:pPr>
        <w:pStyle w:val="16"/>
        <w:snapToGrid w:val="0"/>
        <w:spacing w:line="500" w:lineRule="exact"/>
        <w:ind w:left="648" w:firstLine="0" w:firstLineChars="0"/>
        <w:rPr>
          <w:rFonts w:hint="eastAsia" w:ascii="仿宋_GB2312" w:hAnsi="仿宋_GB2312" w:eastAsia="仿宋_GB2312" w:cs="仿宋_GB2312"/>
          <w:b/>
          <w:color w:val="auto"/>
          <w:kern w:val="2"/>
          <w:sz w:val="32"/>
          <w:szCs w:val="32"/>
          <w:highlight w:val="none"/>
        </w:rPr>
      </w:pPr>
      <w:r>
        <w:rPr>
          <w:rFonts w:hint="eastAsia" w:ascii="仿宋_GB2312" w:hAnsi="仿宋_GB2312" w:eastAsia="仿宋_GB2312" w:cs="仿宋_GB2312"/>
          <w:b/>
          <w:color w:val="auto"/>
          <w:kern w:val="2"/>
          <w:sz w:val="32"/>
          <w:szCs w:val="32"/>
          <w:highlight w:val="none"/>
        </w:rPr>
        <w:t>（三）项目产出</w:t>
      </w:r>
    </w:p>
    <w:p>
      <w:pPr>
        <w:spacing w:line="50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项目产出的产出数量、产出质量、产出时效、成本情况4个方面对项目的绩效情况进行评价。项目绩效类指标分值</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0分，实际得分</w:t>
      </w:r>
      <w:r>
        <w:rPr>
          <w:rFonts w:hint="eastAsia" w:ascii="仿宋_GB2312" w:hAnsi="仿宋_GB2312" w:eastAsia="仿宋_GB2312" w:cs="仿宋_GB2312"/>
          <w:color w:val="auto"/>
          <w:sz w:val="32"/>
          <w:szCs w:val="32"/>
          <w:highlight w:val="none"/>
          <w:lang w:val="en-US" w:eastAsia="zh-CN"/>
        </w:rPr>
        <w:t>30.94</w:t>
      </w:r>
      <w:r>
        <w:rPr>
          <w:rFonts w:hint="eastAsia" w:ascii="仿宋_GB2312" w:hAnsi="仿宋_GB2312" w:eastAsia="仿宋_GB2312" w:cs="仿宋_GB2312"/>
          <w:color w:val="auto"/>
          <w:sz w:val="32"/>
          <w:szCs w:val="32"/>
          <w:highlight w:val="none"/>
        </w:rPr>
        <w:t>分，得分率为77.35%。项目绩效指标得分情况如表所示：</w:t>
      </w:r>
    </w:p>
    <w:tbl>
      <w:tblPr>
        <w:tblStyle w:val="9"/>
        <w:tblW w:w="9007" w:type="dxa"/>
        <w:tblInd w:w="0" w:type="dxa"/>
        <w:tblLayout w:type="fixed"/>
        <w:tblCellMar>
          <w:top w:w="0" w:type="dxa"/>
          <w:left w:w="108" w:type="dxa"/>
          <w:bottom w:w="0" w:type="dxa"/>
          <w:right w:w="108" w:type="dxa"/>
        </w:tblCellMar>
      </w:tblPr>
      <w:tblGrid>
        <w:gridCol w:w="2676"/>
        <w:gridCol w:w="2111"/>
        <w:gridCol w:w="2109"/>
        <w:gridCol w:w="2111"/>
      </w:tblGrid>
      <w:tr>
        <w:tblPrEx>
          <w:tblCellMar>
            <w:top w:w="0" w:type="dxa"/>
            <w:left w:w="108" w:type="dxa"/>
            <w:bottom w:w="0" w:type="dxa"/>
            <w:right w:w="108" w:type="dxa"/>
          </w:tblCellMar>
        </w:tblPrEx>
        <w:trPr>
          <w:trHeight w:val="510" w:hRule="exact"/>
          <w:tblHeader/>
        </w:trPr>
        <w:tc>
          <w:tcPr>
            <w:tcW w:w="2676" w:type="dxa"/>
            <w:tcBorders>
              <w:top w:val="single" w:color="auto" w:sz="4" w:space="0"/>
              <w:left w:val="single" w:color="auto" w:sz="8" w:space="0"/>
              <w:bottom w:val="single" w:color="auto" w:sz="4" w:space="0"/>
              <w:right w:val="single" w:color="auto" w:sz="8" w:space="0"/>
            </w:tcBorders>
            <w:shd w:val="clear" w:color="000000" w:fill="A6A6A6"/>
            <w:vAlign w:val="center"/>
          </w:tcPr>
          <w:p>
            <w:pPr>
              <w:widowControl/>
              <w:spacing w:line="5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二级指标</w:t>
            </w:r>
          </w:p>
        </w:tc>
        <w:tc>
          <w:tcPr>
            <w:tcW w:w="2111" w:type="dxa"/>
            <w:tcBorders>
              <w:top w:val="single" w:color="auto" w:sz="4" w:space="0"/>
              <w:left w:val="nil"/>
              <w:bottom w:val="single" w:color="auto" w:sz="4" w:space="0"/>
              <w:right w:val="single" w:color="auto" w:sz="8" w:space="0"/>
            </w:tcBorders>
            <w:shd w:val="clear" w:color="000000" w:fill="A6A6A6"/>
            <w:vAlign w:val="center"/>
          </w:tcPr>
          <w:p>
            <w:pPr>
              <w:widowControl/>
              <w:spacing w:line="5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权重</w:t>
            </w:r>
          </w:p>
        </w:tc>
        <w:tc>
          <w:tcPr>
            <w:tcW w:w="2109" w:type="dxa"/>
            <w:tcBorders>
              <w:top w:val="single" w:color="auto" w:sz="4" w:space="0"/>
              <w:left w:val="nil"/>
              <w:bottom w:val="single" w:color="auto" w:sz="4" w:space="0"/>
              <w:right w:val="single" w:color="auto" w:sz="8" w:space="0"/>
            </w:tcBorders>
            <w:shd w:val="clear" w:color="000000" w:fill="A6A6A6"/>
            <w:vAlign w:val="center"/>
          </w:tcPr>
          <w:p>
            <w:pPr>
              <w:widowControl/>
              <w:spacing w:line="5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得分率</w:t>
            </w:r>
          </w:p>
        </w:tc>
        <w:tc>
          <w:tcPr>
            <w:tcW w:w="2111" w:type="dxa"/>
            <w:tcBorders>
              <w:top w:val="single" w:color="auto" w:sz="4" w:space="0"/>
              <w:left w:val="nil"/>
              <w:bottom w:val="single" w:color="auto" w:sz="4" w:space="0"/>
              <w:right w:val="single" w:color="auto" w:sz="8" w:space="0"/>
            </w:tcBorders>
            <w:shd w:val="clear" w:color="000000" w:fill="A6A6A6"/>
            <w:vAlign w:val="center"/>
          </w:tcPr>
          <w:p>
            <w:pPr>
              <w:widowControl/>
              <w:spacing w:line="5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实际得分</w:t>
            </w:r>
          </w:p>
        </w:tc>
      </w:tr>
      <w:tr>
        <w:tblPrEx>
          <w:tblCellMar>
            <w:top w:w="0" w:type="dxa"/>
            <w:left w:w="108" w:type="dxa"/>
            <w:bottom w:w="0" w:type="dxa"/>
            <w:right w:w="108" w:type="dxa"/>
          </w:tblCellMar>
        </w:tblPrEx>
        <w:trPr>
          <w:trHeight w:val="510" w:hRule="exact"/>
        </w:trPr>
        <w:tc>
          <w:tcPr>
            <w:tcW w:w="2676" w:type="dxa"/>
            <w:tcBorders>
              <w:top w:val="single" w:color="auto" w:sz="4" w:space="0"/>
              <w:left w:val="single" w:color="auto" w:sz="4" w:space="0"/>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产出数量</w:t>
            </w:r>
          </w:p>
        </w:tc>
        <w:tc>
          <w:tcPr>
            <w:tcW w:w="2111"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10</w:t>
            </w:r>
          </w:p>
        </w:tc>
        <w:tc>
          <w:tcPr>
            <w:tcW w:w="2109"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77.7</w:t>
            </w:r>
            <w:r>
              <w:rPr>
                <w:rFonts w:hint="eastAsia" w:ascii="仿宋_GB2312" w:hAnsi="仿宋_GB2312" w:eastAsia="仿宋_GB2312" w:cs="仿宋_GB2312"/>
                <w:color w:val="auto"/>
                <w:kern w:val="0"/>
                <w:sz w:val="32"/>
                <w:szCs w:val="32"/>
                <w:highlight w:val="none"/>
              </w:rPr>
              <w:t>%</w:t>
            </w:r>
          </w:p>
        </w:tc>
        <w:tc>
          <w:tcPr>
            <w:tcW w:w="2111"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lang w:val="en-US" w:eastAsia="zh-CN"/>
              </w:rPr>
              <w:t>7.77</w:t>
            </w:r>
          </w:p>
        </w:tc>
      </w:tr>
      <w:tr>
        <w:tblPrEx>
          <w:tblCellMar>
            <w:top w:w="0" w:type="dxa"/>
            <w:left w:w="108" w:type="dxa"/>
            <w:bottom w:w="0" w:type="dxa"/>
            <w:right w:w="108" w:type="dxa"/>
          </w:tblCellMar>
        </w:tblPrEx>
        <w:trPr>
          <w:trHeight w:val="510" w:hRule="exact"/>
        </w:trPr>
        <w:tc>
          <w:tcPr>
            <w:tcW w:w="2676" w:type="dxa"/>
            <w:tcBorders>
              <w:top w:val="single" w:color="auto" w:sz="4" w:space="0"/>
              <w:left w:val="single" w:color="auto" w:sz="4" w:space="0"/>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产出质量</w:t>
            </w:r>
          </w:p>
        </w:tc>
        <w:tc>
          <w:tcPr>
            <w:tcW w:w="2111"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10</w:t>
            </w:r>
          </w:p>
        </w:tc>
        <w:tc>
          <w:tcPr>
            <w:tcW w:w="2109"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75%</w:t>
            </w:r>
          </w:p>
        </w:tc>
        <w:tc>
          <w:tcPr>
            <w:tcW w:w="2111"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lang w:val="en-US" w:eastAsia="zh-CN"/>
              </w:rPr>
              <w:t>7.5</w:t>
            </w:r>
          </w:p>
        </w:tc>
      </w:tr>
      <w:tr>
        <w:tblPrEx>
          <w:tblCellMar>
            <w:top w:w="0" w:type="dxa"/>
            <w:left w:w="108" w:type="dxa"/>
            <w:bottom w:w="0" w:type="dxa"/>
            <w:right w:w="108" w:type="dxa"/>
          </w:tblCellMar>
        </w:tblPrEx>
        <w:trPr>
          <w:trHeight w:val="510" w:hRule="exact"/>
        </w:trPr>
        <w:tc>
          <w:tcPr>
            <w:tcW w:w="2676" w:type="dxa"/>
            <w:tcBorders>
              <w:top w:val="nil"/>
              <w:left w:val="single" w:color="auto" w:sz="4" w:space="0"/>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产出时效</w:t>
            </w:r>
          </w:p>
        </w:tc>
        <w:tc>
          <w:tcPr>
            <w:tcW w:w="2111" w:type="dxa"/>
            <w:tcBorders>
              <w:top w:val="nil"/>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10</w:t>
            </w:r>
          </w:p>
        </w:tc>
        <w:tc>
          <w:tcPr>
            <w:tcW w:w="2109" w:type="dxa"/>
            <w:tcBorders>
              <w:top w:val="nil"/>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2111" w:type="dxa"/>
            <w:tcBorders>
              <w:top w:val="nil"/>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10</w:t>
            </w:r>
          </w:p>
        </w:tc>
      </w:tr>
      <w:tr>
        <w:tblPrEx>
          <w:tblCellMar>
            <w:top w:w="0" w:type="dxa"/>
            <w:left w:w="108" w:type="dxa"/>
            <w:bottom w:w="0" w:type="dxa"/>
            <w:right w:w="108" w:type="dxa"/>
          </w:tblCellMar>
        </w:tblPrEx>
        <w:trPr>
          <w:trHeight w:val="510" w:hRule="exact"/>
        </w:trPr>
        <w:tc>
          <w:tcPr>
            <w:tcW w:w="2676" w:type="dxa"/>
            <w:tcBorders>
              <w:top w:val="nil"/>
              <w:left w:val="single" w:color="auto" w:sz="4" w:space="0"/>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产出成本</w:t>
            </w:r>
          </w:p>
        </w:tc>
        <w:tc>
          <w:tcPr>
            <w:tcW w:w="2111" w:type="dxa"/>
            <w:tcBorders>
              <w:top w:val="nil"/>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10</w:t>
            </w:r>
          </w:p>
        </w:tc>
        <w:tc>
          <w:tcPr>
            <w:tcW w:w="2109" w:type="dxa"/>
            <w:tcBorders>
              <w:top w:val="nil"/>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56.7</w:t>
            </w:r>
            <w:r>
              <w:rPr>
                <w:rFonts w:hint="eastAsia" w:ascii="仿宋_GB2312" w:hAnsi="仿宋_GB2312" w:eastAsia="仿宋_GB2312" w:cs="仿宋_GB2312"/>
                <w:color w:val="auto"/>
                <w:kern w:val="0"/>
                <w:sz w:val="32"/>
                <w:szCs w:val="32"/>
                <w:highlight w:val="none"/>
              </w:rPr>
              <w:t>%</w:t>
            </w:r>
          </w:p>
        </w:tc>
        <w:tc>
          <w:tcPr>
            <w:tcW w:w="2111" w:type="dxa"/>
            <w:tcBorders>
              <w:top w:val="nil"/>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lang w:val="en-US" w:eastAsia="zh-CN"/>
              </w:rPr>
              <w:t>5.67</w:t>
            </w:r>
          </w:p>
        </w:tc>
      </w:tr>
      <w:tr>
        <w:tblPrEx>
          <w:tblCellMar>
            <w:top w:w="0" w:type="dxa"/>
            <w:left w:w="108" w:type="dxa"/>
            <w:bottom w:w="0" w:type="dxa"/>
            <w:right w:w="108" w:type="dxa"/>
          </w:tblCellMar>
        </w:tblPrEx>
        <w:trPr>
          <w:trHeight w:val="510" w:hRule="exact"/>
        </w:trPr>
        <w:tc>
          <w:tcPr>
            <w:tcW w:w="2676" w:type="dxa"/>
            <w:tcBorders>
              <w:top w:val="nil"/>
              <w:left w:val="single" w:color="auto" w:sz="4" w:space="0"/>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合计</w:t>
            </w:r>
          </w:p>
        </w:tc>
        <w:tc>
          <w:tcPr>
            <w:tcW w:w="2111" w:type="dxa"/>
            <w:tcBorders>
              <w:top w:val="nil"/>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40</w:t>
            </w:r>
          </w:p>
        </w:tc>
        <w:tc>
          <w:tcPr>
            <w:tcW w:w="2109" w:type="dxa"/>
            <w:tcBorders>
              <w:top w:val="nil"/>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77.35</w:t>
            </w:r>
            <w:r>
              <w:rPr>
                <w:rFonts w:hint="eastAsia" w:ascii="仿宋_GB2312" w:hAnsi="仿宋_GB2312" w:eastAsia="仿宋_GB2312" w:cs="仿宋_GB2312"/>
                <w:color w:val="auto"/>
                <w:kern w:val="0"/>
                <w:sz w:val="32"/>
                <w:szCs w:val="32"/>
                <w:highlight w:val="none"/>
              </w:rPr>
              <w:t>%</w:t>
            </w:r>
          </w:p>
        </w:tc>
        <w:tc>
          <w:tcPr>
            <w:tcW w:w="2111" w:type="dxa"/>
            <w:tcBorders>
              <w:top w:val="nil"/>
              <w:left w:val="nil"/>
              <w:bottom w:val="single" w:color="auto" w:sz="4" w:space="0"/>
              <w:right w:val="single" w:color="auto" w:sz="4" w:space="0"/>
            </w:tcBorders>
            <w:noWrap/>
            <w:vAlign w:val="center"/>
          </w:tcPr>
          <w:p>
            <w:pPr>
              <w:widowControl/>
              <w:spacing w:line="500" w:lineRule="exact"/>
              <w:jc w:val="cente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30.94</w:t>
            </w:r>
          </w:p>
        </w:tc>
      </w:tr>
    </w:tbl>
    <w:p>
      <w:pPr>
        <w:spacing w:line="50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数量指标方面：开展各类宣讲活动场次，年度指标值为≥30，实际完成值为10</w:t>
      </w:r>
      <w:r>
        <w:rPr>
          <w:rFonts w:hint="eastAsia" w:ascii="仿宋_GB2312" w:hAnsi="仿宋_GB2312" w:eastAsia="仿宋_GB2312" w:cs="仿宋_GB2312"/>
          <w:color w:val="auto"/>
          <w:sz w:val="32"/>
          <w:szCs w:val="32"/>
          <w:highlight w:val="none"/>
          <w:lang w:val="en-US" w:eastAsia="zh-CN"/>
        </w:rPr>
        <w:t>,指标完成率33.33%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开展工作调研活动，年度指标值为≥1次，实际完成值为1次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指标完成率100%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赴基层传达上级会议精神次数，年度指标值为≥1次，实际完成值为1次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指标完成率100%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分值</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7.77</w:t>
      </w:r>
      <w:r>
        <w:rPr>
          <w:rFonts w:hint="eastAsia" w:ascii="仿宋_GB2312" w:hAnsi="仿宋_GB2312" w:eastAsia="仿宋_GB2312" w:cs="仿宋_GB2312"/>
          <w:color w:val="auto"/>
          <w:sz w:val="32"/>
          <w:szCs w:val="32"/>
          <w:highlight w:val="none"/>
        </w:rPr>
        <w:t>分，得分率</w:t>
      </w:r>
      <w:r>
        <w:rPr>
          <w:rFonts w:hint="eastAsia" w:ascii="仿宋_GB2312" w:hAnsi="仿宋_GB2312" w:eastAsia="仿宋_GB2312" w:cs="仿宋_GB2312"/>
          <w:color w:val="auto"/>
          <w:sz w:val="32"/>
          <w:szCs w:val="32"/>
          <w:highlight w:val="none"/>
          <w:lang w:val="en-US" w:eastAsia="zh-CN"/>
        </w:rPr>
        <w:t>77.7</w:t>
      </w:r>
      <w:r>
        <w:rPr>
          <w:rFonts w:hint="eastAsia" w:ascii="仿宋_GB2312" w:hAnsi="仿宋_GB2312" w:eastAsia="仿宋_GB2312" w:cs="仿宋_GB2312"/>
          <w:color w:val="auto"/>
          <w:sz w:val="32"/>
          <w:szCs w:val="32"/>
          <w:highlight w:val="none"/>
        </w:rPr>
        <w:t>%。</w:t>
      </w:r>
    </w:p>
    <w:p>
      <w:pPr>
        <w:spacing w:line="50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质量指标方面：受教育人数，年度指标值为≥2万人，实际完成值为2万人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调研单位，年度指标值为≥10所，实际完成值为5所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分值</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7.5</w:t>
      </w:r>
      <w:r>
        <w:rPr>
          <w:rFonts w:hint="eastAsia" w:ascii="仿宋_GB2312" w:hAnsi="仿宋_GB2312" w:eastAsia="仿宋_GB2312" w:cs="仿宋_GB2312"/>
          <w:color w:val="auto"/>
          <w:sz w:val="32"/>
          <w:szCs w:val="32"/>
          <w:highlight w:val="none"/>
        </w:rPr>
        <w:t>分，得分率75%。</w:t>
      </w:r>
    </w:p>
    <w:p>
      <w:pPr>
        <w:spacing w:line="50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成本指标方面：工作经费，年度指标值为≤15万元，实际完成值为8.5</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分值</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5.67</w:t>
      </w:r>
      <w:r>
        <w:rPr>
          <w:rFonts w:hint="eastAsia" w:ascii="仿宋_GB2312" w:hAnsi="仿宋_GB2312" w:eastAsia="仿宋_GB2312" w:cs="仿宋_GB2312"/>
          <w:color w:val="auto"/>
          <w:sz w:val="32"/>
          <w:szCs w:val="32"/>
          <w:highlight w:val="none"/>
        </w:rPr>
        <w:t>分，得分率</w:t>
      </w:r>
      <w:r>
        <w:rPr>
          <w:rFonts w:hint="eastAsia" w:ascii="仿宋_GB2312" w:hAnsi="仿宋_GB2312" w:eastAsia="仿宋_GB2312" w:cs="仿宋_GB2312"/>
          <w:color w:val="auto"/>
          <w:sz w:val="32"/>
          <w:szCs w:val="32"/>
          <w:highlight w:val="none"/>
          <w:lang w:val="en-US" w:eastAsia="zh-CN"/>
        </w:rPr>
        <w:t>56.7</w:t>
      </w:r>
      <w:r>
        <w:rPr>
          <w:rFonts w:hint="eastAsia" w:ascii="仿宋_GB2312" w:hAnsi="仿宋_GB2312" w:eastAsia="仿宋_GB2312" w:cs="仿宋_GB2312"/>
          <w:color w:val="auto"/>
          <w:sz w:val="32"/>
          <w:szCs w:val="32"/>
          <w:highlight w:val="none"/>
        </w:rPr>
        <w:t>%。</w:t>
      </w:r>
    </w:p>
    <w:p>
      <w:pPr>
        <w:spacing w:line="50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时效指标方面：全面完成各项工作任务时间，年度指标值为=11月底，实际完成值为11月底</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分值</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分，得分率100%。</w:t>
      </w:r>
    </w:p>
    <w:p>
      <w:pPr>
        <w:pStyle w:val="16"/>
        <w:snapToGrid w:val="0"/>
        <w:spacing w:line="500" w:lineRule="exact"/>
        <w:ind w:left="648" w:firstLine="0" w:firstLineChars="0"/>
        <w:rPr>
          <w:rFonts w:hint="eastAsia" w:ascii="仿宋_GB2312" w:hAnsi="仿宋_GB2312" w:eastAsia="仿宋_GB2312" w:cs="仿宋_GB2312"/>
          <w:b/>
          <w:color w:val="auto"/>
          <w:kern w:val="2"/>
          <w:sz w:val="32"/>
          <w:szCs w:val="32"/>
          <w:highlight w:val="none"/>
        </w:rPr>
      </w:pPr>
      <w:r>
        <w:rPr>
          <w:rFonts w:hint="eastAsia" w:ascii="仿宋_GB2312" w:hAnsi="仿宋_GB2312" w:eastAsia="仿宋_GB2312" w:cs="仿宋_GB2312"/>
          <w:b/>
          <w:color w:val="auto"/>
          <w:kern w:val="2"/>
          <w:sz w:val="32"/>
          <w:szCs w:val="32"/>
          <w:highlight w:val="none"/>
        </w:rPr>
        <w:t>（四）效益情况</w:t>
      </w:r>
    </w:p>
    <w:p>
      <w:pPr>
        <w:spacing w:line="50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项目绩效主要从项目的社会效益、可持续影响指标、服务对象满意度3个方面对项目的绩效情况进行评价。项目绩效类指标分值</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0分，实际得分</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0分，得分率为100%。项目绩效指标得分情况如表所示：</w:t>
      </w:r>
    </w:p>
    <w:tbl>
      <w:tblPr>
        <w:tblStyle w:val="9"/>
        <w:tblW w:w="88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591"/>
        <w:gridCol w:w="3300"/>
        <w:gridCol w:w="1323"/>
        <w:gridCol w:w="1323"/>
        <w:gridCol w:w="132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95" w:hRule="atLeast"/>
        </w:trPr>
        <w:tc>
          <w:tcPr>
            <w:tcW w:w="4891" w:type="dxa"/>
            <w:gridSpan w:val="2"/>
            <w:tcBorders>
              <w:tl2br w:val="nil"/>
              <w:tr2bl w:val="nil"/>
            </w:tcBorders>
            <w:shd w:val="clear" w:color="auto" w:fill="A4A4A4" w:themeFill="background1" w:themeFillShade="A5"/>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三级指标</w:t>
            </w:r>
          </w:p>
        </w:tc>
        <w:tc>
          <w:tcPr>
            <w:tcW w:w="1323" w:type="dxa"/>
            <w:tcBorders>
              <w:tl2br w:val="nil"/>
              <w:tr2bl w:val="nil"/>
            </w:tcBorders>
            <w:shd w:val="clear" w:color="auto" w:fill="A4A4A4" w:themeFill="background1" w:themeFillShade="A5"/>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分值</w:t>
            </w:r>
          </w:p>
        </w:tc>
        <w:tc>
          <w:tcPr>
            <w:tcW w:w="1323" w:type="dxa"/>
            <w:tcBorders>
              <w:tl2br w:val="nil"/>
              <w:tr2bl w:val="nil"/>
            </w:tcBorders>
            <w:shd w:val="clear" w:color="auto" w:fill="A4A4A4" w:themeFill="background1" w:themeFillShade="A5"/>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得分率</w:t>
            </w:r>
          </w:p>
        </w:tc>
        <w:tc>
          <w:tcPr>
            <w:tcW w:w="1323" w:type="dxa"/>
            <w:tcBorders>
              <w:tl2br w:val="nil"/>
              <w:tr2bl w:val="nil"/>
            </w:tcBorders>
            <w:shd w:val="clear" w:color="auto" w:fill="A4A4A4" w:themeFill="background1" w:themeFillShade="A5"/>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1591" w:type="dxa"/>
            <w:vMerge w:val="restart"/>
            <w:tcBorders>
              <w:tl2br w:val="nil"/>
              <w:tr2bl w:val="nil"/>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实施效益</w:t>
            </w:r>
          </w:p>
        </w:tc>
        <w:tc>
          <w:tcPr>
            <w:tcW w:w="3300" w:type="dxa"/>
            <w:tcBorders>
              <w:tl2br w:val="nil"/>
              <w:tr2bl w:val="nil"/>
            </w:tcBorders>
            <w:shd w:val="clear" w:color="auto" w:fill="auto"/>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社会效益</w:t>
            </w:r>
          </w:p>
        </w:tc>
        <w:tc>
          <w:tcPr>
            <w:tcW w:w="1323" w:type="dxa"/>
            <w:tcBorders>
              <w:tl2br w:val="nil"/>
              <w:tr2bl w:val="nil"/>
            </w:tcBorders>
            <w:shd w:val="clear" w:color="auto" w:fill="auto"/>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8</w:t>
            </w:r>
          </w:p>
        </w:tc>
        <w:tc>
          <w:tcPr>
            <w:tcW w:w="1323" w:type="dxa"/>
            <w:tcBorders>
              <w:tl2br w:val="nil"/>
              <w:tr2bl w:val="nil"/>
            </w:tcBorders>
            <w:shd w:val="clear" w:color="auto" w:fill="auto"/>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100%</w:t>
            </w:r>
          </w:p>
        </w:tc>
        <w:tc>
          <w:tcPr>
            <w:tcW w:w="1323" w:type="dxa"/>
            <w:tcBorders>
              <w:tl2br w:val="nil"/>
              <w:tr2bl w:val="nil"/>
            </w:tcBorders>
            <w:shd w:val="clear" w:color="auto" w:fill="auto"/>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1591" w:type="dxa"/>
            <w:vMerge w:val="continue"/>
            <w:tcBorders>
              <w:tl2br w:val="nil"/>
              <w:tr2bl w:val="nil"/>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32"/>
                <w:szCs w:val="32"/>
                <w:highlight w:val="none"/>
              </w:rPr>
            </w:pPr>
          </w:p>
        </w:tc>
        <w:tc>
          <w:tcPr>
            <w:tcW w:w="3300" w:type="dxa"/>
            <w:tcBorders>
              <w:tl2br w:val="nil"/>
              <w:tr2bl w:val="nil"/>
            </w:tcBorders>
            <w:shd w:val="clear" w:color="auto" w:fill="auto"/>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可持续影响指标</w:t>
            </w:r>
          </w:p>
        </w:tc>
        <w:tc>
          <w:tcPr>
            <w:tcW w:w="1323" w:type="dxa"/>
            <w:tcBorders>
              <w:tl2br w:val="nil"/>
              <w:tr2bl w:val="nil"/>
            </w:tcBorders>
            <w:shd w:val="clear" w:color="auto" w:fill="auto"/>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7</w:t>
            </w:r>
          </w:p>
        </w:tc>
        <w:tc>
          <w:tcPr>
            <w:tcW w:w="1323" w:type="dxa"/>
            <w:tcBorders>
              <w:tl2br w:val="nil"/>
              <w:tr2bl w:val="nil"/>
            </w:tcBorders>
            <w:shd w:val="clear" w:color="auto" w:fill="auto"/>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100%</w:t>
            </w:r>
          </w:p>
        </w:tc>
        <w:tc>
          <w:tcPr>
            <w:tcW w:w="1323" w:type="dxa"/>
            <w:tcBorders>
              <w:tl2br w:val="nil"/>
              <w:tr2bl w:val="nil"/>
            </w:tcBorders>
            <w:shd w:val="clear" w:color="auto" w:fill="auto"/>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1591" w:type="dxa"/>
            <w:tcBorders>
              <w:tl2br w:val="nil"/>
              <w:tr2bl w:val="nil"/>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满意度</w:t>
            </w:r>
          </w:p>
        </w:tc>
        <w:tc>
          <w:tcPr>
            <w:tcW w:w="3300" w:type="dxa"/>
            <w:tcBorders>
              <w:tl2br w:val="nil"/>
              <w:tr2bl w:val="nil"/>
            </w:tcBorders>
            <w:shd w:val="clear" w:color="auto" w:fill="auto"/>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青少年满意度</w:t>
            </w:r>
          </w:p>
        </w:tc>
        <w:tc>
          <w:tcPr>
            <w:tcW w:w="1323" w:type="dxa"/>
            <w:tcBorders>
              <w:tl2br w:val="nil"/>
              <w:tr2bl w:val="nil"/>
            </w:tcBorders>
            <w:shd w:val="clear" w:color="auto" w:fill="auto"/>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5</w:t>
            </w:r>
          </w:p>
        </w:tc>
        <w:tc>
          <w:tcPr>
            <w:tcW w:w="1323" w:type="dxa"/>
            <w:tcBorders>
              <w:tl2br w:val="nil"/>
              <w:tr2bl w:val="nil"/>
            </w:tcBorders>
            <w:shd w:val="clear" w:color="auto" w:fill="auto"/>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100%</w:t>
            </w:r>
          </w:p>
        </w:tc>
        <w:tc>
          <w:tcPr>
            <w:tcW w:w="1323" w:type="dxa"/>
            <w:tcBorders>
              <w:tl2br w:val="nil"/>
              <w:tr2bl w:val="nil"/>
            </w:tcBorders>
            <w:shd w:val="clear" w:color="auto" w:fill="auto"/>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4891" w:type="dxa"/>
            <w:gridSpan w:val="2"/>
            <w:tcBorders>
              <w:tl2br w:val="nil"/>
              <w:tr2bl w:val="nil"/>
            </w:tcBorders>
            <w:shd w:val="clear" w:color="auto" w:fill="auto"/>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合  计</w:t>
            </w:r>
          </w:p>
        </w:tc>
        <w:tc>
          <w:tcPr>
            <w:tcW w:w="1323" w:type="dxa"/>
            <w:tcBorders>
              <w:tl2br w:val="nil"/>
              <w:tr2bl w:val="nil"/>
            </w:tcBorders>
            <w:shd w:val="clear" w:color="auto" w:fill="auto"/>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w:t>
            </w:r>
          </w:p>
        </w:tc>
        <w:tc>
          <w:tcPr>
            <w:tcW w:w="1323" w:type="dxa"/>
            <w:tcBorders>
              <w:tl2br w:val="nil"/>
              <w:tr2bl w:val="nil"/>
            </w:tcBorders>
            <w:shd w:val="clear" w:color="auto" w:fill="auto"/>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100%</w:t>
            </w:r>
          </w:p>
        </w:tc>
        <w:tc>
          <w:tcPr>
            <w:tcW w:w="1323" w:type="dxa"/>
            <w:tcBorders>
              <w:tl2br w:val="nil"/>
              <w:tr2bl w:val="nil"/>
            </w:tcBorders>
            <w:shd w:val="clear" w:color="auto" w:fill="auto"/>
            <w:noWrap/>
            <w:tcMar>
              <w:top w:w="10" w:type="dxa"/>
              <w:left w:w="10" w:type="dxa"/>
              <w:right w:w="10" w:type="dxa"/>
            </w:tcMar>
            <w:vAlign w:val="bottom"/>
          </w:tcPr>
          <w:p>
            <w:pPr>
              <w:widowControl/>
              <w:spacing w:line="500" w:lineRule="exact"/>
              <w:jc w:val="center"/>
              <w:textAlignment w:val="bottom"/>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0</w:t>
            </w:r>
          </w:p>
        </w:tc>
      </w:tr>
    </w:tbl>
    <w:p>
      <w:pPr>
        <w:spacing w:line="500" w:lineRule="exact"/>
        <w:ind w:firstLine="640"/>
        <w:rPr>
          <w:rStyle w:val="21"/>
          <w:rFonts w:hint="eastAsia" w:ascii="仿宋_GB2312" w:hAnsi="仿宋_GB2312" w:eastAsia="仿宋_GB2312" w:cs="仿宋_GB2312"/>
          <w:color w:val="auto"/>
          <w:sz w:val="32"/>
          <w:szCs w:val="32"/>
          <w:highlight w:val="none"/>
        </w:rPr>
      </w:pPr>
      <w:r>
        <w:rPr>
          <w:rStyle w:val="21"/>
          <w:rFonts w:hint="eastAsia" w:ascii="仿宋_GB2312" w:hAnsi="仿宋_GB2312" w:eastAsia="仿宋_GB2312" w:cs="仿宋_GB2312"/>
          <w:color w:val="auto"/>
          <w:sz w:val="32"/>
          <w:szCs w:val="32"/>
          <w:highlight w:val="none"/>
        </w:rPr>
        <w:t>社会效益指标方面：党史教育水平，年度指标值为≥60%，实际完成值为60%</w:t>
      </w:r>
      <w:r>
        <w:rPr>
          <w:rStyle w:val="21"/>
          <w:rFonts w:hint="eastAsia" w:ascii="仿宋_GB2312" w:hAnsi="仿宋_GB2312" w:eastAsia="仿宋_GB2312" w:cs="仿宋_GB2312"/>
          <w:color w:val="auto"/>
          <w:sz w:val="32"/>
          <w:szCs w:val="32"/>
          <w:highlight w:val="none"/>
          <w:lang w:eastAsia="zh-CN"/>
        </w:rPr>
        <w:t>；</w:t>
      </w:r>
      <w:r>
        <w:rPr>
          <w:rStyle w:val="21"/>
          <w:rFonts w:hint="eastAsia" w:ascii="仿宋_GB2312" w:hAnsi="仿宋_GB2312" w:eastAsia="仿宋_GB2312" w:cs="仿宋_GB2312"/>
          <w:color w:val="auto"/>
          <w:sz w:val="32"/>
          <w:szCs w:val="32"/>
          <w:highlight w:val="none"/>
        </w:rPr>
        <w:t>青少年法制意识，年度指标值为增强，实际完成值为显著</w:t>
      </w:r>
      <w:r>
        <w:rPr>
          <w:rStyle w:val="21"/>
          <w:rFonts w:hint="eastAsia" w:ascii="仿宋_GB2312" w:hAnsi="仿宋_GB2312" w:eastAsia="仿宋_GB2312" w:cs="仿宋_GB2312"/>
          <w:color w:val="auto"/>
          <w:sz w:val="32"/>
          <w:szCs w:val="32"/>
          <w:highlight w:val="none"/>
          <w:lang w:eastAsia="zh-CN"/>
        </w:rPr>
        <w:t>。</w:t>
      </w:r>
      <w:r>
        <w:rPr>
          <w:rStyle w:val="21"/>
          <w:rFonts w:hint="eastAsia" w:ascii="仿宋_GB2312" w:hAnsi="仿宋_GB2312" w:eastAsia="仿宋_GB2312" w:cs="仿宋_GB2312"/>
          <w:color w:val="auto"/>
          <w:sz w:val="32"/>
          <w:szCs w:val="32"/>
          <w:highlight w:val="none"/>
        </w:rPr>
        <w:t>分值</w:t>
      </w:r>
      <w:r>
        <w:rPr>
          <w:rStyle w:val="21"/>
          <w:rFonts w:hint="eastAsia" w:ascii="仿宋_GB2312" w:hAnsi="仿宋_GB2312" w:eastAsia="仿宋_GB2312" w:cs="仿宋_GB2312"/>
          <w:color w:val="auto"/>
          <w:sz w:val="32"/>
          <w:szCs w:val="32"/>
          <w:highlight w:val="none"/>
          <w:lang w:val="en-US" w:eastAsia="zh-CN"/>
        </w:rPr>
        <w:t>8</w:t>
      </w:r>
      <w:r>
        <w:rPr>
          <w:rStyle w:val="21"/>
          <w:rFonts w:hint="eastAsia" w:ascii="仿宋_GB2312" w:hAnsi="仿宋_GB2312" w:eastAsia="仿宋_GB2312" w:cs="仿宋_GB2312"/>
          <w:color w:val="auto"/>
          <w:sz w:val="32"/>
          <w:szCs w:val="32"/>
          <w:highlight w:val="none"/>
        </w:rPr>
        <w:t>分，实际得分</w:t>
      </w:r>
      <w:r>
        <w:rPr>
          <w:rStyle w:val="21"/>
          <w:rFonts w:hint="eastAsia" w:ascii="仿宋_GB2312" w:hAnsi="仿宋_GB2312" w:eastAsia="仿宋_GB2312" w:cs="仿宋_GB2312"/>
          <w:color w:val="auto"/>
          <w:sz w:val="32"/>
          <w:szCs w:val="32"/>
          <w:highlight w:val="none"/>
          <w:lang w:val="en-US" w:eastAsia="zh-CN"/>
        </w:rPr>
        <w:t>8</w:t>
      </w:r>
      <w:r>
        <w:rPr>
          <w:rStyle w:val="21"/>
          <w:rFonts w:hint="eastAsia" w:ascii="仿宋_GB2312" w:hAnsi="仿宋_GB2312" w:eastAsia="仿宋_GB2312" w:cs="仿宋_GB2312"/>
          <w:color w:val="auto"/>
          <w:sz w:val="32"/>
          <w:szCs w:val="32"/>
          <w:highlight w:val="none"/>
        </w:rPr>
        <w:t>分，得分率100%。</w:t>
      </w:r>
    </w:p>
    <w:p>
      <w:pPr>
        <w:spacing w:line="500" w:lineRule="exact"/>
        <w:ind w:firstLine="640"/>
        <w:rPr>
          <w:rStyle w:val="21"/>
          <w:rFonts w:hint="eastAsia" w:ascii="仿宋_GB2312" w:hAnsi="仿宋_GB2312" w:eastAsia="仿宋_GB2312" w:cs="仿宋_GB2312"/>
          <w:color w:val="auto"/>
          <w:sz w:val="32"/>
          <w:szCs w:val="32"/>
          <w:highlight w:val="none"/>
        </w:rPr>
      </w:pPr>
      <w:r>
        <w:rPr>
          <w:rStyle w:val="21"/>
          <w:rFonts w:hint="eastAsia" w:ascii="仿宋_GB2312" w:hAnsi="仿宋_GB2312" w:eastAsia="仿宋_GB2312" w:cs="仿宋_GB2312"/>
          <w:color w:val="auto"/>
          <w:sz w:val="32"/>
          <w:szCs w:val="32"/>
          <w:highlight w:val="none"/>
        </w:rPr>
        <w:t>可持续影响指标方面：青少年思想道德水平，年度指标值为持续提高，实际完成值为提高</w:t>
      </w:r>
      <w:r>
        <w:rPr>
          <w:rStyle w:val="21"/>
          <w:rFonts w:hint="eastAsia" w:ascii="仿宋_GB2312" w:hAnsi="仿宋_GB2312" w:eastAsia="仿宋_GB2312" w:cs="仿宋_GB2312"/>
          <w:color w:val="auto"/>
          <w:sz w:val="32"/>
          <w:szCs w:val="32"/>
          <w:highlight w:val="none"/>
          <w:lang w:eastAsia="zh-CN"/>
        </w:rPr>
        <w:t>。</w:t>
      </w:r>
      <w:r>
        <w:rPr>
          <w:rStyle w:val="21"/>
          <w:rFonts w:hint="eastAsia" w:ascii="仿宋_GB2312" w:hAnsi="仿宋_GB2312" w:eastAsia="仿宋_GB2312" w:cs="仿宋_GB2312"/>
          <w:color w:val="auto"/>
          <w:sz w:val="32"/>
          <w:szCs w:val="32"/>
          <w:highlight w:val="none"/>
        </w:rPr>
        <w:t>分值7分，实际得分7分，得分率100%。</w:t>
      </w:r>
    </w:p>
    <w:p>
      <w:pPr>
        <w:spacing w:line="500" w:lineRule="exact"/>
        <w:ind w:firstLine="640" w:firstLineChars="200"/>
        <w:rPr>
          <w:rStyle w:val="21"/>
          <w:rFonts w:hint="eastAsia" w:ascii="仿宋_GB2312" w:hAnsi="仿宋_GB2312" w:eastAsia="仿宋_GB2312" w:cs="仿宋_GB2312"/>
          <w:color w:val="auto"/>
          <w:sz w:val="32"/>
          <w:szCs w:val="32"/>
          <w:highlight w:val="none"/>
        </w:rPr>
      </w:pPr>
      <w:r>
        <w:rPr>
          <w:rStyle w:val="21"/>
          <w:rFonts w:hint="eastAsia" w:ascii="仿宋_GB2312" w:hAnsi="仿宋_GB2312" w:eastAsia="仿宋_GB2312" w:cs="仿宋_GB2312"/>
          <w:color w:val="auto"/>
          <w:sz w:val="32"/>
          <w:szCs w:val="32"/>
          <w:highlight w:val="none"/>
        </w:rPr>
        <w:t>满意度指标方面：青少年满意度，年度指标值为≥90%，实际完成值为90%</w:t>
      </w:r>
      <w:r>
        <w:rPr>
          <w:rStyle w:val="21"/>
          <w:rFonts w:hint="eastAsia" w:ascii="仿宋_GB2312" w:hAnsi="仿宋_GB2312" w:eastAsia="仿宋_GB2312" w:cs="仿宋_GB2312"/>
          <w:color w:val="auto"/>
          <w:sz w:val="32"/>
          <w:szCs w:val="32"/>
          <w:highlight w:val="none"/>
          <w:lang w:eastAsia="zh-CN"/>
        </w:rPr>
        <w:t>。</w:t>
      </w:r>
      <w:r>
        <w:rPr>
          <w:rStyle w:val="21"/>
          <w:rFonts w:hint="eastAsia" w:ascii="仿宋_GB2312" w:hAnsi="仿宋_GB2312" w:eastAsia="仿宋_GB2312" w:cs="仿宋_GB2312"/>
          <w:color w:val="auto"/>
          <w:sz w:val="32"/>
          <w:szCs w:val="32"/>
          <w:highlight w:val="none"/>
        </w:rPr>
        <w:t>分值</w:t>
      </w:r>
      <w:r>
        <w:rPr>
          <w:rStyle w:val="21"/>
          <w:rFonts w:hint="eastAsia" w:ascii="仿宋_GB2312" w:hAnsi="仿宋_GB2312" w:eastAsia="仿宋_GB2312" w:cs="仿宋_GB2312"/>
          <w:color w:val="auto"/>
          <w:sz w:val="32"/>
          <w:szCs w:val="32"/>
          <w:highlight w:val="none"/>
          <w:lang w:val="en-US" w:eastAsia="zh-CN"/>
        </w:rPr>
        <w:t>5</w:t>
      </w:r>
      <w:r>
        <w:rPr>
          <w:rStyle w:val="21"/>
          <w:rFonts w:hint="eastAsia" w:ascii="仿宋_GB2312" w:hAnsi="仿宋_GB2312" w:eastAsia="仿宋_GB2312" w:cs="仿宋_GB2312"/>
          <w:color w:val="auto"/>
          <w:sz w:val="32"/>
          <w:szCs w:val="32"/>
          <w:highlight w:val="none"/>
        </w:rPr>
        <w:t>分，实际得分</w:t>
      </w:r>
      <w:r>
        <w:rPr>
          <w:rStyle w:val="21"/>
          <w:rFonts w:hint="eastAsia" w:ascii="仿宋_GB2312" w:hAnsi="仿宋_GB2312" w:eastAsia="仿宋_GB2312" w:cs="仿宋_GB2312"/>
          <w:color w:val="auto"/>
          <w:sz w:val="32"/>
          <w:szCs w:val="32"/>
          <w:highlight w:val="none"/>
          <w:lang w:val="en-US" w:eastAsia="zh-CN"/>
        </w:rPr>
        <w:t>5</w:t>
      </w:r>
      <w:r>
        <w:rPr>
          <w:rStyle w:val="21"/>
          <w:rFonts w:hint="eastAsia" w:ascii="仿宋_GB2312" w:hAnsi="仿宋_GB2312" w:eastAsia="仿宋_GB2312" w:cs="仿宋_GB2312"/>
          <w:color w:val="auto"/>
          <w:sz w:val="32"/>
          <w:szCs w:val="32"/>
          <w:highlight w:val="none"/>
        </w:rPr>
        <w:t>分，得分率100%。</w:t>
      </w:r>
    </w:p>
    <w:p>
      <w:pPr>
        <w:pStyle w:val="16"/>
        <w:snapToGrid w:val="0"/>
        <w:spacing w:line="500" w:lineRule="exact"/>
        <w:ind w:left="648" w:firstLine="0" w:firstLineChars="0"/>
        <w:rPr>
          <w:rFonts w:hint="eastAsia" w:ascii="黑体" w:hAnsi="黑体" w:eastAsia="黑体" w:cs="黑体"/>
          <w:bCs/>
          <w:color w:val="auto"/>
          <w:kern w:val="2"/>
          <w:sz w:val="32"/>
          <w:szCs w:val="32"/>
          <w:highlight w:val="none"/>
        </w:rPr>
      </w:pPr>
      <w:r>
        <w:rPr>
          <w:rFonts w:hint="eastAsia" w:ascii="黑体" w:hAnsi="黑体" w:eastAsia="黑体" w:cs="黑体"/>
          <w:bCs/>
          <w:color w:val="auto"/>
          <w:kern w:val="2"/>
          <w:sz w:val="32"/>
          <w:szCs w:val="32"/>
          <w:highlight w:val="none"/>
        </w:rPr>
        <w:t>五、主要经验及做法、存在的问题及原因分析</w:t>
      </w:r>
    </w:p>
    <w:p>
      <w:pPr>
        <w:spacing w:line="500" w:lineRule="exact"/>
        <w:ind w:firstLine="627" w:firstLineChars="200"/>
        <w:rPr>
          <w:rFonts w:hint="eastAsia" w:ascii="仿宋_GB2312" w:hAnsi="仿宋_GB2312" w:eastAsia="仿宋_GB2312" w:cs="仿宋_GB2312"/>
          <w:b/>
          <w:color w:val="auto"/>
          <w:spacing w:val="-4"/>
          <w:sz w:val="32"/>
          <w:szCs w:val="32"/>
          <w:highlight w:val="none"/>
        </w:rPr>
      </w:pPr>
      <w:r>
        <w:rPr>
          <w:rFonts w:hint="eastAsia" w:ascii="仿宋_GB2312" w:hAnsi="仿宋_GB2312" w:eastAsia="仿宋_GB2312" w:cs="仿宋_GB2312"/>
          <w:b/>
          <w:color w:val="auto"/>
          <w:spacing w:val="-4"/>
          <w:sz w:val="32"/>
          <w:szCs w:val="32"/>
          <w:highlight w:val="none"/>
        </w:rPr>
        <w:t>（一）主要经验及做法</w:t>
      </w:r>
    </w:p>
    <w:p>
      <w:pPr>
        <w:spacing w:line="500" w:lineRule="exact"/>
        <w:ind w:firstLine="936" w:firstLineChars="300"/>
        <w:rPr>
          <w:rStyle w:val="11"/>
          <w:rFonts w:hint="eastAsia" w:ascii="仿宋_GB2312" w:hAnsi="仿宋_GB2312" w:eastAsia="仿宋_GB2312" w:cs="仿宋_GB2312"/>
          <w:b w:val="0"/>
          <w:color w:val="auto"/>
          <w:sz w:val="32"/>
          <w:szCs w:val="32"/>
          <w:highlight w:val="none"/>
        </w:rPr>
      </w:pPr>
      <w:r>
        <w:rPr>
          <w:rStyle w:val="11"/>
          <w:rFonts w:hint="eastAsia" w:ascii="仿宋_GB2312" w:hAnsi="仿宋_GB2312" w:eastAsia="仿宋_GB2312" w:cs="仿宋_GB2312"/>
          <w:b w:val="0"/>
          <w:color w:val="auto"/>
          <w:spacing w:val="-4"/>
          <w:sz w:val="32"/>
          <w:szCs w:val="32"/>
          <w:highlight w:val="none"/>
        </w:rPr>
        <w:t>地区关心下一代工作委员会</w:t>
      </w:r>
      <w:r>
        <w:rPr>
          <w:rStyle w:val="11"/>
          <w:rFonts w:hint="eastAsia" w:ascii="仿宋_GB2312" w:hAnsi="仿宋_GB2312" w:eastAsia="仿宋_GB2312" w:cs="仿宋_GB2312"/>
          <w:b w:val="0"/>
          <w:color w:val="auto"/>
          <w:sz w:val="32"/>
          <w:szCs w:val="32"/>
          <w:highlight w:val="none"/>
        </w:rPr>
        <w:t>办公费主要目的是为了充分发挥老干部、老战士、老专家、老教师、老模范为主要力量的“五老”队伍优势，培养教育青少年，为国家</w:t>
      </w:r>
      <w:r>
        <w:rPr>
          <w:rFonts w:hint="eastAsia" w:ascii="仿宋_GB2312" w:hAnsi="仿宋_GB2312" w:eastAsia="仿宋_GB2312" w:cs="仿宋_GB2312"/>
          <w:bCs/>
          <w:color w:val="auto"/>
          <w:sz w:val="32"/>
          <w:szCs w:val="32"/>
          <w:highlight w:val="none"/>
        </w:rPr>
        <w:t>培养有理想、有道德、有文化、有纪律的德、智、体、美全面发展的中国特色社会主义事业建设者和接班人</w:t>
      </w:r>
      <w:r>
        <w:rPr>
          <w:rStyle w:val="11"/>
          <w:rFonts w:hint="eastAsia" w:ascii="仿宋_GB2312" w:hAnsi="仿宋_GB2312" w:eastAsia="仿宋_GB2312" w:cs="仿宋_GB2312"/>
          <w:b w:val="0"/>
          <w:color w:val="auto"/>
          <w:sz w:val="32"/>
          <w:szCs w:val="32"/>
          <w:highlight w:val="none"/>
        </w:rPr>
        <w:t>，紧紧把握这一条主线，合理安排资金使用。</w:t>
      </w:r>
    </w:p>
    <w:p>
      <w:pPr>
        <w:spacing w:line="500" w:lineRule="exact"/>
        <w:ind w:firstLine="627" w:firstLineChars="200"/>
        <w:rPr>
          <w:rFonts w:hint="eastAsia" w:ascii="仿宋_GB2312" w:hAnsi="仿宋_GB2312" w:eastAsia="仿宋_GB2312" w:cs="仿宋_GB2312"/>
          <w:b/>
          <w:color w:val="auto"/>
          <w:spacing w:val="-4"/>
          <w:sz w:val="32"/>
          <w:szCs w:val="32"/>
          <w:highlight w:val="none"/>
        </w:rPr>
      </w:pPr>
      <w:r>
        <w:rPr>
          <w:rFonts w:hint="eastAsia" w:ascii="仿宋_GB2312" w:hAnsi="仿宋_GB2312" w:eastAsia="仿宋_GB2312" w:cs="仿宋_GB2312"/>
          <w:b/>
          <w:color w:val="auto"/>
          <w:spacing w:val="-4"/>
          <w:sz w:val="32"/>
          <w:szCs w:val="32"/>
          <w:highlight w:val="none"/>
          <w:lang w:eastAsia="zh-CN"/>
        </w:rPr>
        <w:t>（</w:t>
      </w:r>
      <w:r>
        <w:rPr>
          <w:rFonts w:hint="eastAsia" w:ascii="仿宋_GB2312" w:hAnsi="仿宋_GB2312" w:eastAsia="仿宋_GB2312" w:cs="仿宋_GB2312"/>
          <w:b/>
          <w:color w:val="auto"/>
          <w:spacing w:val="-4"/>
          <w:sz w:val="32"/>
          <w:szCs w:val="32"/>
          <w:highlight w:val="none"/>
          <w:lang w:val="en-US" w:eastAsia="zh-CN"/>
        </w:rPr>
        <w:t>二</w:t>
      </w:r>
      <w:r>
        <w:rPr>
          <w:rFonts w:hint="eastAsia" w:ascii="仿宋_GB2312" w:hAnsi="仿宋_GB2312" w:eastAsia="仿宋_GB2312" w:cs="仿宋_GB2312"/>
          <w:b/>
          <w:color w:val="auto"/>
          <w:spacing w:val="-4"/>
          <w:sz w:val="32"/>
          <w:szCs w:val="32"/>
          <w:highlight w:val="none"/>
          <w:lang w:eastAsia="zh-CN"/>
        </w:rPr>
        <w:t>）</w:t>
      </w:r>
      <w:r>
        <w:rPr>
          <w:rFonts w:hint="eastAsia" w:ascii="仿宋_GB2312" w:hAnsi="仿宋_GB2312" w:eastAsia="仿宋_GB2312" w:cs="仿宋_GB2312"/>
          <w:b/>
          <w:color w:val="auto"/>
          <w:spacing w:val="-4"/>
          <w:sz w:val="32"/>
          <w:szCs w:val="32"/>
          <w:highlight w:val="none"/>
        </w:rPr>
        <w:t>存在的问题及原因分析</w:t>
      </w:r>
    </w:p>
    <w:p>
      <w:pPr>
        <w:spacing w:line="600" w:lineRule="exact"/>
        <w:ind w:firstLine="641"/>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存在的问题：</w:t>
      </w:r>
      <w:r>
        <w:rPr>
          <w:rFonts w:hint="eastAsia" w:ascii="仿宋_GB2312" w:hAnsi="仿宋_GB2312" w:eastAsia="仿宋_GB2312" w:cs="仿宋_GB2312"/>
          <w:color w:val="auto"/>
          <w:sz w:val="32"/>
          <w:szCs w:val="32"/>
          <w:highlight w:val="none"/>
        </w:rPr>
        <w:t>项目管理制度有待进一步健全、细化。前期预算考虑问题不够全面，项目预算及支出管理有待进一步提高。</w:t>
      </w:r>
    </w:p>
    <w:p>
      <w:pPr>
        <w:spacing w:line="600" w:lineRule="exact"/>
        <w:ind w:firstLine="641"/>
        <w:rPr>
          <w:rFonts w:hint="eastAsia" w:ascii="仿宋_GB2312" w:hAnsi="仿宋_GB2312" w:eastAsia="仿宋_GB2312" w:cs="仿宋_GB2312"/>
          <w:color w:val="auto"/>
          <w:spacing w:val="-4"/>
          <w:sz w:val="32"/>
          <w:szCs w:val="32"/>
          <w:highlight w:val="none"/>
          <w:lang w:val="en-US" w:eastAsia="zh-CN"/>
        </w:rPr>
      </w:pPr>
      <w:r>
        <w:rPr>
          <w:rFonts w:hint="eastAsia" w:ascii="仿宋_GB2312" w:hAnsi="仿宋_GB2312" w:eastAsia="仿宋_GB2312" w:cs="仿宋_GB2312"/>
          <w:color w:val="auto"/>
          <w:sz w:val="32"/>
          <w:szCs w:val="32"/>
          <w:highlight w:val="none"/>
        </w:rPr>
        <w:t>2、原因分析</w:t>
      </w:r>
      <w:r>
        <w:rPr>
          <w:rFonts w:hint="eastAsia" w:ascii="仿宋_GB2312" w:hAnsi="仿宋_GB2312" w:eastAsia="仿宋_GB2312" w:cs="仿宋_GB2312"/>
          <w:color w:val="auto"/>
          <w:sz w:val="32"/>
          <w:szCs w:val="32"/>
          <w:highlight w:val="none"/>
          <w:lang w:eastAsia="zh-CN"/>
        </w:rPr>
        <w:t>：在项目绩效设置的过程中</w:t>
      </w:r>
      <w:r>
        <w:rPr>
          <w:rFonts w:hint="eastAsia" w:ascii="仿宋_GB2312" w:hAnsi="仿宋_GB2312" w:eastAsia="仿宋_GB2312" w:cs="仿宋_GB2312"/>
          <w:color w:val="auto"/>
          <w:sz w:val="32"/>
          <w:szCs w:val="32"/>
          <w:highlight w:val="none"/>
          <w:lang w:val="en-US" w:eastAsia="zh-CN"/>
        </w:rPr>
        <w:t>欠考虑一些因自然因素导致某一些指标不能按期完成的因素，与设置值有差异。</w:t>
      </w:r>
    </w:p>
    <w:p>
      <w:pPr>
        <w:pStyle w:val="16"/>
        <w:snapToGrid w:val="0"/>
        <w:spacing w:line="500" w:lineRule="exact"/>
        <w:ind w:left="648" w:firstLine="0" w:firstLineChars="0"/>
        <w:rPr>
          <w:rFonts w:hint="eastAsia" w:ascii="黑体" w:hAnsi="黑体" w:eastAsia="黑体" w:cs="黑体"/>
          <w:color w:val="auto"/>
          <w:kern w:val="2"/>
          <w:sz w:val="32"/>
          <w:szCs w:val="32"/>
          <w:highlight w:val="none"/>
        </w:rPr>
      </w:pPr>
      <w:r>
        <w:rPr>
          <w:rFonts w:hint="eastAsia" w:ascii="黑体" w:hAnsi="黑体" w:eastAsia="黑体" w:cs="黑体"/>
          <w:color w:val="auto"/>
          <w:kern w:val="2"/>
          <w:sz w:val="32"/>
          <w:szCs w:val="32"/>
          <w:highlight w:val="none"/>
        </w:rPr>
        <w:t>六、有关建议</w:t>
      </w:r>
    </w:p>
    <w:p>
      <w:pPr>
        <w:spacing w:after="0"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建立健全绩效评价制度。建立健全绩效考核机制，是提高制度执行力，确保各项工作决策部署得到贯彻落实的重要基础。要严格按照“三定”方案等相关规定，理清单位职责，结合单位年度工作计划编制年度预算，以量化工作任务，明确目标导向为前提，根据编制的年度预算设定总体绩效目标和年度绩效目标，并针对不同的项级细化分解设定具体的绩效指标，清晰的体现指标值；结合全年工作情况，对年度绩效情况进行考核评价，根据绩效目标实现情况，为下一步或以后年度预算安排提供参考依据。</w:t>
      </w:r>
    </w:p>
    <w:p>
      <w:pPr>
        <w:spacing w:after="0"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2、进一步提高关心下一代工作的水平，分年龄，分类型制定更为合理的实施方案、授课内容，提高工作质量。</w:t>
      </w:r>
    </w:p>
    <w:p>
      <w:pPr>
        <w:pStyle w:val="16"/>
        <w:snapToGrid w:val="0"/>
        <w:spacing w:line="500" w:lineRule="exact"/>
        <w:ind w:left="648" w:firstLine="0" w:firstLineChars="0"/>
        <w:rPr>
          <w:rFonts w:hint="eastAsia" w:ascii="黑体" w:hAnsi="黑体" w:eastAsia="黑体" w:cs="黑体"/>
          <w:bCs/>
          <w:color w:val="auto"/>
          <w:kern w:val="2"/>
          <w:sz w:val="32"/>
          <w:szCs w:val="32"/>
          <w:highlight w:val="none"/>
        </w:rPr>
      </w:pPr>
      <w:r>
        <w:rPr>
          <w:rFonts w:hint="eastAsia" w:ascii="黑体" w:hAnsi="黑体" w:eastAsia="黑体" w:cs="黑体"/>
          <w:bCs/>
          <w:color w:val="auto"/>
          <w:kern w:val="2"/>
          <w:sz w:val="32"/>
          <w:szCs w:val="32"/>
          <w:highlight w:val="none"/>
        </w:rPr>
        <w:t>七、其他需要说明的问题</w:t>
      </w:r>
    </w:p>
    <w:p>
      <w:pPr>
        <w:spacing w:line="500" w:lineRule="exact"/>
        <w:ind w:firstLine="640" w:firstLineChars="200"/>
        <w:jc w:val="left"/>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无</w:t>
      </w:r>
      <w:r>
        <w:rPr>
          <w:rFonts w:hint="eastAsia" w:ascii="仿宋_GB2312" w:hAnsi="仿宋_GB2312" w:eastAsia="仿宋_GB2312" w:cs="仿宋_GB2312"/>
          <w:color w:val="auto"/>
          <w:sz w:val="32"/>
          <w:szCs w:val="32"/>
          <w:highlight w:val="none"/>
          <w:lang w:eastAsia="zh-CN"/>
        </w:rPr>
        <w:t>。</w:t>
      </w:r>
    </w:p>
    <w:p>
      <w:pPr>
        <w:spacing w:line="500" w:lineRule="exact"/>
        <w:ind w:firstLine="640" w:firstLineChars="200"/>
        <w:jc w:val="left"/>
        <w:rPr>
          <w:rFonts w:hint="eastAsia" w:ascii="仿宋_GB2312" w:hAnsi="仿宋_GB2312" w:eastAsia="仿宋_GB2312" w:cs="仿宋_GB2312"/>
          <w:color w:val="auto"/>
          <w:sz w:val="32"/>
          <w:szCs w:val="32"/>
          <w:highlight w:val="none"/>
        </w:rPr>
        <w:sectPr>
          <w:footerReference r:id="rId3" w:type="default"/>
          <w:footerReference r:id="rId4" w:type="even"/>
          <w:pgSz w:w="11906" w:h="16838"/>
          <w:pgMar w:top="2098" w:right="1531" w:bottom="1985" w:left="1531" w:header="851" w:footer="992" w:gutter="0"/>
          <w:pgNumType w:fmt="numberInDash"/>
          <w:cols w:space="720" w:num="1"/>
          <w:docGrid w:type="lines" w:linePitch="579" w:charSpace="-1675"/>
        </w:sectPr>
      </w:pPr>
    </w:p>
    <w:p>
      <w:pPr>
        <w:spacing w:line="600" w:lineRule="exact"/>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附件1</w:t>
      </w:r>
    </w:p>
    <w:p>
      <w:pPr>
        <w:spacing w:line="600" w:lineRule="exact"/>
        <w:rPr>
          <w:rFonts w:hint="eastAsia" w:ascii="仿宋_GB2312" w:hAnsi="仿宋_GB2312" w:eastAsia="仿宋_GB2312" w:cs="仿宋_GB2312"/>
          <w:bCs/>
          <w:color w:val="auto"/>
          <w:sz w:val="32"/>
          <w:szCs w:val="32"/>
          <w:highlight w:val="none"/>
          <w:lang w:val="en-US" w:eastAsia="zh-CN"/>
        </w:rPr>
      </w:pPr>
    </w:p>
    <w:tbl>
      <w:tblPr>
        <w:tblStyle w:val="9"/>
        <w:tblW w:w="8942" w:type="dxa"/>
        <w:tblInd w:w="0" w:type="dxa"/>
        <w:tblLayout w:type="fixed"/>
        <w:tblCellMar>
          <w:top w:w="0" w:type="dxa"/>
          <w:left w:w="0" w:type="dxa"/>
          <w:bottom w:w="0" w:type="dxa"/>
          <w:right w:w="0" w:type="dxa"/>
        </w:tblCellMar>
      </w:tblPr>
      <w:tblGrid>
        <w:gridCol w:w="990"/>
        <w:gridCol w:w="520"/>
        <w:gridCol w:w="1200"/>
        <w:gridCol w:w="960"/>
        <w:gridCol w:w="912"/>
        <w:gridCol w:w="3330"/>
        <w:gridCol w:w="1030"/>
      </w:tblGrid>
      <w:tr>
        <w:tblPrEx>
          <w:tblCellMar>
            <w:top w:w="0" w:type="dxa"/>
            <w:left w:w="0" w:type="dxa"/>
            <w:bottom w:w="0" w:type="dxa"/>
            <w:right w:w="0" w:type="dxa"/>
          </w:tblCellMar>
        </w:tblPrEx>
        <w:trPr>
          <w:trHeight w:val="347"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一级指标</w:t>
            </w:r>
          </w:p>
        </w:tc>
        <w:tc>
          <w:tcPr>
            <w:tcW w:w="5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分值</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二级指标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分值</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三级指标</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分值</w:t>
            </w:r>
          </w:p>
        </w:tc>
      </w:tr>
      <w:tr>
        <w:tblPrEx>
          <w:tblCellMar>
            <w:top w:w="0" w:type="dxa"/>
            <w:left w:w="0" w:type="dxa"/>
            <w:bottom w:w="0" w:type="dxa"/>
            <w:right w:w="0" w:type="dxa"/>
          </w:tblCellMar>
        </w:tblPrEx>
        <w:trPr>
          <w:trHeight w:val="31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决策</w:t>
            </w:r>
          </w:p>
        </w:tc>
        <w:tc>
          <w:tcPr>
            <w:tcW w:w="52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20</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绩效目标</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5</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绩效目标合理性</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5</w:t>
            </w:r>
          </w:p>
        </w:tc>
      </w:tr>
      <w:tr>
        <w:tblPrEx>
          <w:tblCellMar>
            <w:top w:w="0" w:type="dxa"/>
            <w:left w:w="0" w:type="dxa"/>
            <w:bottom w:w="0" w:type="dxa"/>
            <w:right w:w="0" w:type="dxa"/>
          </w:tblCellMar>
        </w:tblPrEx>
        <w:trPr>
          <w:trHeight w:val="31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项目决策</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10</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决策依据充分性</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5</w:t>
            </w:r>
          </w:p>
        </w:tc>
      </w:tr>
      <w:tr>
        <w:tblPrEx>
          <w:tblCellMar>
            <w:top w:w="0" w:type="dxa"/>
            <w:left w:w="0" w:type="dxa"/>
            <w:bottom w:w="0" w:type="dxa"/>
            <w:right w:w="0" w:type="dxa"/>
          </w:tblCellMar>
        </w:tblPrEx>
        <w:trPr>
          <w:trHeight w:val="31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决策程序规范性</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5</w:t>
            </w:r>
          </w:p>
        </w:tc>
      </w:tr>
      <w:tr>
        <w:tblPrEx>
          <w:tblCellMar>
            <w:top w:w="0" w:type="dxa"/>
            <w:left w:w="0" w:type="dxa"/>
            <w:bottom w:w="0" w:type="dxa"/>
            <w:right w:w="0" w:type="dxa"/>
          </w:tblCellMar>
        </w:tblPrEx>
        <w:trPr>
          <w:trHeight w:val="31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1200" w:type="dxa"/>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资金投入</w:t>
            </w:r>
          </w:p>
        </w:tc>
        <w:tc>
          <w:tcPr>
            <w:tcW w:w="960" w:type="dxa"/>
            <w:tcBorders>
              <w:top w:val="single" w:color="000000" w:sz="4" w:space="0"/>
              <w:left w:val="single" w:color="000000" w:sz="4" w:space="0"/>
              <w:bottom w:val="nil"/>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5</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预算编制科学性</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5</w:t>
            </w:r>
          </w:p>
        </w:tc>
      </w:tr>
      <w:tr>
        <w:tblPrEx>
          <w:tblCellMar>
            <w:top w:w="0" w:type="dxa"/>
            <w:left w:w="0" w:type="dxa"/>
            <w:bottom w:w="0" w:type="dxa"/>
            <w:right w:w="0" w:type="dxa"/>
          </w:tblCellMar>
        </w:tblPrEx>
        <w:trPr>
          <w:trHeight w:val="31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过程</w:t>
            </w:r>
          </w:p>
        </w:tc>
        <w:tc>
          <w:tcPr>
            <w:tcW w:w="52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20</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资金管理</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10</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资金到位率</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5</w:t>
            </w:r>
          </w:p>
        </w:tc>
      </w:tr>
      <w:tr>
        <w:tblPrEx>
          <w:tblCellMar>
            <w:top w:w="0" w:type="dxa"/>
            <w:left w:w="0" w:type="dxa"/>
            <w:bottom w:w="0" w:type="dxa"/>
            <w:right w:w="0" w:type="dxa"/>
          </w:tblCellMar>
        </w:tblPrEx>
        <w:trPr>
          <w:trHeight w:val="31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资金使用合规性</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5</w:t>
            </w:r>
          </w:p>
        </w:tc>
      </w:tr>
      <w:tr>
        <w:tblPrEx>
          <w:tblCellMar>
            <w:top w:w="0" w:type="dxa"/>
            <w:left w:w="0" w:type="dxa"/>
            <w:bottom w:w="0" w:type="dxa"/>
            <w:right w:w="0" w:type="dxa"/>
          </w:tblCellMar>
        </w:tblPrEx>
        <w:trPr>
          <w:trHeight w:val="31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组织实施</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10</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管理制度健全性</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5</w:t>
            </w:r>
          </w:p>
        </w:tc>
      </w:tr>
      <w:tr>
        <w:tblPrEx>
          <w:tblCellMar>
            <w:top w:w="0" w:type="dxa"/>
            <w:left w:w="0" w:type="dxa"/>
            <w:bottom w:w="0" w:type="dxa"/>
            <w:right w:w="0" w:type="dxa"/>
          </w:tblCellMar>
        </w:tblPrEx>
        <w:trPr>
          <w:trHeight w:val="31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制度建设有效性</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5</w:t>
            </w:r>
          </w:p>
        </w:tc>
      </w:tr>
      <w:tr>
        <w:tblPrEx>
          <w:tblCellMar>
            <w:top w:w="0" w:type="dxa"/>
            <w:left w:w="0" w:type="dxa"/>
            <w:bottom w:w="0" w:type="dxa"/>
            <w:right w:w="0" w:type="dxa"/>
          </w:tblCellMar>
        </w:tblPrEx>
        <w:trPr>
          <w:trHeight w:val="31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产出</w:t>
            </w:r>
          </w:p>
        </w:tc>
        <w:tc>
          <w:tcPr>
            <w:tcW w:w="52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40</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产出数量</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10</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附属设施建设数量</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lang w:val="en-US" w:eastAsia="zh-CN"/>
              </w:rPr>
            </w:pPr>
            <w:r>
              <w:rPr>
                <w:rFonts w:hint="eastAsia" w:ascii="仿宋_GB2312" w:hAnsi="仿宋_GB2312" w:eastAsia="仿宋_GB2312" w:cs="仿宋_GB2312"/>
                <w:color w:val="auto"/>
                <w:kern w:val="0"/>
                <w:sz w:val="22"/>
                <w:szCs w:val="22"/>
                <w:highlight w:val="none"/>
                <w:lang w:val="en-US" w:eastAsia="zh-CN"/>
              </w:rPr>
              <w:t>7.77</w:t>
            </w:r>
          </w:p>
        </w:tc>
      </w:tr>
      <w:tr>
        <w:tblPrEx>
          <w:tblCellMar>
            <w:top w:w="0" w:type="dxa"/>
            <w:left w:w="0" w:type="dxa"/>
            <w:bottom w:w="0" w:type="dxa"/>
            <w:right w:w="0"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产出质量</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10</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验收合格率</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lang w:val="en-US" w:eastAsia="zh-CN"/>
              </w:rPr>
            </w:pPr>
            <w:r>
              <w:rPr>
                <w:rFonts w:hint="eastAsia" w:ascii="仿宋_GB2312" w:hAnsi="仿宋_GB2312" w:eastAsia="仿宋_GB2312" w:cs="仿宋_GB2312"/>
                <w:color w:val="auto"/>
                <w:kern w:val="0"/>
                <w:sz w:val="22"/>
                <w:szCs w:val="22"/>
                <w:highlight w:val="none"/>
                <w:lang w:val="en-US" w:eastAsia="zh-CN"/>
              </w:rPr>
              <w:t>7.5</w:t>
            </w:r>
          </w:p>
        </w:tc>
      </w:tr>
      <w:tr>
        <w:tblPrEx>
          <w:tblCellMar>
            <w:top w:w="0" w:type="dxa"/>
            <w:left w:w="0" w:type="dxa"/>
            <w:bottom w:w="0" w:type="dxa"/>
            <w:right w:w="0"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产出时效</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10</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工程进度按计划时间完成</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10</w:t>
            </w:r>
          </w:p>
        </w:tc>
      </w:tr>
      <w:tr>
        <w:tblPrEx>
          <w:tblCellMar>
            <w:top w:w="0" w:type="dxa"/>
            <w:left w:w="0" w:type="dxa"/>
            <w:bottom w:w="0" w:type="dxa"/>
            <w:right w:w="0"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产出成本</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10</w:t>
            </w:r>
          </w:p>
        </w:tc>
        <w:tc>
          <w:tcPr>
            <w:tcW w:w="42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成本节约率</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lang w:val="en-US" w:eastAsia="zh-CN"/>
              </w:rPr>
            </w:pPr>
            <w:r>
              <w:rPr>
                <w:rFonts w:hint="eastAsia" w:ascii="仿宋_GB2312" w:hAnsi="仿宋_GB2312" w:eastAsia="仿宋_GB2312" w:cs="仿宋_GB2312"/>
                <w:color w:val="auto"/>
                <w:kern w:val="0"/>
                <w:sz w:val="22"/>
                <w:szCs w:val="22"/>
                <w:highlight w:val="none"/>
                <w:lang w:val="en-US" w:eastAsia="zh-CN"/>
              </w:rPr>
              <w:t>5.67</w:t>
            </w:r>
          </w:p>
        </w:tc>
      </w:tr>
      <w:tr>
        <w:tblPrEx>
          <w:tblCellMar>
            <w:top w:w="0" w:type="dxa"/>
            <w:left w:w="0" w:type="dxa"/>
            <w:bottom w:w="0" w:type="dxa"/>
            <w:right w:w="0" w:type="dxa"/>
          </w:tblCellMar>
        </w:tblPrEx>
        <w:trPr>
          <w:trHeight w:val="57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效益</w:t>
            </w:r>
          </w:p>
        </w:tc>
        <w:tc>
          <w:tcPr>
            <w:tcW w:w="52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20</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项目效益</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15</w:t>
            </w:r>
          </w:p>
        </w:tc>
        <w:tc>
          <w:tcPr>
            <w:tcW w:w="91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实施效益</w:t>
            </w:r>
          </w:p>
        </w:tc>
        <w:tc>
          <w:tcPr>
            <w:tcW w:w="33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党史教育水平得到提升</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8</w:t>
            </w:r>
          </w:p>
        </w:tc>
      </w:tr>
      <w:tr>
        <w:tblPrEx>
          <w:tblCellMar>
            <w:top w:w="0" w:type="dxa"/>
            <w:left w:w="0" w:type="dxa"/>
            <w:bottom w:w="0" w:type="dxa"/>
            <w:right w:w="0"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33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青少年法治意识显著增强</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7</w:t>
            </w:r>
          </w:p>
        </w:tc>
      </w:tr>
      <w:tr>
        <w:tblPrEx>
          <w:tblCellMar>
            <w:top w:w="0" w:type="dxa"/>
            <w:left w:w="0" w:type="dxa"/>
            <w:bottom w:w="0" w:type="dxa"/>
            <w:right w:w="0"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rPr>
                <w:rFonts w:hint="eastAsia" w:ascii="仿宋_GB2312" w:hAnsi="仿宋_GB2312" w:eastAsia="仿宋_GB2312" w:cs="仿宋_GB2312"/>
                <w:color w:val="auto"/>
                <w:sz w:val="22"/>
                <w:szCs w:val="22"/>
                <w:highlight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5</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满意度</w:t>
            </w:r>
          </w:p>
        </w:tc>
        <w:tc>
          <w:tcPr>
            <w:tcW w:w="33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工作人员使用满意度</w:t>
            </w:r>
            <w:r>
              <w:rPr>
                <w:rStyle w:val="17"/>
                <w:rFonts w:hint="eastAsia" w:ascii="仿宋_GB2312" w:hAnsi="仿宋_GB2312" w:eastAsia="仿宋_GB2312" w:cs="仿宋_GB2312"/>
                <w:color w:val="auto"/>
                <w:sz w:val="22"/>
                <w:szCs w:val="22"/>
                <w:highlight w:val="none"/>
              </w:rPr>
              <w:t>≧</w:t>
            </w:r>
            <w:r>
              <w:rPr>
                <w:rStyle w:val="18"/>
                <w:rFonts w:hint="eastAsia" w:ascii="仿宋_GB2312" w:hAnsi="仿宋_GB2312" w:eastAsia="仿宋_GB2312" w:cs="仿宋_GB2312"/>
                <w:color w:val="auto"/>
                <w:sz w:val="22"/>
                <w:szCs w:val="22"/>
                <w:highlight w:val="none"/>
              </w:rPr>
              <w:t>95%</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500" w:lineRule="exact"/>
              <w:jc w:val="center"/>
              <w:textAlignment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5</w:t>
            </w:r>
          </w:p>
        </w:tc>
      </w:tr>
    </w:tbl>
    <w:p>
      <w:pPr>
        <w:pStyle w:val="2"/>
        <w:rPr>
          <w:rFonts w:hint="eastAsia" w:ascii="仿宋_GB2312" w:hAnsi="仿宋_GB2312" w:eastAsia="仿宋_GB2312" w:cs="仿宋_GB2312"/>
          <w:color w:val="auto"/>
          <w:highlight w:val="none"/>
          <w:lang w:val="en-US" w:eastAsia="zh-CN"/>
        </w:rPr>
        <w:sectPr>
          <w:pgSz w:w="11906" w:h="16838"/>
          <w:pgMar w:top="2098" w:right="1531" w:bottom="1985" w:left="1531" w:header="851" w:footer="992" w:gutter="0"/>
          <w:pgNumType w:fmt="numberInDash"/>
          <w:cols w:space="720" w:num="1"/>
          <w:docGrid w:type="lines" w:linePitch="579" w:charSpace="-1675"/>
        </w:sectPr>
      </w:pPr>
    </w:p>
    <w:tbl>
      <w:tblPr>
        <w:tblStyle w:val="9"/>
        <w:tblW w:w="9437" w:type="dxa"/>
        <w:tblInd w:w="0" w:type="dxa"/>
        <w:shd w:val="clear" w:color="auto" w:fill="auto"/>
        <w:tblLayout w:type="fixed"/>
        <w:tblCellMar>
          <w:top w:w="0" w:type="dxa"/>
          <w:left w:w="0" w:type="dxa"/>
          <w:bottom w:w="0" w:type="dxa"/>
          <w:right w:w="0" w:type="dxa"/>
        </w:tblCellMar>
      </w:tblPr>
      <w:tblGrid>
        <w:gridCol w:w="840"/>
        <w:gridCol w:w="840"/>
        <w:gridCol w:w="1194"/>
        <w:gridCol w:w="486"/>
        <w:gridCol w:w="995"/>
        <w:gridCol w:w="685"/>
        <w:gridCol w:w="840"/>
        <w:gridCol w:w="1369"/>
        <w:gridCol w:w="2188"/>
      </w:tblGrid>
      <w:tr>
        <w:tblPrEx>
          <w:shd w:val="clear" w:color="auto" w:fill="auto"/>
          <w:tblCellMar>
            <w:top w:w="0" w:type="dxa"/>
            <w:left w:w="0" w:type="dxa"/>
            <w:bottom w:w="0" w:type="dxa"/>
            <w:right w:w="0" w:type="dxa"/>
          </w:tblCellMar>
        </w:tblPrEx>
        <w:trPr>
          <w:trHeight w:val="409" w:hRule="atLeast"/>
        </w:trPr>
        <w:tc>
          <w:tcPr>
            <w:tcW w:w="9437"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auto"/>
                <w:sz w:val="32"/>
                <w:szCs w:val="32"/>
                <w:highlight w:val="none"/>
                <w:u w:val="none"/>
              </w:rPr>
            </w:pPr>
            <w:r>
              <w:rPr>
                <w:rFonts w:hint="eastAsia" w:ascii="方正小标宋_GBK" w:hAnsi="方正小标宋_GBK" w:eastAsia="方正小标宋_GBK" w:cs="方正小标宋_GBK"/>
                <w:b w:val="0"/>
                <w:bCs/>
                <w:i w:val="0"/>
                <w:color w:val="auto"/>
                <w:kern w:val="0"/>
                <w:sz w:val="44"/>
                <w:szCs w:val="44"/>
                <w:highlight w:val="none"/>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9437"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项目名称</w:t>
            </w:r>
          </w:p>
        </w:tc>
        <w:tc>
          <w:tcPr>
            <w:tcW w:w="775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塔城地区关心下一代工作经费</w:t>
            </w:r>
          </w:p>
        </w:tc>
      </w:tr>
      <w:tr>
        <w:tblPrEx>
          <w:shd w:val="clear" w:color="auto" w:fill="auto"/>
          <w:tblCellMar>
            <w:top w:w="0" w:type="dxa"/>
            <w:left w:w="0" w:type="dxa"/>
            <w:bottom w:w="0" w:type="dxa"/>
            <w:right w:w="0" w:type="dxa"/>
          </w:tblCellMar>
        </w:tblPrEx>
        <w:trPr>
          <w:trHeight w:val="81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实施单位</w:t>
            </w: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中共塔城地区委员会老干部局</w:t>
            </w:r>
          </w:p>
        </w:tc>
      </w:tr>
      <w:tr>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项目资金</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Theme="majorEastAsia" w:hAnsiTheme="majorEastAsia" w:eastAsiaTheme="majorEastAsia" w:cstheme="majorEastAsia"/>
                <w:i w:val="0"/>
                <w:color w:val="auto"/>
                <w:sz w:val="18"/>
                <w:szCs w:val="18"/>
                <w:highlight w:val="none"/>
                <w:u w:val="none"/>
              </w:rPr>
            </w:pP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年初预算数</w:t>
            </w:r>
          </w:p>
        </w:tc>
        <w:tc>
          <w:tcPr>
            <w:tcW w:w="15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全年预算数</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全年执行数</w:t>
            </w: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执行率</w:t>
            </w:r>
          </w:p>
        </w:tc>
      </w:tr>
      <w:tr>
        <w:tblPrEx>
          <w:shd w:val="clear" w:color="auto" w:fill="auto"/>
          <w:tblCellMar>
            <w:top w:w="0" w:type="dxa"/>
            <w:left w:w="0" w:type="dxa"/>
            <w:bottom w:w="0" w:type="dxa"/>
            <w:right w:w="0" w:type="dxa"/>
          </w:tblCellMar>
        </w:tblPrEx>
        <w:trPr>
          <w:trHeight w:val="480" w:hRule="atLeast"/>
        </w:trPr>
        <w:tc>
          <w:tcPr>
            <w:tcW w:w="1680" w:type="dxa"/>
            <w:gridSpan w:val="2"/>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年度资金总额</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lang w:val="en-US"/>
              </w:rPr>
            </w:pPr>
            <w:r>
              <w:rPr>
                <w:rFonts w:hint="eastAsia" w:asciiTheme="majorEastAsia" w:hAnsiTheme="majorEastAsia" w:eastAsiaTheme="majorEastAsia" w:cstheme="majorEastAsia"/>
                <w:i w:val="0"/>
                <w:color w:val="auto"/>
                <w:kern w:val="0"/>
                <w:sz w:val="18"/>
                <w:szCs w:val="18"/>
                <w:highlight w:val="none"/>
                <w:u w:val="none"/>
                <w:lang w:val="en-US" w:eastAsia="zh-CN" w:bidi="ar"/>
              </w:rPr>
              <w:t>15</w:t>
            </w:r>
          </w:p>
        </w:tc>
        <w:tc>
          <w:tcPr>
            <w:tcW w:w="15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lang w:val="en-US"/>
              </w:rPr>
            </w:pPr>
            <w:r>
              <w:rPr>
                <w:rFonts w:hint="eastAsia" w:asciiTheme="majorEastAsia" w:hAnsiTheme="majorEastAsia" w:eastAsiaTheme="majorEastAsia" w:cstheme="majorEastAsia"/>
                <w:i w:val="0"/>
                <w:color w:val="auto"/>
                <w:kern w:val="0"/>
                <w:sz w:val="18"/>
                <w:szCs w:val="18"/>
                <w:highlight w:val="none"/>
                <w:u w:val="none"/>
                <w:lang w:val="en-US" w:eastAsia="zh-CN" w:bidi="ar"/>
              </w:rPr>
              <w:t>15</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8.51</w:t>
            </w: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56.73%</w:t>
            </w:r>
          </w:p>
        </w:tc>
      </w:tr>
      <w:tr>
        <w:tblPrEx>
          <w:shd w:val="clear" w:color="auto" w:fill="auto"/>
          <w:tblCellMar>
            <w:top w:w="0" w:type="dxa"/>
            <w:left w:w="0" w:type="dxa"/>
            <w:bottom w:w="0" w:type="dxa"/>
            <w:right w:w="0" w:type="dxa"/>
          </w:tblCellMar>
        </w:tblPrEx>
        <w:trPr>
          <w:trHeight w:val="540" w:hRule="atLeast"/>
        </w:trPr>
        <w:tc>
          <w:tcPr>
            <w:tcW w:w="1680"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其中：当年财政拨款</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lang w:val="en-US"/>
              </w:rPr>
            </w:pPr>
            <w:r>
              <w:rPr>
                <w:rFonts w:hint="eastAsia" w:asciiTheme="majorEastAsia" w:hAnsiTheme="majorEastAsia" w:eastAsiaTheme="majorEastAsia" w:cstheme="majorEastAsia"/>
                <w:i w:val="0"/>
                <w:color w:val="auto"/>
                <w:kern w:val="0"/>
                <w:sz w:val="18"/>
                <w:szCs w:val="18"/>
                <w:highlight w:val="none"/>
                <w:u w:val="none"/>
                <w:lang w:val="en-US" w:eastAsia="zh-CN" w:bidi="ar"/>
              </w:rPr>
              <w:t>15</w:t>
            </w:r>
          </w:p>
        </w:tc>
        <w:tc>
          <w:tcPr>
            <w:tcW w:w="15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lang w:val="en-US"/>
              </w:rPr>
            </w:pPr>
            <w:r>
              <w:rPr>
                <w:rFonts w:hint="eastAsia" w:asciiTheme="majorEastAsia" w:hAnsiTheme="majorEastAsia" w:eastAsiaTheme="majorEastAsia" w:cstheme="majorEastAsia"/>
                <w:i w:val="0"/>
                <w:color w:val="auto"/>
                <w:kern w:val="0"/>
                <w:sz w:val="18"/>
                <w:szCs w:val="18"/>
                <w:highlight w:val="none"/>
                <w:u w:val="none"/>
                <w:lang w:val="en-US" w:eastAsia="zh-CN" w:bidi="ar"/>
              </w:rPr>
              <w:t>15</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8.51</w:t>
            </w: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w:t>
            </w:r>
          </w:p>
        </w:tc>
      </w:tr>
      <w:tr>
        <w:tblPrEx>
          <w:shd w:val="clear" w:color="auto" w:fill="auto"/>
          <w:tblCellMar>
            <w:top w:w="0" w:type="dxa"/>
            <w:left w:w="0" w:type="dxa"/>
            <w:bottom w:w="0" w:type="dxa"/>
            <w:right w:w="0" w:type="dxa"/>
          </w:tblCellMar>
        </w:tblPrEx>
        <w:trPr>
          <w:trHeight w:val="94" w:hRule="atLeast"/>
        </w:trPr>
        <w:tc>
          <w:tcPr>
            <w:tcW w:w="1680"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 xml:space="preserve">      上年结转资金</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5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0</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0</w:t>
            </w: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680" w:type="dxa"/>
            <w:gridSpan w:val="2"/>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 xml:space="preserve">  其他资金</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0</w:t>
            </w:r>
          </w:p>
        </w:tc>
        <w:tc>
          <w:tcPr>
            <w:tcW w:w="15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0</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0</w:t>
            </w: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预期目标</w:t>
            </w:r>
          </w:p>
        </w:tc>
        <w:tc>
          <w:tcPr>
            <w:tcW w:w="3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实际完成情况</w:t>
            </w:r>
          </w:p>
        </w:tc>
      </w:tr>
      <w:tr>
        <w:tblPrEx>
          <w:shd w:val="clear" w:color="auto" w:fill="auto"/>
          <w:tblCellMar>
            <w:top w:w="0" w:type="dxa"/>
            <w:left w:w="0" w:type="dxa"/>
            <w:bottom w:w="0" w:type="dxa"/>
            <w:right w:w="0" w:type="dxa"/>
          </w:tblCellMar>
        </w:tblPrEx>
        <w:trPr>
          <w:trHeight w:val="149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开展各类宣讲活动；开展关心下一代工作调研活动；传达贯彻中国关工委、自治区关工委会议精神。完成专项经费15万元。</w:t>
            </w:r>
          </w:p>
        </w:tc>
        <w:tc>
          <w:tcPr>
            <w:tcW w:w="3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开展各类宣讲活动；开展关心下一代工作调研活动；传达贯彻中国关工委、自治区关工委会议精神。完成专项经费15万元。</w:t>
            </w:r>
          </w:p>
        </w:tc>
      </w:tr>
      <w:tr>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一级指标</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二级指标</w:t>
            </w:r>
          </w:p>
        </w:tc>
        <w:tc>
          <w:tcPr>
            <w:tcW w:w="216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年度指标值</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实际完成值</w:t>
            </w:r>
          </w:p>
        </w:tc>
        <w:tc>
          <w:tcPr>
            <w:tcW w:w="21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21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r>
      <w:tr>
        <w:tblPrEx>
          <w:shd w:val="clear" w:color="auto" w:fill="auto"/>
          <w:tblCellMar>
            <w:top w:w="0" w:type="dxa"/>
            <w:left w:w="0" w:type="dxa"/>
            <w:bottom w:w="0" w:type="dxa"/>
            <w:right w:w="0" w:type="dxa"/>
          </w:tblCellMar>
        </w:tblPrEx>
        <w:trPr>
          <w:trHeight w:val="600"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产出指标</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数量指标</w:t>
            </w: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开展各类宣讲活动场次</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≥30</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10</w:t>
            </w: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lang w:eastAsia="zh-CN"/>
              </w:rPr>
            </w:pPr>
            <w:r>
              <w:rPr>
                <w:rFonts w:hint="eastAsia" w:asciiTheme="majorEastAsia" w:hAnsiTheme="majorEastAsia" w:eastAsiaTheme="majorEastAsia" w:cstheme="majorEastAsia"/>
                <w:i w:val="0"/>
                <w:color w:val="auto"/>
                <w:sz w:val="18"/>
                <w:szCs w:val="18"/>
                <w:highlight w:val="none"/>
                <w:u w:val="none"/>
                <w:lang w:eastAsia="zh-CN"/>
              </w:rPr>
              <w:t>因传染病防控原因宣讲次数减少</w:t>
            </w:r>
          </w:p>
        </w:tc>
      </w:tr>
      <w:tr>
        <w:tblPrEx>
          <w:shd w:val="clear" w:color="auto" w:fill="auto"/>
          <w:tblCellMar>
            <w:top w:w="0" w:type="dxa"/>
            <w:left w:w="0" w:type="dxa"/>
            <w:bottom w:w="0" w:type="dxa"/>
            <w:right w:w="0"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开展工作调研活动</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≥1次</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1次</w:t>
            </w: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r>
      <w:tr>
        <w:tblPrEx>
          <w:shd w:val="clear" w:color="auto" w:fill="auto"/>
          <w:tblCellMar>
            <w:top w:w="0" w:type="dxa"/>
            <w:left w:w="0" w:type="dxa"/>
            <w:bottom w:w="0" w:type="dxa"/>
            <w:right w:w="0"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赴基层传达上级会议精神次数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≥1次</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1次</w:t>
            </w: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r>
      <w:tr>
        <w:tblPrEx>
          <w:shd w:val="clear" w:color="auto" w:fill="auto"/>
          <w:tblCellMar>
            <w:top w:w="0" w:type="dxa"/>
            <w:left w:w="0" w:type="dxa"/>
            <w:bottom w:w="0" w:type="dxa"/>
            <w:right w:w="0"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1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质量指标</w:t>
            </w: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受教育人数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≥2万人</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2万人</w:t>
            </w: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r>
      <w:tr>
        <w:tblPrEx>
          <w:shd w:val="clear" w:color="auto" w:fill="auto"/>
          <w:tblCellMar>
            <w:top w:w="0" w:type="dxa"/>
            <w:left w:w="0" w:type="dxa"/>
            <w:bottom w:w="0" w:type="dxa"/>
            <w:right w:w="0"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调研单位</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≥10所</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5所</w:t>
            </w: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传染病防控原因，调研场所减少</w:t>
            </w:r>
          </w:p>
        </w:tc>
      </w:tr>
      <w:tr>
        <w:tblPrEx>
          <w:tblCellMar>
            <w:top w:w="0" w:type="dxa"/>
            <w:left w:w="0" w:type="dxa"/>
            <w:bottom w:w="0" w:type="dxa"/>
            <w:right w:w="0"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时效指标</w:t>
            </w: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全面完成各项工作任务时间</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=11月底</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11月底</w:t>
            </w: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r>
      <w:tr>
        <w:tblPrEx>
          <w:tblCellMar>
            <w:top w:w="0" w:type="dxa"/>
            <w:left w:w="0" w:type="dxa"/>
            <w:bottom w:w="0" w:type="dxa"/>
            <w:right w:w="0"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成本指标</w:t>
            </w: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工作经费</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≤15万元</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8.5092万元</w:t>
            </w: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传染病防控原因活动减少</w:t>
            </w:r>
          </w:p>
        </w:tc>
      </w:tr>
      <w:tr>
        <w:tblPrEx>
          <w:tblCellMar>
            <w:top w:w="0" w:type="dxa"/>
            <w:left w:w="0" w:type="dxa"/>
            <w:bottom w:w="0" w:type="dxa"/>
            <w:right w:w="0"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效益指标</w:t>
            </w:r>
          </w:p>
        </w:tc>
        <w:tc>
          <w:tcPr>
            <w:tcW w:w="11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经济效益指标</w:t>
            </w: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r>
      <w:tr>
        <w:tblPrEx>
          <w:tblCellMar>
            <w:top w:w="0" w:type="dxa"/>
            <w:left w:w="0" w:type="dxa"/>
            <w:bottom w:w="0" w:type="dxa"/>
            <w:right w:w="0"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1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社会效益指标</w:t>
            </w: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党史教育水平</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≥60%</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60%</w:t>
            </w: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r>
      <w:tr>
        <w:tblPrEx>
          <w:tblCellMar>
            <w:top w:w="0" w:type="dxa"/>
            <w:left w:w="0" w:type="dxa"/>
            <w:bottom w:w="0" w:type="dxa"/>
            <w:right w:w="0"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青少年法制意识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增强</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增强</w:t>
            </w: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r>
      <w:tr>
        <w:tblPrEx>
          <w:tblCellMar>
            <w:top w:w="0" w:type="dxa"/>
            <w:left w:w="0" w:type="dxa"/>
            <w:bottom w:w="0" w:type="dxa"/>
            <w:right w:w="0"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生态效益指标</w:t>
            </w: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r>
      <w:tr>
        <w:tblPrEx>
          <w:tblCellMar>
            <w:top w:w="0" w:type="dxa"/>
            <w:left w:w="0" w:type="dxa"/>
            <w:bottom w:w="0" w:type="dxa"/>
            <w:right w:w="0"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可持续影响指标</w:t>
            </w: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青少年思想道德水平</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持续提高</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持续提高</w:t>
            </w: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r>
      <w:tr>
        <w:tblPrEx>
          <w:tblCellMar>
            <w:top w:w="0" w:type="dxa"/>
            <w:left w:w="0" w:type="dxa"/>
            <w:bottom w:w="0" w:type="dxa"/>
            <w:right w:w="0"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满意度指标</w:t>
            </w:r>
          </w:p>
        </w:tc>
        <w:tc>
          <w:tcPr>
            <w:tcW w:w="11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服务对象满意度指标</w:t>
            </w:r>
          </w:p>
        </w:tc>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青少年满意度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≥90%</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auto"/>
                <w:sz w:val="18"/>
                <w:szCs w:val="18"/>
                <w:highlight w:val="none"/>
                <w:u w:val="none"/>
              </w:rPr>
            </w:pPr>
            <w:r>
              <w:rPr>
                <w:rFonts w:hint="eastAsia" w:asciiTheme="majorEastAsia" w:hAnsiTheme="majorEastAsia" w:eastAsiaTheme="majorEastAsia" w:cstheme="majorEastAsia"/>
                <w:i w:val="0"/>
                <w:color w:val="auto"/>
                <w:kern w:val="0"/>
                <w:sz w:val="18"/>
                <w:szCs w:val="18"/>
                <w:highlight w:val="none"/>
                <w:u w:val="none"/>
                <w:lang w:val="en-US" w:eastAsia="zh-CN" w:bidi="ar"/>
              </w:rPr>
              <w:t>90%</w:t>
            </w:r>
          </w:p>
        </w:tc>
        <w:tc>
          <w:tcPr>
            <w:tcW w:w="2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auto"/>
                <w:sz w:val="18"/>
                <w:szCs w:val="18"/>
                <w:highlight w:val="none"/>
                <w:u w:val="none"/>
              </w:rPr>
            </w:pPr>
          </w:p>
        </w:tc>
      </w:tr>
    </w:tbl>
    <w:p>
      <w:pPr>
        <w:rPr>
          <w:rFonts w:hint="eastAsia" w:asciiTheme="majorEastAsia" w:hAnsiTheme="majorEastAsia" w:eastAsiaTheme="majorEastAsia" w:cstheme="majorEastAsia"/>
          <w:color w:val="auto"/>
          <w:sz w:val="18"/>
          <w:szCs w:val="18"/>
          <w:highlight w:val="none"/>
        </w:rPr>
      </w:pPr>
    </w:p>
    <w:sectPr>
      <w:pgSz w:w="11906" w:h="16838"/>
      <w:pgMar w:top="2098" w:right="1531" w:bottom="1985" w:left="1531" w:header="851" w:footer="992" w:gutter="0"/>
      <w:pgNumType w:fmt="numberInDash"/>
      <w:cols w:space="720" w:num="1"/>
      <w:docGrid w:type="lines" w:linePitch="579"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方正仿宋_GBK" w:eastAsia="方正仿宋_GBK"/>
        <w:sz w:val="28"/>
        <w:szCs w:val="28"/>
      </w:rPr>
    </w:pPr>
  </w:p>
  <w:p>
    <w:pPr>
      <w:pStyle w:val="7"/>
      <w:ind w:right="360"/>
      <w:rPr>
        <w:rFonts w:ascii="宋体" w:hAnsi="宋体" w:eastAsia="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5C6BF8"/>
    <w:multiLevelType w:val="singleLevel"/>
    <w:tmpl w:val="EE5C6BF8"/>
    <w:lvl w:ilvl="0" w:tentative="0">
      <w:start w:val="2"/>
      <w:numFmt w:val="decimal"/>
      <w:suff w:val="nothing"/>
      <w:lvlText w:val="%1、"/>
      <w:lvlJc w:val="left"/>
    </w:lvl>
  </w:abstractNum>
  <w:abstractNum w:abstractNumId="1">
    <w:nsid w:val="4C1768C6"/>
    <w:multiLevelType w:val="singleLevel"/>
    <w:tmpl w:val="4C1768C6"/>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1"/>
  <w:bordersDoNotSurroundHeader w:val="0"/>
  <w:bordersDoNotSurroundFooter w:val="0"/>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D0058"/>
    <w:rsid w:val="00043F47"/>
    <w:rsid w:val="00087616"/>
    <w:rsid w:val="000F4112"/>
    <w:rsid w:val="001F0462"/>
    <w:rsid w:val="002420F9"/>
    <w:rsid w:val="002A77DA"/>
    <w:rsid w:val="00303ABD"/>
    <w:rsid w:val="00312C4E"/>
    <w:rsid w:val="00335062"/>
    <w:rsid w:val="00337C28"/>
    <w:rsid w:val="00355B52"/>
    <w:rsid w:val="003C2A37"/>
    <w:rsid w:val="003F29C1"/>
    <w:rsid w:val="004C18EC"/>
    <w:rsid w:val="005433B1"/>
    <w:rsid w:val="00550999"/>
    <w:rsid w:val="005D4168"/>
    <w:rsid w:val="005D56CC"/>
    <w:rsid w:val="00605033"/>
    <w:rsid w:val="006A18C0"/>
    <w:rsid w:val="006B404E"/>
    <w:rsid w:val="006B5BA1"/>
    <w:rsid w:val="006C323A"/>
    <w:rsid w:val="006D0058"/>
    <w:rsid w:val="006D391A"/>
    <w:rsid w:val="00714386"/>
    <w:rsid w:val="00721797"/>
    <w:rsid w:val="00725034"/>
    <w:rsid w:val="0079712C"/>
    <w:rsid w:val="00813DBA"/>
    <w:rsid w:val="00896FDC"/>
    <w:rsid w:val="008C1578"/>
    <w:rsid w:val="008C2EA4"/>
    <w:rsid w:val="008F6E3C"/>
    <w:rsid w:val="00913A39"/>
    <w:rsid w:val="00A036A7"/>
    <w:rsid w:val="00A1065F"/>
    <w:rsid w:val="00A22DC1"/>
    <w:rsid w:val="00A55BA9"/>
    <w:rsid w:val="00AC0A31"/>
    <w:rsid w:val="00AF4FE9"/>
    <w:rsid w:val="00B27295"/>
    <w:rsid w:val="00B53CE5"/>
    <w:rsid w:val="00BC7128"/>
    <w:rsid w:val="00C0104B"/>
    <w:rsid w:val="00C4530B"/>
    <w:rsid w:val="00C933E6"/>
    <w:rsid w:val="00D65B23"/>
    <w:rsid w:val="00D87793"/>
    <w:rsid w:val="00DC4ABF"/>
    <w:rsid w:val="00DD6ABE"/>
    <w:rsid w:val="00E13D38"/>
    <w:rsid w:val="00E728A9"/>
    <w:rsid w:val="00F50ABD"/>
    <w:rsid w:val="00F90167"/>
    <w:rsid w:val="010809CF"/>
    <w:rsid w:val="02C52B8A"/>
    <w:rsid w:val="02D8793F"/>
    <w:rsid w:val="04894976"/>
    <w:rsid w:val="05852CE5"/>
    <w:rsid w:val="07744439"/>
    <w:rsid w:val="0CB81A19"/>
    <w:rsid w:val="0D181931"/>
    <w:rsid w:val="0D9D40F5"/>
    <w:rsid w:val="0F063A44"/>
    <w:rsid w:val="0F477D49"/>
    <w:rsid w:val="103B21AD"/>
    <w:rsid w:val="11610D52"/>
    <w:rsid w:val="12EB5E24"/>
    <w:rsid w:val="135633B0"/>
    <w:rsid w:val="150806FB"/>
    <w:rsid w:val="1D402872"/>
    <w:rsid w:val="1DFA21B9"/>
    <w:rsid w:val="1EDA2C31"/>
    <w:rsid w:val="20E9049E"/>
    <w:rsid w:val="21720D85"/>
    <w:rsid w:val="246254F0"/>
    <w:rsid w:val="260441C7"/>
    <w:rsid w:val="26C13964"/>
    <w:rsid w:val="298C1B6E"/>
    <w:rsid w:val="2BF92943"/>
    <w:rsid w:val="2C1450F3"/>
    <w:rsid w:val="2D614EC4"/>
    <w:rsid w:val="313D1536"/>
    <w:rsid w:val="316B1E06"/>
    <w:rsid w:val="317A6CF8"/>
    <w:rsid w:val="34713C4D"/>
    <w:rsid w:val="3527414C"/>
    <w:rsid w:val="37D54C38"/>
    <w:rsid w:val="3B901869"/>
    <w:rsid w:val="3C656D03"/>
    <w:rsid w:val="3CCD31E6"/>
    <w:rsid w:val="3CF56809"/>
    <w:rsid w:val="41097E9A"/>
    <w:rsid w:val="41923D40"/>
    <w:rsid w:val="43C826BF"/>
    <w:rsid w:val="43CC6B87"/>
    <w:rsid w:val="44A94DF3"/>
    <w:rsid w:val="461B0D29"/>
    <w:rsid w:val="47A0759D"/>
    <w:rsid w:val="4BB15543"/>
    <w:rsid w:val="56C97511"/>
    <w:rsid w:val="56D61ADC"/>
    <w:rsid w:val="5CB00627"/>
    <w:rsid w:val="5EB55718"/>
    <w:rsid w:val="5EE95C5D"/>
    <w:rsid w:val="5F51703D"/>
    <w:rsid w:val="60BB3C07"/>
    <w:rsid w:val="62127D03"/>
    <w:rsid w:val="639E3C81"/>
    <w:rsid w:val="6418568F"/>
    <w:rsid w:val="653406B3"/>
    <w:rsid w:val="665B71BA"/>
    <w:rsid w:val="66680F4E"/>
    <w:rsid w:val="69AB628C"/>
    <w:rsid w:val="6B2F11FF"/>
    <w:rsid w:val="6BBC53B9"/>
    <w:rsid w:val="6F510862"/>
    <w:rsid w:val="70626068"/>
    <w:rsid w:val="70AB79A7"/>
    <w:rsid w:val="73B32A67"/>
    <w:rsid w:val="742E73EC"/>
    <w:rsid w:val="748B1C4C"/>
    <w:rsid w:val="767F7DA4"/>
    <w:rsid w:val="789E5342"/>
    <w:rsid w:val="790F3681"/>
    <w:rsid w:val="7C6944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9"/>
    <w:pPr>
      <w:keepNext/>
      <w:keepLines/>
      <w:spacing w:line="576" w:lineRule="auto"/>
      <w:outlineLvl w:val="0"/>
    </w:pPr>
    <w:rPr>
      <w:b/>
      <w:kern w:val="44"/>
      <w:sz w:val="44"/>
    </w:rPr>
  </w:style>
  <w:style w:type="paragraph" w:styleId="4">
    <w:name w:val="heading 2"/>
    <w:basedOn w:val="1"/>
    <w:next w:val="1"/>
    <w:unhideWhenUsed/>
    <w:qFormat/>
    <w:uiPriority w:val="9"/>
    <w:pPr>
      <w:keepNext/>
      <w:keepLines/>
      <w:spacing w:line="413" w:lineRule="auto"/>
      <w:outlineLvl w:val="1"/>
    </w:pPr>
    <w:rPr>
      <w:rFonts w:ascii="Arial" w:hAnsi="Arial" w:eastAsia="黑体"/>
      <w:b/>
      <w:sz w:val="32"/>
    </w:rPr>
  </w:style>
  <w:style w:type="paragraph" w:styleId="5">
    <w:name w:val="heading 3"/>
    <w:basedOn w:val="1"/>
    <w:next w:val="1"/>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20"/>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6">
    <w:name w:val="annotation text"/>
    <w:basedOn w:val="1"/>
    <w:semiHidden/>
    <w:unhideWhenUsed/>
    <w:qFormat/>
    <w:uiPriority w:val="99"/>
    <w:pPr>
      <w:jc w:val="left"/>
    </w:pPr>
  </w:style>
  <w:style w:type="paragraph" w:styleId="7">
    <w:name w:val="footer"/>
    <w:basedOn w:val="1"/>
    <w:link w:val="13"/>
    <w:qFormat/>
    <w:uiPriority w:val="99"/>
    <w:pPr>
      <w:tabs>
        <w:tab w:val="center" w:pos="4153"/>
        <w:tab w:val="right" w:pos="8306"/>
      </w:tabs>
      <w:snapToGrid w:val="0"/>
      <w:jc w:val="left"/>
    </w:pPr>
    <w:rPr>
      <w:rFonts w:eastAsia="黑体" w:asciiTheme="minorHAnsi" w:hAnsiTheme="minorHAnsi" w:cstheme="minorBidi"/>
      <w:sz w:val="18"/>
      <w:szCs w:val="18"/>
    </w:rPr>
  </w:style>
  <w:style w:type="paragraph" w:styleId="8">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11">
    <w:name w:val="Strong"/>
    <w:basedOn w:val="10"/>
    <w:qFormat/>
    <w:uiPriority w:val="0"/>
    <w:rPr>
      <w:b/>
      <w:bCs/>
    </w:rPr>
  </w:style>
  <w:style w:type="character" w:customStyle="1" w:styleId="12">
    <w:name w:val="页脚 Char"/>
    <w:link w:val="7"/>
    <w:qFormat/>
    <w:uiPriority w:val="99"/>
    <w:rPr>
      <w:rFonts w:eastAsia="黑体"/>
      <w:sz w:val="18"/>
      <w:szCs w:val="18"/>
    </w:rPr>
  </w:style>
  <w:style w:type="character" w:customStyle="1" w:styleId="13">
    <w:name w:val="页脚 Char1"/>
    <w:basedOn w:val="10"/>
    <w:link w:val="7"/>
    <w:semiHidden/>
    <w:qFormat/>
    <w:uiPriority w:val="99"/>
    <w:rPr>
      <w:rFonts w:ascii="Calibri" w:hAnsi="Calibri" w:eastAsia="宋体" w:cs="Times New Roman"/>
      <w:sz w:val="18"/>
      <w:szCs w:val="18"/>
    </w:rPr>
  </w:style>
  <w:style w:type="paragraph" w:customStyle="1" w:styleId="14">
    <w:name w:val="闻政-正文段落文字"/>
    <w:basedOn w:val="1"/>
    <w:qFormat/>
    <w:uiPriority w:val="3"/>
    <w:pPr>
      <w:spacing w:line="500" w:lineRule="exact"/>
      <w:ind w:firstLine="200"/>
    </w:pPr>
    <w:rPr>
      <w:rFonts w:ascii="Times New Roman" w:hAnsi="Times New Roman"/>
      <w:kern w:val="0"/>
      <w:szCs w:val="28"/>
    </w:rPr>
  </w:style>
  <w:style w:type="paragraph" w:customStyle="1" w:styleId="15">
    <w:name w:val="闻政-正文三级标题"/>
    <w:basedOn w:val="1"/>
    <w:next w:val="14"/>
    <w:qFormat/>
    <w:uiPriority w:val="3"/>
    <w:pPr>
      <w:widowControl/>
      <w:spacing w:before="120" w:after="60" w:line="500" w:lineRule="exact"/>
      <w:ind w:left="200" w:leftChars="200"/>
    </w:pPr>
    <w:rPr>
      <w:rFonts w:ascii="Times New Roman" w:hAnsi="Times New Roman"/>
      <w:b/>
      <w:snapToGrid w:val="0"/>
      <w:kern w:val="0"/>
      <w:szCs w:val="28"/>
    </w:rPr>
  </w:style>
  <w:style w:type="paragraph" w:styleId="16">
    <w:name w:val="List Paragraph"/>
    <w:basedOn w:val="1"/>
    <w:qFormat/>
    <w:uiPriority w:val="34"/>
    <w:pPr>
      <w:ind w:firstLine="420" w:firstLineChars="200"/>
    </w:pPr>
    <w:rPr>
      <w:kern w:val="0"/>
      <w:sz w:val="24"/>
      <w:szCs w:val="20"/>
    </w:rPr>
  </w:style>
  <w:style w:type="character" w:customStyle="1" w:styleId="17">
    <w:name w:val="font11"/>
    <w:basedOn w:val="10"/>
    <w:qFormat/>
    <w:uiPriority w:val="0"/>
    <w:rPr>
      <w:rFonts w:hint="eastAsia" w:ascii="宋体" w:hAnsi="宋体" w:eastAsia="宋体" w:cs="宋体"/>
      <w:color w:val="000000"/>
      <w:sz w:val="21"/>
      <w:szCs w:val="21"/>
      <w:u w:val="none"/>
    </w:rPr>
  </w:style>
  <w:style w:type="character" w:customStyle="1" w:styleId="18">
    <w:name w:val="font21"/>
    <w:basedOn w:val="10"/>
    <w:qFormat/>
    <w:uiPriority w:val="0"/>
    <w:rPr>
      <w:rFonts w:hint="eastAsia" w:ascii="仿宋" w:hAnsi="仿宋" w:eastAsia="仿宋" w:cs="仿宋"/>
      <w:color w:val="000000"/>
      <w:sz w:val="21"/>
      <w:szCs w:val="21"/>
      <w:u w:val="none"/>
    </w:rPr>
  </w:style>
  <w:style w:type="character" w:customStyle="1" w:styleId="19">
    <w:name w:val="font31"/>
    <w:basedOn w:val="10"/>
    <w:qFormat/>
    <w:uiPriority w:val="0"/>
    <w:rPr>
      <w:rFonts w:hint="eastAsia" w:ascii="方正仿宋_GBK" w:hAnsi="方正仿宋_GBK" w:eastAsia="方正仿宋_GBK" w:cs="方正仿宋_GBK"/>
      <w:color w:val="000000"/>
      <w:sz w:val="24"/>
      <w:szCs w:val="24"/>
      <w:u w:val="none"/>
    </w:rPr>
  </w:style>
  <w:style w:type="character" w:customStyle="1" w:styleId="20">
    <w:name w:val="标题 Char"/>
    <w:basedOn w:val="10"/>
    <w:link w:val="2"/>
    <w:qFormat/>
    <w:uiPriority w:val="10"/>
    <w:rPr>
      <w:rFonts w:asciiTheme="majorHAnsi" w:hAnsiTheme="majorHAnsi" w:eastAsiaTheme="majorEastAsia"/>
      <w:b/>
      <w:bCs/>
      <w:kern w:val="28"/>
      <w:sz w:val="32"/>
      <w:szCs w:val="32"/>
    </w:rPr>
  </w:style>
  <w:style w:type="character" w:customStyle="1" w:styleId="2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12</Pages>
  <Words>4233</Words>
  <Characters>943</Characters>
  <Lines>7</Lines>
  <Paragraphs>10</Paragraphs>
  <TotalTime>0</TotalTime>
  <ScaleCrop>false</ScaleCrop>
  <LinksUpToDate>false</LinksUpToDate>
  <CharactersWithSpaces>5166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2020-03-25T11:26:00Z</dcterms:created>
  <dc:creator>颜娜</dc:creator>
  <cp:lastModifiedBy>Administrator</cp:lastModifiedBy>
  <cp:lastPrinted>2020-04-18T05:37:00Z</cp:lastPrinted>
  <dcterms:modified xsi:type="dcterms:W3CDTF">2025-09-12T11:40:17Z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C1DEC001AB894AC4A4054B589B1322AC</vt:lpwstr>
  </property>
  <property fmtid="{D5CDD505-2E9C-101B-9397-08002B2CF9AE}" pid="4" name="KSOSaveFontToCloudKey">
    <vt:lpwstr>390855185_btnclosed</vt:lpwstr>
  </property>
</Properties>
</file>