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contextualSpacing/>
        <w:jc w:val="center"/>
        <w:rPr>
          <w:rFonts w:hint="eastAsia" w:ascii="仿宋" w:hAnsi="仿宋" w:eastAsia="仿宋" w:cs="仿宋"/>
          <w:b/>
          <w:bCs/>
          <w:sz w:val="44"/>
          <w:szCs w:val="44"/>
        </w:rPr>
      </w:pPr>
    </w:p>
    <w:p>
      <w:pPr>
        <w:contextualSpacing/>
        <w:jc w:val="center"/>
        <w:rPr>
          <w:rFonts w:hint="eastAsia" w:ascii="仿宋" w:hAnsi="仿宋" w:eastAsia="仿宋" w:cs="仿宋"/>
          <w:b/>
          <w:bCs/>
          <w:sz w:val="44"/>
          <w:szCs w:val="44"/>
        </w:rPr>
      </w:pPr>
    </w:p>
    <w:p>
      <w:pPr>
        <w:contextualSpacing/>
        <w:jc w:val="center"/>
        <w:rPr>
          <w:rFonts w:hint="eastAsia" w:ascii="仿宋" w:hAnsi="仿宋" w:eastAsia="仿宋" w:cs="仿宋"/>
          <w:b/>
          <w:bCs/>
          <w:sz w:val="44"/>
          <w:szCs w:val="44"/>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 xml:space="preserve">资金项目支出绩效评价报告 </w:t>
      </w:r>
    </w:p>
    <w:p>
      <w:pPr>
        <w:spacing w:line="540" w:lineRule="exact"/>
        <w:jc w:val="center"/>
        <w:rPr>
          <w:rFonts w:hint="eastAsia" w:ascii="Times New Roman" w:hAnsi="宋体" w:eastAsia="仿宋_GB2312" w:cs="宋体"/>
          <w:kern w:val="0"/>
          <w:sz w:val="36"/>
          <w:szCs w:val="36"/>
          <w:lang w:val="en-US" w:eastAsia="zh-CN"/>
        </w:rPr>
      </w:pPr>
    </w:p>
    <w:p>
      <w:pPr>
        <w:spacing w:line="540" w:lineRule="exact"/>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（2020年度）</w:t>
      </w: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1080" w:firstLineChars="300"/>
        <w:contextualSpacing/>
        <w:jc w:val="center"/>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rPr>
        <w:t>项目名称：</w:t>
      </w:r>
      <w:r>
        <w:rPr>
          <w:rFonts w:hint="eastAsia" w:ascii="仿宋_GB2312" w:hAnsi="仿宋_GB2312" w:eastAsia="仿宋_GB2312" w:cs="仿宋_GB2312"/>
          <w:sz w:val="36"/>
          <w:szCs w:val="36"/>
          <w:lang w:eastAsia="zh-CN"/>
        </w:rPr>
        <w:t>加强党对教育工作的全面领导</w:t>
      </w:r>
    </w:p>
    <w:p>
      <w:pPr>
        <w:contextualSpacing/>
        <w:jc w:val="center"/>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val="en-US" w:eastAsia="zh-CN"/>
        </w:rPr>
        <w:t xml:space="preserve">        </w:t>
      </w:r>
      <w:r>
        <w:rPr>
          <w:rFonts w:hint="eastAsia" w:ascii="仿宋_GB2312" w:hAnsi="仿宋_GB2312" w:eastAsia="仿宋_GB2312" w:cs="仿宋_GB2312"/>
          <w:sz w:val="36"/>
          <w:szCs w:val="36"/>
        </w:rPr>
        <w:t>项目实施单位：</w:t>
      </w:r>
      <w:r>
        <w:rPr>
          <w:rFonts w:hint="eastAsia" w:ascii="仿宋_GB2312" w:hAnsi="仿宋_GB2312" w:eastAsia="仿宋_GB2312" w:cs="仿宋_GB2312"/>
          <w:sz w:val="36"/>
          <w:szCs w:val="36"/>
          <w:lang w:eastAsia="zh-CN"/>
        </w:rPr>
        <w:t>中共塔城地区委员会教育工作委员会</w:t>
      </w:r>
    </w:p>
    <w:p>
      <w:pPr>
        <w:ind w:firstLine="1440" w:firstLineChars="400"/>
        <w:contextualSpacing/>
        <w:jc w:val="both"/>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rPr>
        <w:t>单位负责人：</w:t>
      </w:r>
      <w:r>
        <w:rPr>
          <w:rFonts w:hint="eastAsia" w:ascii="仿宋_GB2312" w:hAnsi="仿宋_GB2312" w:eastAsia="仿宋_GB2312" w:cs="仿宋_GB2312"/>
          <w:sz w:val="36"/>
          <w:szCs w:val="36"/>
          <w:lang w:eastAsia="zh-CN"/>
        </w:rPr>
        <w:t>李存鹏</w:t>
      </w:r>
    </w:p>
    <w:p>
      <w:pPr>
        <w:tabs>
          <w:tab w:val="left" w:pos="1134"/>
        </w:tabs>
        <w:ind w:firstLine="1440" w:firstLineChars="400"/>
        <w:contextualSpacing/>
        <w:jc w:val="both"/>
        <w:rPr>
          <w:rFonts w:hint="eastAsia" w:ascii="仿宋_GB2312" w:hAnsi="仿宋_GB2312" w:eastAsia="仿宋_GB2312" w:cs="仿宋_GB2312"/>
          <w:sz w:val="36"/>
          <w:szCs w:val="36"/>
          <w:lang w:val="en-US" w:eastAsia="zh-CN"/>
        </w:rPr>
      </w:pPr>
      <w:r>
        <w:rPr>
          <w:rFonts w:hint="eastAsia" w:ascii="仿宋_GB2312" w:hAnsi="仿宋_GB2312" w:eastAsia="仿宋_GB2312" w:cs="仿宋_GB2312"/>
          <w:sz w:val="36"/>
          <w:szCs w:val="36"/>
        </w:rPr>
        <w:t>项目负责人：</w:t>
      </w:r>
      <w:r>
        <w:rPr>
          <w:rFonts w:hint="eastAsia" w:ascii="仿宋_GB2312" w:hAnsi="仿宋_GB2312" w:eastAsia="仿宋_GB2312" w:cs="仿宋_GB2312"/>
          <w:sz w:val="36"/>
          <w:szCs w:val="36"/>
          <w:lang w:eastAsia="zh-CN"/>
        </w:rPr>
        <w:t>刘灵利</w:t>
      </w:r>
    </w:p>
    <w:p>
      <w:pPr>
        <w:ind w:firstLine="1440" w:firstLineChars="400"/>
        <w:contextualSpacing/>
        <w:jc w:val="both"/>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二〇二</w:t>
      </w:r>
      <w:r>
        <w:rPr>
          <w:rFonts w:hint="eastAsia" w:ascii="仿宋_GB2312" w:hAnsi="仿宋_GB2312" w:eastAsia="仿宋_GB2312" w:cs="仿宋_GB2312"/>
          <w:sz w:val="36"/>
          <w:szCs w:val="36"/>
          <w:lang w:eastAsia="zh-CN"/>
        </w:rPr>
        <w:t>一</w:t>
      </w:r>
      <w:r>
        <w:rPr>
          <w:rFonts w:hint="eastAsia" w:ascii="仿宋_GB2312" w:hAnsi="仿宋_GB2312" w:eastAsia="仿宋_GB2312" w:cs="仿宋_GB2312"/>
          <w:sz w:val="36"/>
          <w:szCs w:val="36"/>
        </w:rPr>
        <w:t>年</w:t>
      </w:r>
      <w:r>
        <w:rPr>
          <w:rFonts w:hint="eastAsia" w:ascii="仿宋_GB2312" w:hAnsi="仿宋_GB2312" w:eastAsia="仿宋_GB2312" w:cs="仿宋_GB2312"/>
          <w:sz w:val="36"/>
          <w:szCs w:val="36"/>
          <w:lang w:eastAsia="zh-CN"/>
        </w:rPr>
        <w:t>三</w:t>
      </w:r>
      <w:r>
        <w:rPr>
          <w:rFonts w:hint="eastAsia" w:ascii="仿宋_GB2312" w:hAnsi="仿宋_GB2312" w:eastAsia="仿宋_GB2312" w:cs="仿宋_GB2312"/>
          <w:sz w:val="36"/>
          <w:szCs w:val="36"/>
        </w:rPr>
        <w:t>月</w:t>
      </w:r>
    </w:p>
    <w:p>
      <w:pPr>
        <w:ind w:firstLine="640" w:firstLineChars="200"/>
        <w:contextualSpacing/>
        <w:rPr>
          <w:rFonts w:hint="eastAsia" w:ascii="仿宋" w:hAnsi="仿宋" w:eastAsia="仿宋" w:cs="仿宋"/>
          <w:sz w:val="32"/>
          <w:szCs w:val="32"/>
        </w:rPr>
      </w:pPr>
    </w:p>
    <w:p>
      <w:pPr>
        <w:contextualSpacing/>
        <w:rPr>
          <w:rFonts w:hint="eastAsia" w:ascii="仿宋" w:hAnsi="仿宋" w:eastAsia="仿宋" w:cs="仿宋"/>
          <w:sz w:val="32"/>
          <w:szCs w:val="32"/>
        </w:rPr>
      </w:pPr>
    </w:p>
    <w:p>
      <w:pPr>
        <w:pStyle w:val="2"/>
        <w:jc w:val="both"/>
        <w:rPr>
          <w:rFonts w:hint="eastAsia"/>
        </w:rPr>
      </w:pPr>
    </w:p>
    <w:p>
      <w:pPr>
        <w:ind w:firstLine="480" w:firstLineChars="150"/>
        <w:contextualSpacing/>
        <w:rPr>
          <w:rFonts w:hint="eastAsia" w:ascii="仿宋" w:hAnsi="仿宋" w:eastAsia="仿宋" w:cs="仿宋"/>
          <w:sz w:val="32"/>
          <w:szCs w:val="32"/>
        </w:rPr>
      </w:pPr>
    </w:p>
    <w:p>
      <w:pPr>
        <w:ind w:firstLine="482" w:firstLineChars="150"/>
        <w:contextualSpacing/>
        <w:rPr>
          <w:rFonts w:hint="eastAsia" w:ascii="黑体" w:hAnsi="黑体" w:eastAsia="黑体" w:cs="黑体"/>
          <w:b/>
          <w:bCs/>
          <w:sz w:val="32"/>
          <w:szCs w:val="32"/>
        </w:rPr>
        <w:sectPr>
          <w:headerReference r:id="rId3" w:type="default"/>
          <w:footerReference r:id="rId4" w:type="default"/>
          <w:pgSz w:w="11906" w:h="16838"/>
          <w:pgMar w:top="193" w:right="1800" w:bottom="306"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ind w:left="0" w:leftChars="0"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一、基本情况</w:t>
      </w:r>
    </w:p>
    <w:p>
      <w:pPr>
        <w:pageBreakBefore w:val="0"/>
        <w:kinsoku/>
        <w:wordWrap/>
        <w:overflowPunct/>
        <w:topLinePunct w:val="0"/>
        <w:autoSpaceDE/>
        <w:autoSpaceDN/>
        <w:bidi w:val="0"/>
        <w:adjustRightInd/>
        <w:snapToGrid/>
        <w:spacing w:line="560" w:lineRule="exact"/>
        <w:ind w:left="0" w:leftChars="0" w:firstLine="643" w:firstLineChars="200"/>
        <w:contextualSpacing/>
        <w:textAlignment w:val="auto"/>
        <w:rPr>
          <w:rFonts w:hint="eastAsia" w:ascii="楷体" w:hAnsi="楷体" w:eastAsia="楷体" w:cs="楷体"/>
          <w:b/>
          <w:bCs/>
          <w:sz w:val="32"/>
          <w:szCs w:val="32"/>
        </w:rPr>
      </w:pPr>
      <w:r>
        <w:rPr>
          <w:rFonts w:hint="eastAsia" w:ascii="楷体" w:hAnsi="楷体" w:eastAsia="楷体" w:cs="楷体"/>
          <w:b/>
          <w:bCs/>
          <w:sz w:val="32"/>
          <w:szCs w:val="32"/>
        </w:rPr>
        <w:t>（一）项目概况</w:t>
      </w:r>
    </w:p>
    <w:p>
      <w:pPr>
        <w:pStyle w:val="5"/>
        <w:pageBreakBefore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仿宋" w:hAnsi="仿宋" w:eastAsia="仿宋" w:cs="仿宋"/>
        </w:rPr>
      </w:pPr>
      <w:bookmarkStart w:id="0" w:name="_Toc30152830"/>
      <w:r>
        <w:rPr>
          <w:rFonts w:hint="eastAsia" w:ascii="仿宋" w:hAnsi="仿宋" w:eastAsia="仿宋" w:cs="仿宋"/>
        </w:rPr>
        <w:t>1</w:t>
      </w:r>
      <w:bookmarkEnd w:id="0"/>
      <w:r>
        <w:rPr>
          <w:rFonts w:hint="eastAsia" w:ascii="仿宋" w:hAnsi="仿宋" w:eastAsia="仿宋" w:cs="仿宋"/>
        </w:rPr>
        <w:t>、项目背景</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ageBreakBefore w:val="0"/>
        <w:kinsoku/>
        <w:wordWrap/>
        <w:overflowPunct/>
        <w:topLinePunct w:val="0"/>
        <w:autoSpaceDE/>
        <w:autoSpaceDN/>
        <w:bidi w:val="0"/>
        <w:adjustRightInd/>
        <w:snapToGrid/>
        <w:spacing w:line="560" w:lineRule="exact"/>
        <w:ind w:left="0" w:leftChars="0" w:firstLine="640" w:firstLineChars="200"/>
        <w:textAlignment w:val="auto"/>
      </w:pPr>
      <w:r>
        <w:rPr>
          <w:rFonts w:hint="eastAsia" w:ascii="仿宋" w:hAnsi="仿宋" w:eastAsia="仿宋" w:cs="仿宋"/>
          <w:sz w:val="32"/>
          <w:szCs w:val="32"/>
          <w:lang w:val="en-US" w:eastAsia="zh-CN"/>
        </w:rPr>
        <w:t>依据新党教2018-55号《关于加强新时代中小学校党的建设工作的实施意见》《塔城地委教育工作领导小组》【2020】1号文件，申请拨付专项资金。</w:t>
      </w:r>
    </w:p>
    <w:p>
      <w:pPr>
        <w:pStyle w:val="2"/>
        <w:pageBreakBefore w:val="0"/>
        <w:numPr>
          <w:ilvl w:val="0"/>
          <w:numId w:val="1"/>
        </w:numPr>
        <w:kinsoku/>
        <w:wordWrap/>
        <w:overflowPunct/>
        <w:topLinePunct w:val="0"/>
        <w:autoSpaceDE/>
        <w:autoSpaceDN/>
        <w:bidi w:val="0"/>
        <w:adjustRightInd/>
        <w:snapToGrid/>
        <w:spacing w:before="0" w:after="0" w:line="560" w:lineRule="exact"/>
        <w:ind w:left="0" w:leftChars="0" w:firstLine="640" w:firstLineChars="200"/>
        <w:jc w:val="both"/>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根据中共教育部党组教党[2020]11号、自治区新党教2018-55号、自治区教育工作领导小组2020-1号等文件要求，对全区教育系统加强党对教育工作的全面领导，需对辖区内的各教育单位开展抓好社会主义办学方向和立德树人的根本任务，为了满足工作需要申请下达项目资金。</w:t>
      </w:r>
    </w:p>
    <w:p>
      <w:pPr>
        <w:pStyle w:val="5"/>
        <w:pageBreakBefore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仿宋" w:hAnsi="仿宋" w:eastAsia="仿宋" w:cs="仿宋"/>
        </w:rPr>
      </w:pPr>
      <w:r>
        <w:rPr>
          <w:rFonts w:hint="eastAsia" w:ascii="仿宋" w:hAnsi="仿宋" w:eastAsia="仿宋" w:cs="仿宋"/>
        </w:rPr>
        <w:t>2、</w:t>
      </w:r>
      <w:r>
        <w:rPr>
          <w:rFonts w:hint="eastAsia" w:ascii="仿宋_GB2312" w:hAnsi="仿宋_GB2312" w:eastAsia="仿宋_GB2312" w:cs="仿宋_GB2312"/>
          <w:sz w:val="32"/>
          <w:szCs w:val="32"/>
        </w:rPr>
        <w:t>项目</w:t>
      </w:r>
      <w:r>
        <w:rPr>
          <w:rFonts w:hint="eastAsia" w:ascii="仿宋" w:hAnsi="仿宋" w:eastAsia="仿宋" w:cs="仿宋"/>
        </w:rPr>
        <w:t>主要内容及实施情况</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项目主要内容：</w:t>
      </w:r>
    </w:p>
    <w:p>
      <w:pPr>
        <w:pageBreakBefore w:val="0"/>
        <w:kinsoku/>
        <w:wordWrap/>
        <w:overflowPunct/>
        <w:topLinePunct w:val="0"/>
        <w:autoSpaceDE/>
        <w:autoSpaceDN/>
        <w:bidi w:val="0"/>
        <w:adjustRightInd/>
        <w:snapToGrid/>
        <w:spacing w:line="560" w:lineRule="exact"/>
        <w:ind w:left="0" w:leftChars="0" w:firstLine="640" w:firstLineChars="200"/>
        <w:textAlignment w:val="auto"/>
      </w:pPr>
      <w:r>
        <w:rPr>
          <w:rFonts w:hint="eastAsia" w:ascii="仿宋" w:hAnsi="仿宋" w:eastAsia="仿宋" w:cs="仿宋"/>
          <w:sz w:val="32"/>
          <w:szCs w:val="32"/>
          <w:lang w:val="en-US" w:eastAsia="zh-CN"/>
        </w:rPr>
        <w:t>2020年项目为地区本级财政安排的党对教育事业全面领导专项业务费，用于弥补我单位公用经费不足，保障机关运行，用于支付办公费、办公设备购置、劳务费支出、各县市学校党建工作指导差旅费及公务车运行及维护费支出等。</w:t>
      </w:r>
    </w:p>
    <w:p>
      <w:pPr>
        <w:pageBreakBefore w:val="0"/>
        <w:kinsoku/>
        <w:wordWrap/>
        <w:overflowPunct/>
        <w:topLinePunct w:val="0"/>
        <w:autoSpaceDE/>
        <w:autoSpaceDN/>
        <w:bidi w:val="0"/>
        <w:adjustRightInd/>
        <w:snapToGrid/>
        <w:spacing w:line="560" w:lineRule="exact"/>
        <w:ind w:left="0" w:leftChars="0"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w:t>
      </w:r>
      <w:bookmarkStart w:id="5" w:name="_GoBack"/>
      <w:bookmarkEnd w:id="5"/>
      <w:r>
        <w:rPr>
          <w:rFonts w:hint="eastAsia" w:ascii="仿宋_GB2312" w:hAnsi="仿宋_GB2312" w:eastAsia="仿宋_GB2312" w:cs="仿宋_GB2312"/>
          <w:sz w:val="32"/>
          <w:szCs w:val="32"/>
        </w:rPr>
        <w:t>，在前期立项过程中严格把质量关，建立安全防护机制，保证项目实施各阶段安全顺利进行。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sz w:val="32"/>
          <w:szCs w:val="32"/>
          <w:lang w:val="en-US" w:eastAsia="zh-CN"/>
        </w:rPr>
        <w:t>14.7</w:t>
      </w:r>
      <w:r>
        <w:rPr>
          <w:rFonts w:hint="eastAsia" w:ascii="仿宋_GB2312" w:hAnsi="仿宋_GB2312" w:eastAsia="仿宋_GB2312" w:cs="仿宋_GB2312"/>
          <w:sz w:val="32"/>
          <w:szCs w:val="32"/>
        </w:rPr>
        <w:t>万元， 支出率为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left="0" w:leftChars="0"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w:t>
      </w:r>
      <w:r>
        <w:rPr>
          <w:rFonts w:hint="eastAsia" w:ascii="仿宋_GB2312" w:hAnsi="仿宋_GB2312" w:eastAsia="仿宋_GB2312" w:cs="仿宋_GB2312"/>
          <w:sz w:val="32"/>
          <w:szCs w:val="32"/>
          <w:lang w:val="en-US" w:eastAsia="zh-CN"/>
        </w:rPr>
        <w:t>资15万元，按照《本级专项业务费资金管理办法》及单位财务制度等相关规定，资金支出符合党对教育工作的全面领导专项资金费</w:t>
      </w:r>
      <w:r>
        <w:rPr>
          <w:rFonts w:hint="eastAsia" w:ascii="仿宋_GB2312" w:hAnsi="仿宋_GB2312" w:eastAsia="仿宋_GB2312" w:cs="仿宋_GB2312"/>
          <w:sz w:val="32"/>
          <w:szCs w:val="32"/>
        </w:rPr>
        <w:t>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val="en-US" w:eastAsia="zh-CN"/>
        </w:rPr>
        <w:t>专项</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预算资金来源及使用情况</w:t>
      </w:r>
      <w:bookmarkStart w:id="1" w:name="page10"/>
      <w:bookmarkEnd w:id="1"/>
      <w:r>
        <w:rPr>
          <w:rFonts w:hint="eastAsia" w:ascii="仿宋_GB2312" w:hAnsi="仿宋_GB2312" w:eastAsia="仿宋_GB2312" w:cs="仿宋_GB2312"/>
          <w:sz w:val="32"/>
          <w:szCs w:val="32"/>
          <w:lang w:val="en-US" w:eastAsia="zh-CN"/>
        </w:rPr>
        <w:t>.</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预算来源：</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项目预算资金来源于塔地财预（2020）509文件中批复的资金，项目资金到位15万元，</w:t>
      </w:r>
    </w:p>
    <w:p>
      <w:pPr>
        <w:pStyle w:val="49"/>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使用情况</w:t>
      </w:r>
      <w:r>
        <w:rPr>
          <w:rFonts w:hint="eastAsia" w:ascii="仿宋_GB2312" w:hAnsi="仿宋_GB2312" w:cs="仿宋_GB2312"/>
          <w:sz w:val="32"/>
          <w:szCs w:val="32"/>
          <w:lang w:eastAsia="zh-CN"/>
        </w:rPr>
        <w:t>：</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财政下达专项业务费15万元，全部为本级财政资金，该项目实际支付资金14.7万元，所有项目资金已支付完毕。此项目为地区本级财政安排的党对教育事业全面领导专项业务费，用于弥补我单位公用经费不足，保障机关运行，用于支付办公费、办公设备购置、劳务费支出、差旅费及公务车运行及维护费支出等项目。</w:t>
      </w:r>
    </w:p>
    <w:p>
      <w:pPr>
        <w:pageBreakBefore w:val="0"/>
        <w:kinsoku/>
        <w:wordWrap/>
        <w:overflowPunct/>
        <w:topLinePunct w:val="0"/>
        <w:autoSpaceDE/>
        <w:autoSpaceDN/>
        <w:bidi w:val="0"/>
        <w:adjustRightInd/>
        <w:snapToGrid/>
        <w:spacing w:line="560" w:lineRule="exact"/>
        <w:ind w:left="0" w:leftChars="0" w:firstLine="643" w:firstLineChars="200"/>
        <w:contextualSpacing/>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p>
    <w:p>
      <w:pPr>
        <w:pStyle w:val="5"/>
        <w:pageBreakBefore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仿宋" w:hAnsi="仿宋" w:eastAsia="仿宋" w:cs="仿宋"/>
        </w:rPr>
      </w:pPr>
      <w:r>
        <w:rPr>
          <w:rFonts w:hint="eastAsia" w:ascii="仿宋" w:hAnsi="仿宋" w:eastAsia="仿宋" w:cs="仿宋"/>
        </w:rPr>
        <w:t>1、总目标</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购买笔记本电脑1台、保密柜1个，指导学校教师工作调研8次，指导校园安全工作10次开展专题讲座培训两次及支付差旅费、劳务费，公务车运行维护费等保障机关运行。</w:t>
      </w:r>
    </w:p>
    <w:p>
      <w:pPr>
        <w:pStyle w:val="5"/>
        <w:pageBreakBefore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仿宋" w:hAnsi="仿宋" w:eastAsia="仿宋" w:cs="仿宋"/>
        </w:rPr>
      </w:pPr>
      <w:r>
        <w:rPr>
          <w:rFonts w:hint="eastAsia" w:ascii="仿宋" w:hAnsi="仿宋" w:eastAsia="仿宋" w:cs="仿宋"/>
        </w:rPr>
        <w:t>2、阶段性目标</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val="en-US" w:eastAsia="zh-CN"/>
        </w:rPr>
        <w:t>教工委年度工作</w:t>
      </w:r>
      <w:r>
        <w:rPr>
          <w:rFonts w:hint="eastAsia" w:ascii="仿宋_GB2312" w:hAnsi="仿宋_GB2312" w:eastAsia="仿宋_GB2312" w:cs="仿宋_GB2312"/>
          <w:sz w:val="32"/>
          <w:szCs w:val="32"/>
        </w:rPr>
        <w:t>方案》，通过制定项目实施方案，经</w:t>
      </w:r>
      <w:r>
        <w:rPr>
          <w:rFonts w:hint="eastAsia" w:ascii="仿宋_GB2312" w:hAnsi="仿宋_GB2312" w:eastAsia="仿宋_GB2312" w:cs="仿宋_GB2312"/>
          <w:sz w:val="32"/>
          <w:szCs w:val="32"/>
          <w:lang w:eastAsia="zh-CN"/>
        </w:rPr>
        <w:t>专项资金领导小组</w:t>
      </w:r>
      <w:r>
        <w:rPr>
          <w:rFonts w:hint="eastAsia" w:ascii="仿宋_GB2312" w:hAnsi="仿宋_GB2312" w:eastAsia="仿宋_GB2312" w:cs="仿宋_GB2312"/>
          <w:sz w:val="32"/>
          <w:szCs w:val="32"/>
        </w:rPr>
        <w:t>审核通过后，有序开展后续</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方案》要求逐一进行项目部署安排，提高项目质量及效率性。</w:t>
      </w:r>
    </w:p>
    <w:p>
      <w:pPr>
        <w:pageBreakBefore w:val="0"/>
        <w:kinsoku/>
        <w:wordWrap/>
        <w:overflowPunct/>
        <w:topLinePunct w:val="0"/>
        <w:autoSpaceDE/>
        <w:autoSpaceDN/>
        <w:bidi w:val="0"/>
        <w:adjustRightInd/>
        <w:snapToGrid/>
        <w:spacing w:line="560" w:lineRule="exact"/>
        <w:ind w:left="0" w:leftChars="0" w:firstLine="640" w:firstLineChars="200"/>
        <w:contextualSpacing/>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2020</w:t>
      </w:r>
      <w:r>
        <w:rPr>
          <w:rFonts w:hint="eastAsia" w:ascii="仿宋" w:hAnsi="仿宋" w:eastAsia="仿宋" w:cs="仿宋"/>
          <w:sz w:val="32"/>
          <w:szCs w:val="32"/>
        </w:rPr>
        <w:t>年</w:t>
      </w:r>
      <w:r>
        <w:rPr>
          <w:rFonts w:hint="eastAsia" w:ascii="仿宋" w:hAnsi="仿宋" w:eastAsia="仿宋" w:cs="仿宋"/>
          <w:sz w:val="32"/>
          <w:szCs w:val="32"/>
          <w:lang w:eastAsia="zh-CN"/>
        </w:rPr>
        <w:t>完成设备购置，按月支付劳务工资，及各项办公费的支出及差旅费支出，确保支付及时率，以及项目开展及时有效。</w:t>
      </w:r>
    </w:p>
    <w:p>
      <w:pPr>
        <w:pageBreakBefore w:val="0"/>
        <w:kinsoku/>
        <w:wordWrap/>
        <w:overflowPunct/>
        <w:topLinePunct w:val="0"/>
        <w:autoSpaceDE/>
        <w:autoSpaceDN/>
        <w:bidi w:val="0"/>
        <w:adjustRightInd/>
        <w:snapToGrid/>
        <w:spacing w:line="560" w:lineRule="exact"/>
        <w:ind w:left="0" w:leftChars="0"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二、绩效评价工作开展情况</w:t>
      </w:r>
    </w:p>
    <w:p>
      <w:pPr>
        <w:pageBreakBefore w:val="0"/>
        <w:kinsoku/>
        <w:wordWrap/>
        <w:overflowPunct/>
        <w:topLinePunct w:val="0"/>
        <w:autoSpaceDE/>
        <w:autoSpaceDN/>
        <w:bidi w:val="0"/>
        <w:adjustRightInd/>
        <w:snapToGrid/>
        <w:spacing w:line="560" w:lineRule="exact"/>
        <w:ind w:left="0" w:leftChars="0" w:firstLine="643" w:firstLineChars="200"/>
        <w:contextualSpacing/>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绩效评价旨在通过评价改善预算部门的财政支出管理，优化资源配置及提高公共服务水平。</w:t>
      </w:r>
      <w:r>
        <w:rPr>
          <w:rFonts w:hint="eastAsia" w:ascii="仿宋_GB2312" w:hAnsi="仿宋_GB2312" w:eastAsia="仿宋_GB2312" w:cs="仿宋_GB2312"/>
          <w:sz w:val="32"/>
          <w:szCs w:val="32"/>
        </w:rPr>
        <w:t>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运用科学、规范的绩效评价方法</w:t>
      </w:r>
      <w:r>
        <w:rPr>
          <w:rFonts w:hint="eastAsia" w:ascii="仿宋" w:hAnsi="仿宋" w:eastAsia="仿宋" w:cs="仿宋"/>
          <w:sz w:val="32"/>
          <w:szCs w:val="32"/>
          <w:lang w:eastAsia="zh-CN"/>
        </w:rPr>
        <w:t>。</w:t>
      </w:r>
    </w:p>
    <w:p>
      <w:pPr>
        <w:pageBreakBefore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评价对象为教工委开办资金，评价核心为专项资金的支出完成情况和效果。</w:t>
      </w:r>
    </w:p>
    <w:p>
      <w:pPr>
        <w:pStyle w:val="2"/>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本次评价从项目决策（包括绩效目标、决策过程）、项目管理（包括项目资金、项目实施）和项目绩效（包括项目产出、项目效果）三个维度进行评价。</w:t>
      </w:r>
    </w:p>
    <w:p>
      <w:pPr>
        <w:pageBreakBefore w:val="0"/>
        <w:kinsoku/>
        <w:wordWrap/>
        <w:overflowPunct/>
        <w:topLinePunct w:val="0"/>
        <w:autoSpaceDE/>
        <w:autoSpaceDN/>
        <w:bidi w:val="0"/>
        <w:adjustRightInd/>
        <w:snapToGrid/>
        <w:spacing w:line="560" w:lineRule="exact"/>
        <w:ind w:left="0" w:leftChars="0" w:firstLine="643" w:firstLineChars="200"/>
        <w:textAlignment w:val="auto"/>
        <w:rPr>
          <w:rFonts w:ascii="仿宋_GB2312"/>
        </w:rPr>
      </w:pPr>
      <w:bookmarkStart w:id="2" w:name="_Toc407184396"/>
      <w:bookmarkStart w:id="3" w:name="_Toc30152846"/>
      <w:bookmarkStart w:id="4" w:name="_Toc402181873"/>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仿宋_GB2312" w:hAnsi="仿宋_GB2312" w:eastAsia="仿宋_GB2312" w:cs="仿宋_GB2312"/>
          <w:b/>
          <w:bCs/>
        </w:rPr>
      </w:pPr>
      <w:r>
        <w:rPr>
          <w:rFonts w:hint="eastAsia" w:ascii="仿宋" w:hAnsi="仿宋" w:eastAsia="仿宋" w:cs="仿宋"/>
        </w:rPr>
        <w:t>1、</w:t>
      </w:r>
      <w:r>
        <w:rPr>
          <w:rFonts w:hint="eastAsia" w:ascii="仿宋_GB2312" w:hAnsi="仿宋_GB2312" w:eastAsia="仿宋_GB2312" w:cs="仿宋_GB2312"/>
          <w:b/>
          <w:bCs/>
        </w:rPr>
        <w:t>绩效评价原则</w:t>
      </w:r>
    </w:p>
    <w:p>
      <w:pPr>
        <w:pStyle w:val="5"/>
        <w:pageBreakBefore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仿宋" w:hAnsi="仿宋" w:eastAsia="仿宋" w:cs="仿宋"/>
        </w:rPr>
      </w:pPr>
      <w:r>
        <w:rPr>
          <w:rFonts w:hint="eastAsia" w:ascii="仿宋" w:hAnsi="仿宋" w:eastAsia="仿宋" w:cs="仿宋"/>
        </w:rPr>
        <w:t>本次绩效评价主要遵循以下原则：</w:t>
      </w:r>
    </w:p>
    <w:bookmarkEnd w:id="2"/>
    <w:bookmarkEnd w:id="3"/>
    <w:bookmarkEnd w:id="4"/>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（2）统筹兼顾。单位自评、部门评价和财政  评价应职责明确，各有侧重，相互衔接。单位自评应由项目单位负责实施，即“谁支出、谁自评”。部门评价和财政评价应在单位自评的基础上开展，必要时可委托第三方机构实施。</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确定各个指标相对于项目总体绩效的权重分值。在绩效评价指标体系中，项目资金</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权重为</w:t>
      </w:r>
      <w:r>
        <w:rPr>
          <w:rFonts w:hint="eastAsia" w:ascii="仿宋_GB2312" w:hAnsi="仿宋_GB2312" w:eastAsia="仿宋_GB2312" w:cs="仿宋_GB2312"/>
          <w:color w:val="000000"/>
          <w:spacing w:val="17"/>
          <w:sz w:val="32"/>
          <w:szCs w:val="32"/>
          <w:lang w:val="en-US" w:eastAsia="zh-CN"/>
        </w:rPr>
        <w:t>10%</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50%</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10%</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left="0" w:leftChars="0"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left="0" w:leftChars="0" w:firstLine="708" w:firstLineChars="200"/>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4、评价标准</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pageBreakBefore w:val="0"/>
        <w:numPr>
          <w:ilvl w:val="0"/>
          <w:numId w:val="3"/>
        </w:numPr>
        <w:kinsoku/>
        <w:wordWrap/>
        <w:overflowPunct/>
        <w:topLinePunct w:val="0"/>
        <w:autoSpaceDE/>
        <w:autoSpaceDN/>
        <w:bidi w:val="0"/>
        <w:adjustRightInd/>
        <w:snapToGrid/>
        <w:spacing w:before="0" w:after="0" w:line="560" w:lineRule="exact"/>
        <w:ind w:left="0" w:leftChars="0" w:firstLine="711" w:firstLineChars="200"/>
        <w:jc w:val="both"/>
        <w:textAlignment w:val="auto"/>
        <w:rPr>
          <w:rFonts w:hint="eastAsia" w:ascii="楷体" w:hAnsi="楷体" w:eastAsia="楷体" w:cs="楷体"/>
          <w:color w:val="000000"/>
          <w:spacing w:val="17"/>
          <w:sz w:val="32"/>
          <w:szCs w:val="32"/>
          <w:lang w:val="en-US" w:eastAsia="zh-CN"/>
        </w:rPr>
      </w:pPr>
      <w:r>
        <w:rPr>
          <w:rFonts w:hint="eastAsia" w:ascii="楷体" w:hAnsi="楷体" w:eastAsia="楷体" w:cs="楷体"/>
          <w:color w:val="000000"/>
          <w:spacing w:val="17"/>
          <w:sz w:val="32"/>
          <w:szCs w:val="32"/>
          <w:lang w:val="en-US" w:eastAsia="zh-CN"/>
        </w:rPr>
        <w:t>绩效评价工作过程</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left="0" w:leftChars="0" w:firstLine="708" w:firstLineChars="200"/>
        <w:textAlignment w:val="auto"/>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napToGrid/>
        <w:spacing w:line="560" w:lineRule="exact"/>
        <w:ind w:left="0" w:leftChars="0"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ageBreakBefore w:val="0"/>
        <w:kinsoku/>
        <w:wordWrap/>
        <w:overflowPunct/>
        <w:topLinePunct w:val="0"/>
        <w:autoSpaceDE/>
        <w:autoSpaceDN/>
        <w:bidi w:val="0"/>
        <w:adjustRightInd/>
        <w:snapToGrid/>
        <w:spacing w:line="560" w:lineRule="exact"/>
        <w:ind w:left="0" w:leftChars="0" w:firstLine="708" w:firstLineChars="200"/>
        <w:textAlignment w:val="auto"/>
        <w:rPr>
          <w:rFonts w:hint="eastAsia"/>
        </w:rPr>
      </w:pPr>
      <w:r>
        <w:rPr>
          <w:rFonts w:hint="eastAsia" w:ascii="仿宋_GB2312" w:hAnsi="仿宋_GB2312" w:eastAsia="仿宋_GB2312" w:cs="仿宋_GB2312"/>
          <w:color w:val="000000"/>
          <w:spacing w:val="17"/>
          <w:sz w:val="32"/>
          <w:szCs w:val="32"/>
        </w:rPr>
        <w:t>对</w:t>
      </w:r>
      <w:r>
        <w:rPr>
          <w:rFonts w:hint="eastAsia" w:ascii="仿宋_GB2312" w:hAnsi="仿宋_GB2312" w:eastAsia="仿宋_GB2312" w:cs="仿宋_GB2312"/>
          <w:color w:val="000000"/>
          <w:spacing w:val="17"/>
          <w:sz w:val="32"/>
          <w:szCs w:val="32"/>
          <w:lang w:val="en-US" w:eastAsia="zh-CN"/>
        </w:rPr>
        <w:t>加强党对教育事业的全面领导</w:t>
      </w:r>
      <w:r>
        <w:rPr>
          <w:rFonts w:hint="eastAsia" w:ascii="仿宋_GB2312" w:hAnsi="仿宋_GB2312" w:eastAsia="仿宋_GB2312" w:cs="仿宋_GB2312"/>
          <w:color w:val="000000"/>
          <w:spacing w:val="17"/>
          <w:sz w:val="32"/>
          <w:szCs w:val="32"/>
        </w:rPr>
        <w:t>项目进行客观评价，最终评分结果：总得分为</w:t>
      </w:r>
      <w:r>
        <w:rPr>
          <w:rFonts w:hint="eastAsia" w:ascii="仿宋_GB2312" w:hAnsi="仿宋_GB2312" w:eastAsia="仿宋_GB2312" w:cs="仿宋_GB2312"/>
          <w:color w:val="000000"/>
          <w:spacing w:val="17"/>
          <w:sz w:val="32"/>
          <w:szCs w:val="32"/>
          <w:lang w:val="en-US" w:eastAsia="zh-CN"/>
        </w:rPr>
        <w:t>99.98</w:t>
      </w:r>
      <w:r>
        <w:rPr>
          <w:rFonts w:hint="eastAsia" w:ascii="仿宋_GB2312" w:hAnsi="仿宋_GB2312" w:eastAsia="仿宋_GB2312" w:cs="仿宋_GB2312"/>
          <w:color w:val="000000"/>
          <w:spacing w:val="17"/>
          <w:sz w:val="32"/>
          <w:szCs w:val="32"/>
        </w:rPr>
        <w:t>分，属于“优”。其中，项目决策类指标权重为5分，得分为 5分，得分率为 100%。项目过程类指标权重为</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分，得分为</w:t>
      </w:r>
      <w:r>
        <w:rPr>
          <w:rFonts w:hint="eastAsia" w:ascii="仿宋_GB2312" w:hAnsi="仿宋_GB2312" w:eastAsia="仿宋_GB2312" w:cs="仿宋_GB2312"/>
          <w:color w:val="000000"/>
          <w:spacing w:val="17"/>
          <w:sz w:val="32"/>
          <w:szCs w:val="32"/>
          <w:lang w:val="en-US" w:eastAsia="zh-CN"/>
        </w:rPr>
        <w:t>4.98</w:t>
      </w:r>
      <w:r>
        <w:rPr>
          <w:rFonts w:hint="eastAsia" w:ascii="仿宋_GB2312" w:hAnsi="仿宋_GB2312" w:eastAsia="仿宋_GB2312" w:cs="仿宋_GB2312"/>
          <w:color w:val="000000"/>
          <w:spacing w:val="17"/>
          <w:sz w:val="32"/>
          <w:szCs w:val="32"/>
        </w:rPr>
        <w:t xml:space="preserve"> 分，得分率为</w:t>
      </w:r>
      <w:r>
        <w:rPr>
          <w:rFonts w:hint="eastAsia" w:ascii="仿宋_GB2312" w:hAnsi="仿宋_GB2312" w:eastAsia="仿宋_GB2312" w:cs="仿宋_GB2312"/>
          <w:color w:val="000000"/>
          <w:spacing w:val="17"/>
          <w:sz w:val="32"/>
          <w:szCs w:val="32"/>
          <w:lang w:val="en-US" w:eastAsia="zh-CN"/>
        </w:rPr>
        <w:t>99.6</w:t>
      </w:r>
      <w:r>
        <w:rPr>
          <w:rFonts w:hint="eastAsia" w:ascii="仿宋_GB2312" w:hAnsi="仿宋_GB2312" w:eastAsia="仿宋_GB2312" w:cs="仿宋_GB2312"/>
          <w:color w:val="000000"/>
          <w:spacing w:val="17"/>
          <w:sz w:val="32"/>
          <w:szCs w:val="32"/>
        </w:rPr>
        <w:t>%。项目产出类指标权重为50分，得分为50分，得分率为 100%。项目效益类指标权重为40分，得分为</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分，得分率为</w:t>
      </w:r>
      <w:r>
        <w:rPr>
          <w:rFonts w:hint="eastAsia" w:ascii="仿宋_GB2312" w:hAnsi="仿宋_GB2312" w:eastAsia="仿宋_GB2312" w:cs="仿宋_GB2312"/>
          <w:color w:val="000000"/>
          <w:spacing w:val="17"/>
          <w:sz w:val="32"/>
          <w:szCs w:val="32"/>
          <w:lang w:val="en-US" w:eastAsia="zh-CN"/>
        </w:rPr>
        <w:t>100</w:t>
      </w:r>
      <w:r>
        <w:rPr>
          <w:rFonts w:hint="eastAsia" w:ascii="仿宋_GB2312" w:hAnsi="仿宋_GB2312" w:eastAsia="仿宋_GB2312" w:cs="仿宋_GB2312"/>
          <w:color w:val="000000"/>
          <w:spacing w:val="17"/>
          <w:sz w:val="32"/>
          <w:szCs w:val="32"/>
        </w:rPr>
        <w:t>%。</w:t>
      </w:r>
    </w:p>
    <w:p>
      <w:pPr>
        <w:pStyle w:val="2"/>
        <w:pageBreakBefore w:val="0"/>
        <w:kinsoku/>
        <w:wordWrap/>
        <w:overflowPunct/>
        <w:topLinePunct w:val="0"/>
        <w:bidi w:val="0"/>
        <w:snapToGrid/>
        <w:spacing w:before="0" w:after="0" w:line="56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bidi w:val="0"/>
        <w:snapToGrid/>
        <w:spacing w:line="560" w:lineRule="exact"/>
      </w:pPr>
    </w:p>
    <w:p>
      <w:pPr>
        <w:pageBreakBefore w:val="0"/>
        <w:kinsoku/>
        <w:wordWrap/>
        <w:overflowPunct/>
        <w:topLinePunct w:val="0"/>
        <w:bidi w:val="0"/>
        <w:snapToGrid/>
        <w:spacing w:line="560" w:lineRule="exact"/>
      </w:pPr>
    </w:p>
    <w:tbl>
      <w:tblPr>
        <w:tblStyle w:val="24"/>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bidi w:val="0"/>
              <w:snapToGrid/>
              <w:spacing w:line="560" w:lineRule="exac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0.98</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98%</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bl>
    <w:p>
      <w:pPr>
        <w:pStyle w:val="49"/>
        <w:pageBreakBefore w:val="0"/>
        <w:kinsoku/>
        <w:wordWrap/>
        <w:overflowPunct/>
        <w:topLinePunct w:val="0"/>
        <w:bidi w:val="0"/>
        <w:snapToGrid/>
        <w:spacing w:line="560" w:lineRule="exact"/>
        <w:ind w:firstLine="560"/>
        <w:rPr>
          <w:rFonts w:hint="eastAsia" w:ascii="仿宋" w:hAnsi="仿宋" w:eastAsia="仿宋" w:cs="仿宋"/>
          <w:kern w:val="2"/>
          <w:sz w:val="32"/>
          <w:szCs w:val="32"/>
          <w:lang w:val="en-US" w:eastAsia="zh-CN" w:bidi="ar-SA"/>
        </w:rPr>
      </w:pPr>
    </w:p>
    <w:p>
      <w:pPr>
        <w:pageBreakBefore w:val="0"/>
        <w:kinsoku/>
        <w:wordWrap/>
        <w:overflowPunct/>
        <w:topLinePunct w:val="0"/>
        <w:bidi w:val="0"/>
        <w:snapToGrid/>
        <w:spacing w:line="560" w:lineRule="exact"/>
        <w:ind w:firstLine="643" w:firstLineChars="200"/>
        <w:contextualSpacing/>
        <w:rPr>
          <w:rFonts w:hint="eastAsia" w:ascii="黑体" w:hAnsi="黑体" w:eastAsia="黑体" w:cs="黑体"/>
          <w:b/>
          <w:bCs/>
          <w:sz w:val="32"/>
          <w:szCs w:val="32"/>
        </w:rPr>
      </w:pPr>
      <w:r>
        <w:rPr>
          <w:rFonts w:hint="eastAsia" w:ascii="黑体" w:hAnsi="黑体" w:eastAsia="黑体" w:cs="黑体"/>
          <w:b/>
          <w:bCs/>
          <w:sz w:val="32"/>
          <w:szCs w:val="32"/>
        </w:rPr>
        <w:t>四、绩效评价指标分析</w:t>
      </w:r>
    </w:p>
    <w:p>
      <w:pPr>
        <w:pageBreakBefore w:val="0"/>
        <w:kinsoku/>
        <w:wordWrap/>
        <w:overflowPunct/>
        <w:topLinePunct w:val="0"/>
        <w:bidi w:val="0"/>
        <w:snapToGrid/>
        <w:spacing w:line="560" w:lineRule="exact"/>
        <w:ind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（一）项目决策情况。</w:t>
      </w:r>
    </w:p>
    <w:p>
      <w:pPr>
        <w:pageBreakBefore w:val="0"/>
        <w:kinsoku/>
        <w:wordWrap/>
        <w:overflowPunct/>
        <w:topLinePunct w:val="0"/>
        <w:bidi w:val="0"/>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项目决策指标从项目立项、绩效目标、资金投入3个方面对项目的决策进行考察，项目决策类指标分值</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分，实际得分</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分，得分率</w:t>
      </w:r>
      <w:r>
        <w:rPr>
          <w:rFonts w:hint="eastAsia" w:ascii="仿宋_GB2312" w:hAnsi="仿宋_GB2312" w:eastAsia="仿宋_GB2312" w:cs="仿宋_GB2312"/>
          <w:color w:val="000000"/>
          <w:spacing w:val="17"/>
          <w:sz w:val="32"/>
          <w:szCs w:val="32"/>
          <w:lang w:val="en-US" w:eastAsia="zh-CN"/>
        </w:rPr>
        <w:t>100</w:t>
      </w:r>
      <w:r>
        <w:rPr>
          <w:rFonts w:hint="eastAsia" w:ascii="仿宋_GB2312" w:hAnsi="仿宋_GB2312" w:eastAsia="仿宋_GB2312" w:cs="仿宋_GB2312"/>
          <w:color w:val="000000"/>
          <w:spacing w:val="17"/>
          <w:sz w:val="32"/>
          <w:szCs w:val="32"/>
        </w:rPr>
        <w:t>%。</w:t>
      </w:r>
      <w:r>
        <w:rPr>
          <w:rFonts w:hint="eastAsia" w:ascii="仿宋_GB2312" w:hAnsi="仿宋_GB2312" w:eastAsia="仿宋_GB2312" w:cs="仿宋_GB2312"/>
          <w:color w:val="000000"/>
          <w:spacing w:val="17"/>
          <w:sz w:val="32"/>
          <w:szCs w:val="32"/>
          <w:lang w:eastAsia="zh-CN"/>
        </w:rPr>
        <w:t>按照资金</w:t>
      </w:r>
      <w:r>
        <w:rPr>
          <w:rFonts w:hint="eastAsia" w:ascii="仿宋_GB2312" w:hAnsi="仿宋_GB2312" w:eastAsia="仿宋_GB2312" w:cs="仿宋_GB2312"/>
          <w:color w:val="000000"/>
          <w:spacing w:val="17"/>
          <w:sz w:val="32"/>
          <w:szCs w:val="32"/>
        </w:rPr>
        <w:t>项目批复等有关要求，保障</w:t>
      </w:r>
      <w:r>
        <w:rPr>
          <w:rFonts w:hint="eastAsia" w:ascii="仿宋_GB2312" w:hAnsi="仿宋_GB2312" w:eastAsia="仿宋_GB2312" w:cs="仿宋_GB2312"/>
          <w:color w:val="000000"/>
          <w:spacing w:val="17"/>
          <w:sz w:val="32"/>
          <w:szCs w:val="32"/>
          <w:lang w:eastAsia="zh-CN"/>
        </w:rPr>
        <w:t>设备</w:t>
      </w:r>
      <w:r>
        <w:rPr>
          <w:rFonts w:hint="eastAsia" w:ascii="仿宋_GB2312" w:hAnsi="仿宋_GB2312" w:eastAsia="仿宋_GB2312" w:cs="仿宋_GB2312"/>
          <w:color w:val="000000"/>
          <w:spacing w:val="17"/>
          <w:sz w:val="32"/>
          <w:szCs w:val="32"/>
        </w:rPr>
        <w:t>质量，实现项目批复要求的可持续影响效益指标。项目的立项符合</w:t>
      </w:r>
      <w:r>
        <w:rPr>
          <w:rFonts w:hint="eastAsia" w:ascii="仿宋_GB2312" w:hAnsi="仿宋_GB2312" w:eastAsia="仿宋_GB2312" w:cs="仿宋_GB2312"/>
          <w:color w:val="000000"/>
          <w:spacing w:val="17"/>
          <w:sz w:val="32"/>
          <w:szCs w:val="32"/>
          <w:lang w:eastAsia="zh-CN"/>
        </w:rPr>
        <w:t>实际</w:t>
      </w:r>
      <w:r>
        <w:rPr>
          <w:rFonts w:hint="eastAsia" w:ascii="仿宋_GB2312" w:hAnsi="仿宋_GB2312" w:eastAsia="仿宋_GB2312" w:cs="仿宋_GB2312"/>
          <w:color w:val="000000"/>
          <w:spacing w:val="17"/>
          <w:sz w:val="32"/>
          <w:szCs w:val="32"/>
        </w:rPr>
        <w:t>，项目单位的绩效指标设置表述清晰、设置合理、指标设置完整。根据评分标准，实际得分率为</w:t>
      </w:r>
      <w:r>
        <w:rPr>
          <w:rFonts w:hint="eastAsia" w:ascii="仿宋_GB2312" w:hAnsi="仿宋_GB2312" w:eastAsia="仿宋_GB2312" w:cs="仿宋_GB2312"/>
          <w:color w:val="000000"/>
          <w:spacing w:val="17"/>
          <w:sz w:val="32"/>
          <w:szCs w:val="32"/>
          <w:lang w:val="en-US" w:eastAsia="zh-CN"/>
        </w:rPr>
        <w:t>100</w:t>
      </w:r>
      <w:r>
        <w:rPr>
          <w:rFonts w:hint="eastAsia" w:ascii="仿宋_GB2312" w:hAnsi="仿宋_GB2312" w:eastAsia="仿宋_GB2312" w:cs="仿宋_GB2312"/>
          <w:color w:val="000000"/>
          <w:spacing w:val="17"/>
          <w:sz w:val="32"/>
          <w:szCs w:val="32"/>
        </w:rPr>
        <w:t>%。</w:t>
      </w:r>
    </w:p>
    <w:p>
      <w:pPr>
        <w:pageBreakBefore w:val="0"/>
        <w:kinsoku/>
        <w:wordWrap/>
        <w:overflowPunct/>
        <w:topLinePunct w:val="0"/>
        <w:bidi w:val="0"/>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对于“绩效目标”，</w:t>
      </w:r>
      <w:r>
        <w:rPr>
          <w:rFonts w:hint="eastAsia" w:ascii="仿宋_GB2312" w:hAnsi="仿宋_GB2312" w:eastAsia="仿宋_GB2312" w:cs="仿宋_GB2312"/>
          <w:color w:val="000000"/>
          <w:spacing w:val="17"/>
          <w:sz w:val="32"/>
          <w:szCs w:val="32"/>
          <w:lang w:eastAsia="zh-CN"/>
        </w:rPr>
        <w:t>开办资金</w:t>
      </w:r>
      <w:r>
        <w:rPr>
          <w:rFonts w:hint="eastAsia" w:ascii="仿宋_GB2312" w:hAnsi="仿宋_GB2312" w:eastAsia="仿宋_GB2312" w:cs="仿宋_GB2312"/>
          <w:color w:val="000000"/>
          <w:spacing w:val="17"/>
          <w:sz w:val="32"/>
          <w:szCs w:val="32"/>
        </w:rPr>
        <w:t>项目，设置了较为详细的项目支出绩效目标，项目绩效目标的设置，满足合理性和明确性的要求，但是分年度目标中分年度目标设置不够详细。根据评分标准，该指标实际得分率</w:t>
      </w:r>
      <w:r>
        <w:rPr>
          <w:rFonts w:hint="eastAsia" w:ascii="仿宋_GB2312" w:hAnsi="仿宋_GB2312" w:eastAsia="仿宋_GB2312" w:cs="仿宋_GB2312"/>
          <w:color w:val="000000"/>
          <w:spacing w:val="17"/>
          <w:sz w:val="32"/>
          <w:szCs w:val="32"/>
          <w:lang w:val="en-US" w:eastAsia="zh-CN"/>
        </w:rPr>
        <w:t>100</w:t>
      </w:r>
      <w:r>
        <w:rPr>
          <w:rFonts w:hint="eastAsia" w:ascii="仿宋_GB2312" w:hAnsi="仿宋_GB2312" w:eastAsia="仿宋_GB2312" w:cs="仿宋_GB2312"/>
          <w:color w:val="000000"/>
          <w:spacing w:val="17"/>
          <w:sz w:val="32"/>
          <w:szCs w:val="32"/>
        </w:rPr>
        <w:t>%。</w:t>
      </w:r>
    </w:p>
    <w:p>
      <w:pPr>
        <w:pageBreakBefore w:val="0"/>
        <w:kinsoku/>
        <w:wordWrap/>
        <w:overflowPunct/>
        <w:topLinePunct w:val="0"/>
        <w:bidi w:val="0"/>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对于“资金投入”，</w:t>
      </w:r>
      <w:r>
        <w:rPr>
          <w:rFonts w:hint="eastAsia" w:ascii="仿宋_GB2312" w:hAnsi="仿宋_GB2312" w:eastAsia="仿宋_GB2312" w:cs="仿宋_GB2312"/>
          <w:color w:val="000000"/>
          <w:spacing w:val="17"/>
          <w:sz w:val="32"/>
          <w:szCs w:val="32"/>
          <w:lang w:eastAsia="zh-CN"/>
        </w:rPr>
        <w:t>开办资金</w:t>
      </w:r>
      <w:r>
        <w:rPr>
          <w:rFonts w:hint="eastAsia" w:ascii="仿宋_GB2312" w:hAnsi="仿宋_GB2312" w:eastAsia="仿宋_GB2312" w:cs="仿宋_GB2312"/>
          <w:color w:val="000000"/>
          <w:spacing w:val="17"/>
          <w:sz w:val="32"/>
          <w:szCs w:val="32"/>
        </w:rPr>
        <w:t>项目，资金全部投入到位，总投</w:t>
      </w:r>
      <w:r>
        <w:rPr>
          <w:rFonts w:hint="eastAsia" w:ascii="仿宋_GB2312" w:hAnsi="仿宋_GB2312" w:eastAsia="仿宋_GB2312" w:cs="仿宋_GB2312"/>
          <w:color w:val="000000"/>
          <w:spacing w:val="17"/>
          <w:sz w:val="32"/>
          <w:szCs w:val="32"/>
          <w:lang w:eastAsia="zh-CN"/>
        </w:rPr>
        <w:t>入</w:t>
      </w:r>
      <w:r>
        <w:rPr>
          <w:rFonts w:hint="eastAsia" w:ascii="仿宋_GB2312" w:hAnsi="仿宋_GB2312" w:eastAsia="仿宋_GB2312" w:cs="仿宋_GB2312"/>
          <w:color w:val="000000"/>
          <w:spacing w:val="17"/>
          <w:sz w:val="32"/>
          <w:szCs w:val="32"/>
          <w:lang w:val="en-US" w:eastAsia="zh-CN"/>
        </w:rPr>
        <w:t>15</w:t>
      </w:r>
      <w:r>
        <w:rPr>
          <w:rFonts w:hint="eastAsia" w:ascii="仿宋_GB2312" w:hAnsi="仿宋_GB2312" w:eastAsia="仿宋_GB2312" w:cs="仿宋_GB2312"/>
          <w:color w:val="000000"/>
          <w:spacing w:val="17"/>
          <w:sz w:val="32"/>
          <w:szCs w:val="32"/>
        </w:rPr>
        <w:t>万元。根据评分标准，该指标实际得分率100%。</w:t>
      </w:r>
    </w:p>
    <w:p>
      <w:pPr>
        <w:pageBreakBefore w:val="0"/>
        <w:kinsoku/>
        <w:wordWrap/>
        <w:overflowPunct/>
        <w:topLinePunct w:val="0"/>
        <w:bidi w:val="0"/>
        <w:snapToGrid/>
        <w:spacing w:line="560" w:lineRule="exact"/>
        <w:ind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（二）项目过程情况。</w:t>
      </w:r>
    </w:p>
    <w:p>
      <w:pPr>
        <w:pageBreakBefore w:val="0"/>
        <w:kinsoku/>
        <w:wordWrap/>
        <w:overflowPunct/>
        <w:topLinePunct w:val="0"/>
        <w:bidi w:val="0"/>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项目管理指标从资金到位率、预算执行率、资金使用合规性、管理制度健全性、制度执行有效性5个方面对项目的管理情况进行考察。项目管理类指标分值</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分，实际得分</w:t>
      </w:r>
      <w:r>
        <w:rPr>
          <w:rFonts w:hint="eastAsia" w:ascii="仿宋_GB2312" w:hAnsi="仿宋_GB2312" w:eastAsia="仿宋_GB2312" w:cs="仿宋_GB2312"/>
          <w:color w:val="000000"/>
          <w:spacing w:val="17"/>
          <w:sz w:val="32"/>
          <w:szCs w:val="32"/>
          <w:lang w:val="en-US" w:eastAsia="zh-CN"/>
        </w:rPr>
        <w:t>4.98</w:t>
      </w:r>
      <w:r>
        <w:rPr>
          <w:rFonts w:hint="eastAsia" w:ascii="仿宋_GB2312" w:hAnsi="仿宋_GB2312" w:eastAsia="仿宋_GB2312" w:cs="仿宋_GB2312"/>
          <w:color w:val="000000"/>
          <w:spacing w:val="17"/>
          <w:sz w:val="32"/>
          <w:szCs w:val="32"/>
        </w:rPr>
        <w:t>分，得分率为</w:t>
      </w:r>
      <w:r>
        <w:rPr>
          <w:rFonts w:hint="eastAsia" w:ascii="仿宋_GB2312" w:hAnsi="仿宋_GB2312" w:eastAsia="仿宋_GB2312" w:cs="仿宋_GB2312"/>
          <w:color w:val="000000"/>
          <w:spacing w:val="17"/>
          <w:sz w:val="32"/>
          <w:szCs w:val="32"/>
          <w:lang w:val="en-US" w:eastAsia="zh-CN"/>
        </w:rPr>
        <w:t>99.6</w:t>
      </w:r>
      <w:r>
        <w:rPr>
          <w:rFonts w:hint="eastAsia" w:ascii="仿宋_GB2312" w:hAnsi="仿宋_GB2312" w:eastAsia="仿宋_GB2312" w:cs="仿宋_GB2312"/>
          <w:color w:val="000000"/>
          <w:spacing w:val="17"/>
          <w:sz w:val="32"/>
          <w:szCs w:val="32"/>
        </w:rPr>
        <w:t>%。对于“预算执行率”，项目经过向本级财政申请资金，</w:t>
      </w:r>
      <w:r>
        <w:rPr>
          <w:rFonts w:hint="eastAsia" w:ascii="仿宋_GB2312" w:hAnsi="仿宋_GB2312" w:eastAsia="仿宋_GB2312" w:cs="仿宋_GB2312"/>
          <w:color w:val="000000"/>
          <w:spacing w:val="17"/>
          <w:sz w:val="32"/>
          <w:szCs w:val="32"/>
          <w:lang w:eastAsia="zh-CN"/>
        </w:rPr>
        <w:t>2020</w:t>
      </w:r>
      <w:r>
        <w:rPr>
          <w:rFonts w:hint="eastAsia" w:ascii="仿宋_GB2312" w:hAnsi="仿宋_GB2312" w:eastAsia="仿宋_GB2312" w:cs="仿宋_GB2312"/>
          <w:color w:val="000000"/>
          <w:spacing w:val="17"/>
          <w:sz w:val="32"/>
          <w:szCs w:val="32"/>
        </w:rPr>
        <w:t>年取得财政拨款资金</w:t>
      </w:r>
      <w:r>
        <w:rPr>
          <w:rFonts w:hint="eastAsia" w:ascii="仿宋_GB2312" w:hAnsi="仿宋_GB2312" w:eastAsia="仿宋_GB2312" w:cs="仿宋_GB2312"/>
          <w:color w:val="000000"/>
          <w:spacing w:val="17"/>
          <w:sz w:val="32"/>
          <w:szCs w:val="32"/>
          <w:lang w:val="en-US" w:eastAsia="zh-CN"/>
        </w:rPr>
        <w:t>15</w:t>
      </w:r>
      <w:r>
        <w:rPr>
          <w:rFonts w:hint="eastAsia" w:ascii="仿宋_GB2312" w:hAnsi="仿宋_GB2312" w:eastAsia="仿宋_GB2312" w:cs="仿宋_GB2312"/>
          <w:color w:val="000000"/>
          <w:spacing w:val="17"/>
          <w:sz w:val="32"/>
          <w:szCs w:val="32"/>
        </w:rPr>
        <w:t>万元，项目资金预算经过集体讨论，并经批复。项目预算资金为</w:t>
      </w:r>
      <w:r>
        <w:rPr>
          <w:rFonts w:hint="eastAsia" w:ascii="仿宋_GB2312" w:hAnsi="仿宋_GB2312" w:eastAsia="仿宋_GB2312" w:cs="仿宋_GB2312"/>
          <w:color w:val="000000"/>
          <w:spacing w:val="17"/>
          <w:sz w:val="32"/>
          <w:szCs w:val="32"/>
          <w:lang w:val="en-US" w:eastAsia="zh-CN"/>
        </w:rPr>
        <w:t>15</w:t>
      </w:r>
      <w:r>
        <w:rPr>
          <w:rFonts w:hint="eastAsia" w:ascii="仿宋_GB2312" w:hAnsi="仿宋_GB2312" w:eastAsia="仿宋_GB2312" w:cs="仿宋_GB2312"/>
          <w:color w:val="000000"/>
          <w:spacing w:val="17"/>
          <w:sz w:val="32"/>
          <w:szCs w:val="32"/>
        </w:rPr>
        <w:t>万元，实际使用</w:t>
      </w:r>
      <w:r>
        <w:rPr>
          <w:rFonts w:hint="eastAsia" w:ascii="仿宋_GB2312" w:hAnsi="仿宋_GB2312" w:eastAsia="仿宋_GB2312" w:cs="仿宋_GB2312"/>
          <w:color w:val="000000"/>
          <w:spacing w:val="17"/>
          <w:sz w:val="32"/>
          <w:szCs w:val="32"/>
          <w:lang w:val="en-US" w:eastAsia="zh-CN"/>
        </w:rPr>
        <w:t>14.7</w:t>
      </w:r>
      <w:r>
        <w:rPr>
          <w:rFonts w:hint="eastAsia" w:ascii="仿宋_GB2312" w:hAnsi="仿宋_GB2312" w:eastAsia="仿宋_GB2312" w:cs="仿宋_GB2312"/>
          <w:color w:val="000000"/>
          <w:spacing w:val="17"/>
          <w:sz w:val="32"/>
          <w:szCs w:val="32"/>
        </w:rPr>
        <w:t>万元。根据评分标准，该指标实际得分率</w:t>
      </w:r>
      <w:r>
        <w:rPr>
          <w:rFonts w:hint="eastAsia" w:ascii="仿宋_GB2312" w:hAnsi="仿宋_GB2312" w:eastAsia="仿宋_GB2312" w:cs="仿宋_GB2312"/>
          <w:color w:val="000000"/>
          <w:spacing w:val="17"/>
          <w:sz w:val="32"/>
          <w:szCs w:val="32"/>
          <w:lang w:val="en-US" w:eastAsia="zh-CN"/>
        </w:rPr>
        <w:t>98</w:t>
      </w:r>
      <w:r>
        <w:rPr>
          <w:rFonts w:hint="eastAsia" w:ascii="仿宋_GB2312" w:hAnsi="仿宋_GB2312" w:eastAsia="仿宋_GB2312" w:cs="仿宋_GB2312"/>
          <w:color w:val="000000"/>
          <w:spacing w:val="17"/>
          <w:sz w:val="32"/>
          <w:szCs w:val="32"/>
        </w:rPr>
        <w:t>%。</w:t>
      </w:r>
    </w:p>
    <w:p>
      <w:pPr>
        <w:pageBreakBefore w:val="0"/>
        <w:kinsoku/>
        <w:wordWrap/>
        <w:overflowPunct/>
        <w:topLinePunct w:val="0"/>
        <w:bidi w:val="0"/>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对于“资金到位率”，项目资金到位及时，到位率为100%。根据评分标准，该指标不扣分。</w:t>
      </w:r>
    </w:p>
    <w:p>
      <w:pPr>
        <w:pageBreakBefore w:val="0"/>
        <w:kinsoku/>
        <w:wordWrap/>
        <w:overflowPunct/>
        <w:topLinePunct w:val="0"/>
        <w:bidi w:val="0"/>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对于“资金使用合规性”</w:t>
      </w:r>
      <w:r>
        <w:rPr>
          <w:rFonts w:hint="eastAsia" w:ascii="仿宋_GB2312" w:hAnsi="仿宋_GB2312" w:eastAsia="仿宋_GB2312" w:cs="仿宋_GB2312"/>
          <w:color w:val="000000"/>
          <w:spacing w:val="17"/>
          <w:sz w:val="32"/>
          <w:szCs w:val="32"/>
          <w:lang w:eastAsia="zh-CN"/>
        </w:rPr>
        <w:t>教工委开办资金</w:t>
      </w:r>
      <w:r>
        <w:rPr>
          <w:rFonts w:hint="eastAsia" w:ascii="仿宋_GB2312" w:hAnsi="仿宋_GB2312" w:eastAsia="仿宋_GB2312" w:cs="仿宋_GB2312"/>
          <w:color w:val="000000"/>
          <w:spacing w:val="17"/>
          <w:sz w:val="32"/>
          <w:szCs w:val="32"/>
        </w:rPr>
        <w:t>按照专项资金列支的范围使用资金，支出范围合规；</w:t>
      </w:r>
      <w:r>
        <w:rPr>
          <w:rFonts w:hint="eastAsia" w:ascii="仿宋_GB2312" w:hAnsi="仿宋_GB2312" w:eastAsia="仿宋_GB2312" w:cs="仿宋_GB2312"/>
          <w:color w:val="000000"/>
          <w:spacing w:val="17"/>
          <w:sz w:val="32"/>
          <w:szCs w:val="32"/>
          <w:lang w:eastAsia="zh-CN"/>
        </w:rPr>
        <w:t>采购程序严格按照政府采购相关规定执行，</w:t>
      </w:r>
      <w:r>
        <w:rPr>
          <w:rFonts w:hint="eastAsia" w:ascii="仿宋_GB2312" w:hAnsi="仿宋_GB2312" w:eastAsia="仿宋_GB2312" w:cs="仿宋_GB2312"/>
          <w:color w:val="000000"/>
          <w:spacing w:val="17"/>
          <w:sz w:val="32"/>
          <w:szCs w:val="32"/>
        </w:rPr>
        <w:t>资金支出能按财务制度执行，并能按国库集中支付制度规定执行，不存在资金违纪违规使用情况。按评分标准，指标实际得分率100%。</w:t>
      </w:r>
    </w:p>
    <w:p>
      <w:pPr>
        <w:pageBreakBefore w:val="0"/>
        <w:kinsoku/>
        <w:wordWrap/>
        <w:overflowPunct/>
        <w:topLinePunct w:val="0"/>
        <w:bidi w:val="0"/>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对于“管理制度健全性”，</w:t>
      </w:r>
      <w:r>
        <w:rPr>
          <w:rFonts w:hint="eastAsia" w:ascii="仿宋_GB2312" w:hAnsi="仿宋_GB2312" w:eastAsia="仿宋_GB2312" w:cs="仿宋_GB2312"/>
          <w:color w:val="000000"/>
          <w:spacing w:val="17"/>
          <w:sz w:val="32"/>
          <w:szCs w:val="32"/>
          <w:lang w:eastAsia="zh-CN"/>
        </w:rPr>
        <w:t>教工委</w:t>
      </w:r>
      <w:r>
        <w:rPr>
          <w:rFonts w:hint="eastAsia" w:ascii="仿宋_GB2312" w:hAnsi="仿宋_GB2312" w:eastAsia="仿宋_GB2312" w:cs="仿宋_GB2312"/>
          <w:color w:val="000000"/>
          <w:spacing w:val="17"/>
          <w:sz w:val="32"/>
          <w:szCs w:val="32"/>
        </w:rPr>
        <w:t>机构健全，分工明确，不存在不相容岗位兼任情况。根据评分标准，该指标不扣分。</w:t>
      </w:r>
    </w:p>
    <w:p>
      <w:pPr>
        <w:pageBreakBefore w:val="0"/>
        <w:kinsoku/>
        <w:wordWrap/>
        <w:overflowPunct/>
        <w:topLinePunct w:val="0"/>
        <w:bidi w:val="0"/>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对于“制度执行有效性”，</w:t>
      </w:r>
      <w:r>
        <w:rPr>
          <w:rFonts w:hint="eastAsia" w:ascii="仿宋_GB2312" w:hAnsi="仿宋_GB2312" w:eastAsia="仿宋_GB2312" w:cs="仿宋_GB2312"/>
          <w:color w:val="000000"/>
          <w:spacing w:val="17"/>
          <w:sz w:val="32"/>
          <w:szCs w:val="32"/>
          <w:lang w:eastAsia="zh-CN"/>
        </w:rPr>
        <w:t>教工委开办资金</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eastAsia="zh-CN"/>
        </w:rPr>
        <w:t>严格按照</w:t>
      </w:r>
      <w:r>
        <w:rPr>
          <w:rFonts w:hint="eastAsia" w:ascii="仿宋_GB2312" w:hAnsi="仿宋_GB2312" w:eastAsia="仿宋_GB2312" w:cs="仿宋_GB2312"/>
          <w:color w:val="000000"/>
          <w:spacing w:val="17"/>
          <w:sz w:val="32"/>
          <w:szCs w:val="32"/>
        </w:rPr>
        <w:t>预算、资产、采购等管理办法遵照实施。根据评分标准，该指标</w:t>
      </w:r>
      <w:r>
        <w:rPr>
          <w:rFonts w:hint="eastAsia" w:ascii="仿宋_GB2312" w:hAnsi="仿宋_GB2312" w:eastAsia="仿宋_GB2312" w:cs="仿宋_GB2312"/>
          <w:color w:val="000000"/>
          <w:spacing w:val="17"/>
          <w:sz w:val="32"/>
          <w:szCs w:val="32"/>
          <w:lang w:eastAsia="zh-CN"/>
        </w:rPr>
        <w:t>不</w:t>
      </w:r>
      <w:r>
        <w:rPr>
          <w:rFonts w:hint="eastAsia" w:ascii="仿宋_GB2312" w:hAnsi="仿宋_GB2312" w:eastAsia="仿宋_GB2312" w:cs="仿宋_GB2312"/>
          <w:color w:val="000000"/>
          <w:spacing w:val="17"/>
          <w:sz w:val="32"/>
          <w:szCs w:val="32"/>
        </w:rPr>
        <w:t>扣分。</w:t>
      </w:r>
    </w:p>
    <w:p>
      <w:pPr>
        <w:pageBreakBefore w:val="0"/>
        <w:kinsoku/>
        <w:wordWrap/>
        <w:overflowPunct/>
        <w:topLinePunct w:val="0"/>
        <w:bidi w:val="0"/>
        <w:snapToGrid/>
        <w:spacing w:line="560" w:lineRule="exact"/>
        <w:ind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（三）项目产出情况。</w:t>
      </w:r>
    </w:p>
    <w:p>
      <w:pPr>
        <w:pageBreakBefore w:val="0"/>
        <w:kinsoku/>
        <w:wordWrap/>
        <w:overflowPunct/>
        <w:topLinePunct w:val="0"/>
        <w:bidi w:val="0"/>
        <w:snapToGrid/>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项目绩效主要从项目产出的产出数量、产出质量、产出时效、成本情况及项目效果的经济效益、社会效益、可持续影响指标、服务对象满意度4个方面对项目的绩效情况进行评价。项目绩效类指标分值</w:t>
      </w:r>
      <w:r>
        <w:rPr>
          <w:rFonts w:hint="eastAsia" w:ascii="仿宋" w:hAnsi="仿宋" w:eastAsia="仿宋" w:cs="仿宋"/>
          <w:sz w:val="32"/>
          <w:szCs w:val="32"/>
          <w:lang w:val="en-US" w:eastAsia="zh-CN"/>
        </w:rPr>
        <w:t>50</w:t>
      </w:r>
      <w:r>
        <w:rPr>
          <w:rFonts w:hint="eastAsia" w:ascii="仿宋" w:hAnsi="仿宋" w:eastAsia="仿宋" w:cs="仿宋"/>
          <w:sz w:val="32"/>
          <w:szCs w:val="32"/>
        </w:rPr>
        <w:t>分，实际得分</w:t>
      </w:r>
      <w:r>
        <w:rPr>
          <w:rFonts w:hint="eastAsia" w:ascii="仿宋" w:hAnsi="仿宋" w:eastAsia="仿宋" w:cs="仿宋"/>
          <w:sz w:val="32"/>
          <w:szCs w:val="32"/>
          <w:lang w:val="en-US" w:eastAsia="zh-CN"/>
        </w:rPr>
        <w:t>50</w:t>
      </w:r>
      <w:r>
        <w:rPr>
          <w:rFonts w:hint="eastAsia" w:ascii="仿宋" w:hAnsi="仿宋" w:eastAsia="仿宋" w:cs="仿宋"/>
          <w:sz w:val="32"/>
          <w:szCs w:val="32"/>
        </w:rPr>
        <w:t>分，得分率为</w:t>
      </w:r>
      <w:r>
        <w:rPr>
          <w:rFonts w:hint="eastAsia" w:ascii="仿宋" w:hAnsi="仿宋" w:eastAsia="仿宋" w:cs="仿宋"/>
          <w:sz w:val="32"/>
          <w:szCs w:val="32"/>
          <w:lang w:val="en-US" w:eastAsia="zh-CN"/>
        </w:rPr>
        <w:t>100</w:t>
      </w:r>
      <w:r>
        <w:rPr>
          <w:rFonts w:hint="eastAsia" w:ascii="仿宋" w:hAnsi="仿宋" w:eastAsia="仿宋" w:cs="仿宋"/>
          <w:sz w:val="32"/>
          <w:szCs w:val="32"/>
        </w:rPr>
        <w:t>%。对于“产出数量”，又具体分为3个明细指标进行评价，具体见下表：</w:t>
      </w:r>
    </w:p>
    <w:tbl>
      <w:tblPr>
        <w:tblStyle w:val="24"/>
        <w:tblW w:w="8522" w:type="dxa"/>
        <w:tblInd w:w="0" w:type="dxa"/>
        <w:tblLayout w:type="fixed"/>
        <w:tblCellMar>
          <w:top w:w="0" w:type="dxa"/>
          <w:left w:w="108" w:type="dxa"/>
          <w:bottom w:w="0" w:type="dxa"/>
          <w:right w:w="108" w:type="dxa"/>
        </w:tblCellMar>
      </w:tblPr>
      <w:tblGrid>
        <w:gridCol w:w="3794"/>
        <w:gridCol w:w="1701"/>
        <w:gridCol w:w="1416"/>
        <w:gridCol w:w="1611"/>
      </w:tblGrid>
      <w:tr>
        <w:tblPrEx>
          <w:tblCellMar>
            <w:top w:w="0" w:type="dxa"/>
            <w:left w:w="108" w:type="dxa"/>
            <w:bottom w:w="0" w:type="dxa"/>
            <w:right w:w="108" w:type="dxa"/>
          </w:tblCellMar>
        </w:tblPrEx>
        <w:trPr>
          <w:trHeight w:val="555" w:hRule="atLeast"/>
          <w:tblHeader/>
        </w:trPr>
        <w:tc>
          <w:tcPr>
            <w:tcW w:w="8522" w:type="dxa"/>
            <w:gridSpan w:val="4"/>
            <w:tcBorders>
              <w:top w:val="nil"/>
              <w:left w:val="nil"/>
              <w:bottom w:val="nil"/>
              <w:right w:val="nil"/>
            </w:tcBorders>
            <w:noWrap/>
            <w:vAlign w:val="center"/>
          </w:tcPr>
          <w:p>
            <w:pPr>
              <w:pageBreakBefore w:val="0"/>
              <w:widowControl/>
              <w:kinsoku/>
              <w:wordWrap/>
              <w:overflowPunct/>
              <w:topLinePunct w:val="0"/>
              <w:bidi w:val="0"/>
              <w:snapToGrid/>
              <w:spacing w:line="560" w:lineRule="exact"/>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项目产出数量指标得分情况</w:t>
            </w:r>
          </w:p>
        </w:tc>
      </w:tr>
      <w:tr>
        <w:tblPrEx>
          <w:tblCellMar>
            <w:top w:w="0" w:type="dxa"/>
            <w:left w:w="108" w:type="dxa"/>
            <w:bottom w:w="0" w:type="dxa"/>
            <w:right w:w="108" w:type="dxa"/>
          </w:tblCellMar>
        </w:tblPrEx>
        <w:trPr>
          <w:trHeight w:val="510" w:hRule="exact"/>
          <w:tblHeader/>
        </w:trPr>
        <w:tc>
          <w:tcPr>
            <w:tcW w:w="3794" w:type="dxa"/>
            <w:tcBorders>
              <w:top w:val="single" w:color="auto" w:sz="8" w:space="0"/>
              <w:left w:val="single" w:color="auto" w:sz="8" w:space="0"/>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hint="eastAsia" w:ascii="仿宋" w:hAnsi="仿宋" w:eastAsia="仿宋" w:cs="仿宋"/>
                <w:b/>
                <w:bCs/>
                <w:color w:val="000000"/>
                <w:kern w:val="0"/>
                <w:sz w:val="22"/>
                <w:szCs w:val="22"/>
              </w:rPr>
            </w:pPr>
            <w:r>
              <w:rPr>
                <w:rFonts w:hint="eastAsia" w:ascii="仿宋" w:hAnsi="仿宋" w:eastAsia="仿宋" w:cs="仿宋"/>
                <w:b/>
                <w:bCs/>
                <w:color w:val="000000"/>
                <w:kern w:val="0"/>
                <w:sz w:val="22"/>
                <w:szCs w:val="22"/>
              </w:rPr>
              <w:t>三级明细指标</w:t>
            </w:r>
          </w:p>
        </w:tc>
        <w:tc>
          <w:tcPr>
            <w:tcW w:w="1701"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hint="eastAsia" w:ascii="仿宋" w:hAnsi="仿宋" w:eastAsia="仿宋" w:cs="仿宋"/>
                <w:b/>
                <w:bCs/>
                <w:color w:val="000000"/>
                <w:kern w:val="0"/>
                <w:sz w:val="22"/>
                <w:szCs w:val="22"/>
              </w:rPr>
            </w:pPr>
            <w:r>
              <w:rPr>
                <w:rFonts w:hint="eastAsia" w:ascii="仿宋" w:hAnsi="仿宋" w:eastAsia="仿宋" w:cs="仿宋"/>
                <w:b/>
                <w:bCs/>
                <w:color w:val="000000"/>
                <w:kern w:val="0"/>
                <w:sz w:val="22"/>
                <w:szCs w:val="22"/>
              </w:rPr>
              <w:t>权重</w:t>
            </w:r>
          </w:p>
        </w:tc>
        <w:tc>
          <w:tcPr>
            <w:tcW w:w="1416"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hint="eastAsia" w:ascii="仿宋" w:hAnsi="仿宋" w:eastAsia="仿宋" w:cs="仿宋"/>
                <w:b/>
                <w:bCs/>
                <w:color w:val="000000"/>
                <w:kern w:val="0"/>
                <w:sz w:val="22"/>
                <w:szCs w:val="22"/>
              </w:rPr>
            </w:pPr>
            <w:r>
              <w:rPr>
                <w:rFonts w:hint="eastAsia" w:ascii="仿宋" w:hAnsi="仿宋" w:eastAsia="仿宋" w:cs="仿宋"/>
                <w:b/>
                <w:bCs/>
                <w:color w:val="000000"/>
                <w:kern w:val="0"/>
                <w:sz w:val="22"/>
                <w:szCs w:val="22"/>
              </w:rPr>
              <w:t>得分率</w:t>
            </w:r>
          </w:p>
        </w:tc>
        <w:tc>
          <w:tcPr>
            <w:tcW w:w="1611"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hint="eastAsia" w:ascii="仿宋" w:hAnsi="仿宋" w:eastAsia="仿宋" w:cs="仿宋"/>
                <w:b/>
                <w:bCs/>
                <w:color w:val="000000"/>
                <w:kern w:val="0"/>
                <w:sz w:val="22"/>
                <w:szCs w:val="22"/>
              </w:rPr>
            </w:pPr>
            <w:r>
              <w:rPr>
                <w:rFonts w:hint="eastAsia" w:ascii="仿宋" w:hAnsi="仿宋" w:eastAsia="仿宋" w:cs="仿宋"/>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379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组织培训班次（次）</w:t>
            </w:r>
          </w:p>
        </w:tc>
        <w:tc>
          <w:tcPr>
            <w:tcW w:w="170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w:t>
            </w:r>
          </w:p>
        </w:tc>
        <w:tc>
          <w:tcPr>
            <w:tcW w:w="141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61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val="en-US" w:eastAsia="zh-CN"/>
              </w:rPr>
              <w:t>3</w:t>
            </w:r>
          </w:p>
        </w:tc>
      </w:tr>
      <w:tr>
        <w:tblPrEx>
          <w:tblCellMar>
            <w:top w:w="0" w:type="dxa"/>
            <w:left w:w="108" w:type="dxa"/>
            <w:bottom w:w="0" w:type="dxa"/>
            <w:right w:w="108" w:type="dxa"/>
          </w:tblCellMar>
        </w:tblPrEx>
        <w:trPr>
          <w:trHeight w:val="510" w:hRule="exact"/>
        </w:trPr>
        <w:tc>
          <w:tcPr>
            <w:tcW w:w="379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新增购置的笔记本数量</w:t>
            </w:r>
          </w:p>
        </w:tc>
        <w:tc>
          <w:tcPr>
            <w:tcW w:w="170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w:t>
            </w:r>
          </w:p>
        </w:tc>
        <w:tc>
          <w:tcPr>
            <w:tcW w:w="141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61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val="en-US" w:eastAsia="zh-CN"/>
              </w:rPr>
              <w:t>3</w:t>
            </w:r>
          </w:p>
        </w:tc>
      </w:tr>
      <w:tr>
        <w:tblPrEx>
          <w:tblCellMar>
            <w:top w:w="0" w:type="dxa"/>
            <w:left w:w="108" w:type="dxa"/>
            <w:bottom w:w="0" w:type="dxa"/>
            <w:right w:w="108" w:type="dxa"/>
          </w:tblCellMar>
        </w:tblPrEx>
        <w:trPr>
          <w:trHeight w:val="510" w:hRule="exact"/>
        </w:trPr>
        <w:tc>
          <w:tcPr>
            <w:tcW w:w="379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新增购置的保密柜数量</w:t>
            </w:r>
          </w:p>
        </w:tc>
        <w:tc>
          <w:tcPr>
            <w:tcW w:w="170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3</w:t>
            </w:r>
          </w:p>
        </w:tc>
        <w:tc>
          <w:tcPr>
            <w:tcW w:w="1416"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61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val="en-US" w:eastAsia="zh-CN"/>
              </w:rPr>
              <w:t>3</w:t>
            </w:r>
          </w:p>
        </w:tc>
      </w:tr>
      <w:tr>
        <w:tblPrEx>
          <w:tblCellMar>
            <w:top w:w="0" w:type="dxa"/>
            <w:left w:w="108" w:type="dxa"/>
            <w:bottom w:w="0" w:type="dxa"/>
            <w:right w:w="108" w:type="dxa"/>
          </w:tblCellMar>
        </w:tblPrEx>
        <w:trPr>
          <w:trHeight w:val="865" w:hRule="exact"/>
        </w:trPr>
        <w:tc>
          <w:tcPr>
            <w:tcW w:w="379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对各县（市）学校教师队伍情况调研次数</w:t>
            </w:r>
          </w:p>
        </w:tc>
        <w:tc>
          <w:tcPr>
            <w:tcW w:w="170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3</w:t>
            </w:r>
          </w:p>
        </w:tc>
        <w:tc>
          <w:tcPr>
            <w:tcW w:w="1416"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61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3</w:t>
            </w:r>
          </w:p>
        </w:tc>
      </w:tr>
      <w:tr>
        <w:tblPrEx>
          <w:tblCellMar>
            <w:top w:w="0" w:type="dxa"/>
            <w:left w:w="108" w:type="dxa"/>
            <w:bottom w:w="0" w:type="dxa"/>
            <w:right w:w="108" w:type="dxa"/>
          </w:tblCellMar>
        </w:tblPrEx>
        <w:trPr>
          <w:trHeight w:val="510" w:hRule="exact"/>
        </w:trPr>
        <w:tc>
          <w:tcPr>
            <w:tcW w:w="379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对各县（市）校园安全调研次数</w:t>
            </w:r>
          </w:p>
        </w:tc>
        <w:tc>
          <w:tcPr>
            <w:tcW w:w="170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3</w:t>
            </w:r>
          </w:p>
        </w:tc>
        <w:tc>
          <w:tcPr>
            <w:tcW w:w="1416"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61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3</w:t>
            </w:r>
          </w:p>
        </w:tc>
      </w:tr>
      <w:tr>
        <w:tblPrEx>
          <w:tblCellMar>
            <w:top w:w="0" w:type="dxa"/>
            <w:left w:w="108" w:type="dxa"/>
            <w:bottom w:w="0" w:type="dxa"/>
            <w:right w:w="108" w:type="dxa"/>
          </w:tblCellMar>
        </w:tblPrEx>
        <w:trPr>
          <w:trHeight w:val="510" w:hRule="exact"/>
        </w:trPr>
        <w:tc>
          <w:tcPr>
            <w:tcW w:w="379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170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416"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61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lang w:val="en-US" w:eastAsia="zh-CN"/>
              </w:rPr>
              <w:t>15</w:t>
            </w:r>
          </w:p>
        </w:tc>
      </w:tr>
    </w:tbl>
    <w:p>
      <w:pPr>
        <w:pageBreakBefore w:val="0"/>
        <w:kinsoku/>
        <w:wordWrap/>
        <w:overflowPunct/>
        <w:topLinePunct w:val="0"/>
        <w:bidi w:val="0"/>
        <w:snapToGrid/>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对于“产出数量”，</w:t>
      </w:r>
      <w:r>
        <w:rPr>
          <w:rFonts w:hint="eastAsia" w:ascii="仿宋" w:hAnsi="仿宋" w:eastAsia="仿宋" w:cs="仿宋"/>
          <w:sz w:val="32"/>
          <w:szCs w:val="32"/>
          <w:lang w:eastAsia="zh-CN"/>
        </w:rPr>
        <w:t>教工委加强对教育工作全面领导</w:t>
      </w:r>
      <w:r>
        <w:rPr>
          <w:rFonts w:hint="eastAsia" w:ascii="仿宋" w:hAnsi="仿宋" w:eastAsia="仿宋" w:cs="仿宋"/>
          <w:sz w:val="32"/>
          <w:szCs w:val="32"/>
        </w:rPr>
        <w:t>项目，</w:t>
      </w:r>
      <w:r>
        <w:rPr>
          <w:rFonts w:hint="eastAsia" w:ascii="仿宋" w:hAnsi="仿宋" w:eastAsia="仿宋" w:cs="仿宋"/>
          <w:sz w:val="32"/>
          <w:szCs w:val="32"/>
          <w:lang w:eastAsia="zh-CN"/>
        </w:rPr>
        <w:t>完成组织培训班次</w:t>
      </w:r>
      <w:r>
        <w:rPr>
          <w:rFonts w:hint="eastAsia" w:ascii="仿宋" w:hAnsi="仿宋" w:eastAsia="仿宋" w:cs="仿宋"/>
          <w:sz w:val="32"/>
          <w:szCs w:val="32"/>
          <w:lang w:val="en-US" w:eastAsia="zh-CN"/>
        </w:rPr>
        <w:t>2次</w:t>
      </w:r>
      <w:r>
        <w:rPr>
          <w:rFonts w:hint="eastAsia" w:ascii="仿宋" w:hAnsi="仿宋" w:eastAsia="仿宋" w:cs="仿宋"/>
          <w:sz w:val="32"/>
          <w:szCs w:val="32"/>
          <w:lang w:eastAsia="zh-CN"/>
        </w:rPr>
        <w:t>，新增购置的笔记本数量</w:t>
      </w:r>
      <w:r>
        <w:rPr>
          <w:rFonts w:hint="eastAsia" w:ascii="仿宋" w:hAnsi="仿宋" w:eastAsia="仿宋" w:cs="仿宋"/>
          <w:sz w:val="32"/>
          <w:szCs w:val="32"/>
          <w:lang w:val="en-US" w:eastAsia="zh-CN"/>
        </w:rPr>
        <w:t>1台，</w:t>
      </w:r>
      <w:r>
        <w:rPr>
          <w:rFonts w:hint="eastAsia" w:ascii="仿宋" w:hAnsi="仿宋" w:eastAsia="仿宋" w:cs="仿宋"/>
          <w:sz w:val="32"/>
          <w:szCs w:val="32"/>
          <w:lang w:eastAsia="zh-CN"/>
        </w:rPr>
        <w:t>新增购置的保密柜数量</w:t>
      </w:r>
      <w:r>
        <w:rPr>
          <w:rFonts w:hint="eastAsia" w:ascii="仿宋" w:hAnsi="仿宋" w:eastAsia="仿宋" w:cs="仿宋"/>
          <w:sz w:val="32"/>
          <w:szCs w:val="32"/>
          <w:lang w:val="en-US" w:eastAsia="zh-CN"/>
        </w:rPr>
        <w:t>1个，</w:t>
      </w:r>
      <w:r>
        <w:rPr>
          <w:rFonts w:hint="eastAsia" w:ascii="仿宋" w:hAnsi="仿宋" w:eastAsia="仿宋" w:cs="仿宋"/>
          <w:sz w:val="32"/>
          <w:szCs w:val="32"/>
          <w:lang w:eastAsia="zh-CN"/>
        </w:rPr>
        <w:t>对各县（市）学校教师队伍情况调研次数</w:t>
      </w:r>
      <w:r>
        <w:rPr>
          <w:rFonts w:hint="eastAsia" w:ascii="仿宋" w:hAnsi="仿宋" w:eastAsia="仿宋" w:cs="仿宋"/>
          <w:sz w:val="32"/>
          <w:szCs w:val="32"/>
          <w:lang w:val="en-US" w:eastAsia="zh-CN"/>
        </w:rPr>
        <w:t>8次，</w:t>
      </w:r>
      <w:r>
        <w:rPr>
          <w:rFonts w:hint="eastAsia" w:ascii="仿宋" w:hAnsi="仿宋" w:eastAsia="仿宋" w:cs="仿宋"/>
          <w:sz w:val="32"/>
          <w:szCs w:val="32"/>
          <w:lang w:eastAsia="zh-CN"/>
        </w:rPr>
        <w:t>对各县（市）校园安全调研次数</w:t>
      </w:r>
      <w:r>
        <w:rPr>
          <w:rFonts w:hint="eastAsia" w:ascii="仿宋" w:hAnsi="仿宋" w:eastAsia="仿宋" w:cs="仿宋"/>
          <w:sz w:val="32"/>
          <w:szCs w:val="32"/>
          <w:lang w:val="en-US" w:eastAsia="zh-CN"/>
        </w:rPr>
        <w:t>10次，</w:t>
      </w:r>
      <w:r>
        <w:rPr>
          <w:rFonts w:hint="eastAsia" w:ascii="仿宋" w:hAnsi="仿宋" w:eastAsia="仿宋" w:cs="仿宋"/>
          <w:sz w:val="32"/>
          <w:szCs w:val="32"/>
          <w:lang w:eastAsia="zh-CN"/>
        </w:rPr>
        <w:t>经过了解和取证。根据评分标准，该指标实际得分率100%。</w:t>
      </w:r>
    </w:p>
    <w:p>
      <w:pPr>
        <w:pageBreakBefore w:val="0"/>
        <w:kinsoku/>
        <w:wordWrap/>
        <w:overflowPunct/>
        <w:topLinePunct w:val="0"/>
        <w:bidi w:val="0"/>
        <w:snapToGrid/>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对于“产出质量”，根据合同规定</w:t>
      </w:r>
      <w:r>
        <w:rPr>
          <w:rFonts w:hint="eastAsia" w:ascii="仿宋" w:hAnsi="仿宋" w:eastAsia="仿宋" w:cs="仿宋"/>
          <w:sz w:val="32"/>
          <w:szCs w:val="32"/>
          <w:lang w:eastAsia="zh-CN"/>
        </w:rPr>
        <w:t>的验收</w:t>
      </w:r>
      <w:r>
        <w:rPr>
          <w:rFonts w:hint="eastAsia" w:ascii="仿宋" w:hAnsi="仿宋" w:eastAsia="仿宋" w:cs="仿宋"/>
          <w:sz w:val="32"/>
          <w:szCs w:val="32"/>
        </w:rPr>
        <w:t>质量达到质量评定标准。根据评分标准，该指标扣不扣分。</w:t>
      </w:r>
    </w:p>
    <w:p>
      <w:pPr>
        <w:pageBreakBefore w:val="0"/>
        <w:kinsoku/>
        <w:wordWrap/>
        <w:overflowPunct/>
        <w:topLinePunct w:val="0"/>
        <w:bidi w:val="0"/>
        <w:snapToGrid/>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对于“产出时效”，项目计划时间为</w:t>
      </w:r>
      <w:r>
        <w:rPr>
          <w:rFonts w:hint="eastAsia" w:ascii="仿宋" w:hAnsi="仿宋" w:eastAsia="仿宋" w:cs="仿宋"/>
          <w:sz w:val="32"/>
          <w:szCs w:val="32"/>
          <w:lang w:eastAsia="zh-CN"/>
        </w:rPr>
        <w:t>2020</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eastAsia="zh-CN"/>
        </w:rPr>
        <w:t>开始</w:t>
      </w:r>
      <w:r>
        <w:rPr>
          <w:rFonts w:hint="eastAsia" w:ascii="仿宋" w:hAnsi="仿宋" w:eastAsia="仿宋" w:cs="仿宋"/>
          <w:sz w:val="32"/>
          <w:szCs w:val="32"/>
        </w:rPr>
        <w:t>，</w:t>
      </w:r>
      <w:r>
        <w:rPr>
          <w:rFonts w:hint="eastAsia" w:ascii="仿宋" w:hAnsi="仿宋" w:eastAsia="仿宋" w:cs="仿宋"/>
          <w:sz w:val="32"/>
          <w:szCs w:val="32"/>
          <w:lang w:eastAsia="zh-CN"/>
        </w:rPr>
        <w:t>计划结束</w:t>
      </w:r>
      <w:r>
        <w:rPr>
          <w:rFonts w:hint="eastAsia" w:ascii="仿宋" w:hAnsi="仿宋" w:eastAsia="仿宋" w:cs="仿宋"/>
          <w:sz w:val="32"/>
          <w:szCs w:val="32"/>
        </w:rPr>
        <w:t>时间为</w:t>
      </w:r>
      <w:r>
        <w:rPr>
          <w:rFonts w:hint="eastAsia" w:ascii="仿宋" w:hAnsi="仿宋" w:eastAsia="仿宋" w:cs="仿宋"/>
          <w:sz w:val="32"/>
          <w:szCs w:val="32"/>
          <w:lang w:eastAsia="zh-CN"/>
        </w:rPr>
        <w:t>2020</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月，实际完成时间为</w:t>
      </w:r>
      <w:r>
        <w:rPr>
          <w:rFonts w:hint="eastAsia" w:ascii="仿宋" w:hAnsi="仿宋" w:eastAsia="仿宋" w:cs="仿宋"/>
          <w:sz w:val="32"/>
          <w:szCs w:val="32"/>
          <w:lang w:eastAsia="zh-CN"/>
        </w:rPr>
        <w:t>2020</w:t>
      </w:r>
      <w:r>
        <w:rPr>
          <w:rFonts w:hint="eastAsia" w:ascii="仿宋" w:hAnsi="仿宋" w:eastAsia="仿宋" w:cs="仿宋"/>
          <w:sz w:val="32"/>
          <w:szCs w:val="32"/>
        </w:rPr>
        <w:t>年1</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eastAsia="zh-CN"/>
        </w:rPr>
        <w:t>项目完成率</w:t>
      </w:r>
      <w:r>
        <w:rPr>
          <w:rFonts w:hint="eastAsia" w:ascii="仿宋" w:hAnsi="仿宋" w:eastAsia="仿宋" w:cs="仿宋"/>
          <w:sz w:val="32"/>
          <w:szCs w:val="32"/>
          <w:lang w:val="en-US" w:eastAsia="zh-CN"/>
        </w:rPr>
        <w:t>100%，</w:t>
      </w:r>
      <w:r>
        <w:rPr>
          <w:rFonts w:hint="eastAsia" w:ascii="仿宋" w:hAnsi="仿宋" w:eastAsia="仿宋" w:cs="仿宋"/>
          <w:sz w:val="32"/>
          <w:szCs w:val="32"/>
        </w:rPr>
        <w:t>按指标评分标准，该指标</w:t>
      </w:r>
      <w:r>
        <w:rPr>
          <w:rFonts w:hint="eastAsia" w:ascii="仿宋" w:hAnsi="仿宋" w:eastAsia="仿宋" w:cs="仿宋"/>
          <w:sz w:val="32"/>
          <w:szCs w:val="32"/>
          <w:lang w:eastAsia="zh-CN"/>
        </w:rPr>
        <w:t>不</w:t>
      </w:r>
      <w:r>
        <w:rPr>
          <w:rFonts w:hint="eastAsia" w:ascii="仿宋" w:hAnsi="仿宋" w:eastAsia="仿宋" w:cs="仿宋"/>
          <w:sz w:val="32"/>
          <w:szCs w:val="32"/>
        </w:rPr>
        <w:t>扣分。</w:t>
      </w:r>
    </w:p>
    <w:p>
      <w:pPr>
        <w:pageBreakBefore w:val="0"/>
        <w:kinsoku/>
        <w:wordWrap/>
        <w:overflowPunct/>
        <w:topLinePunct w:val="0"/>
        <w:bidi w:val="0"/>
        <w:snapToGrid/>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对于“成本情况”，</w:t>
      </w:r>
      <w:r>
        <w:rPr>
          <w:rFonts w:hint="eastAsia" w:ascii="仿宋" w:hAnsi="仿宋" w:eastAsia="仿宋" w:cs="仿宋"/>
          <w:sz w:val="32"/>
          <w:szCs w:val="32"/>
          <w:lang w:eastAsia="zh-CN"/>
        </w:rPr>
        <w:t>项目年初预算下达资金</w:t>
      </w:r>
      <w:r>
        <w:rPr>
          <w:rFonts w:hint="eastAsia" w:ascii="仿宋" w:hAnsi="仿宋" w:eastAsia="仿宋" w:cs="仿宋"/>
          <w:sz w:val="32"/>
          <w:szCs w:val="32"/>
          <w:lang w:val="en-US" w:eastAsia="zh-CN"/>
        </w:rPr>
        <w:t>15万元</w:t>
      </w:r>
      <w:r>
        <w:rPr>
          <w:rFonts w:hint="eastAsia" w:ascii="仿宋" w:hAnsi="仿宋" w:eastAsia="仿宋" w:cs="仿宋"/>
          <w:sz w:val="32"/>
          <w:szCs w:val="32"/>
        </w:rPr>
        <w:t>，</w:t>
      </w:r>
      <w:r>
        <w:rPr>
          <w:rFonts w:hint="eastAsia" w:ascii="仿宋" w:hAnsi="仿宋" w:eastAsia="仿宋" w:cs="仿宋"/>
          <w:sz w:val="32"/>
          <w:szCs w:val="32"/>
          <w:lang w:eastAsia="zh-CN"/>
        </w:rPr>
        <w:t>在实际执行过程中，支付完成资金</w:t>
      </w:r>
      <w:r>
        <w:rPr>
          <w:rFonts w:hint="eastAsia" w:ascii="仿宋" w:hAnsi="仿宋" w:eastAsia="仿宋" w:cs="仿宋"/>
          <w:sz w:val="32"/>
          <w:szCs w:val="32"/>
          <w:lang w:val="en-US" w:eastAsia="zh-CN"/>
        </w:rPr>
        <w:t>14.7万元，总体成本可控，在预定成本目标指范围内，指标完成率100%，</w:t>
      </w:r>
      <w:r>
        <w:rPr>
          <w:rFonts w:hint="eastAsia" w:ascii="仿宋" w:hAnsi="仿宋" w:eastAsia="仿宋" w:cs="仿宋"/>
          <w:sz w:val="32"/>
          <w:szCs w:val="32"/>
        </w:rPr>
        <w:t>该指标不扣分。</w:t>
      </w:r>
    </w:p>
    <w:p>
      <w:pPr>
        <w:pageBreakBefore w:val="0"/>
        <w:kinsoku/>
        <w:wordWrap/>
        <w:overflowPunct/>
        <w:topLinePunct w:val="0"/>
        <w:bidi w:val="0"/>
        <w:snapToGrid/>
        <w:spacing w:line="560" w:lineRule="exact"/>
        <w:ind w:firstLine="482" w:firstLineChars="150"/>
        <w:contextualSpacing/>
        <w:rPr>
          <w:rFonts w:hint="eastAsia" w:ascii="楷体" w:hAnsi="楷体" w:eastAsia="楷体" w:cs="楷体"/>
          <w:b/>
          <w:bCs/>
          <w:sz w:val="32"/>
          <w:szCs w:val="32"/>
        </w:rPr>
      </w:pPr>
      <w:r>
        <w:rPr>
          <w:rFonts w:hint="eastAsia" w:ascii="楷体" w:hAnsi="楷体" w:eastAsia="楷体" w:cs="楷体"/>
          <w:b/>
          <w:bCs/>
          <w:sz w:val="32"/>
          <w:szCs w:val="32"/>
        </w:rPr>
        <w:t>（四）项目效益情况。</w:t>
      </w:r>
    </w:p>
    <w:p>
      <w:pPr>
        <w:pageBreakBefore w:val="0"/>
        <w:kinsoku/>
        <w:wordWrap/>
        <w:overflowPunct/>
        <w:topLinePunct w:val="0"/>
        <w:bidi w:val="0"/>
        <w:snapToGrid/>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项目绩效主要从项目的社会效益、可持续影响指标、服务对象满意度</w:t>
      </w:r>
      <w:r>
        <w:rPr>
          <w:rFonts w:hint="eastAsia" w:ascii="仿宋" w:hAnsi="仿宋" w:eastAsia="仿宋" w:cs="仿宋"/>
          <w:sz w:val="32"/>
          <w:szCs w:val="32"/>
          <w:lang w:val="en-US" w:eastAsia="zh-CN"/>
        </w:rPr>
        <w:t>3</w:t>
      </w:r>
      <w:r>
        <w:rPr>
          <w:rFonts w:hint="eastAsia" w:ascii="仿宋" w:hAnsi="仿宋" w:eastAsia="仿宋" w:cs="仿宋"/>
          <w:sz w:val="32"/>
          <w:szCs w:val="32"/>
        </w:rPr>
        <w:t>个方面对项目的绩效情况进行评价。项目绩效类指标分值</w:t>
      </w:r>
      <w:r>
        <w:rPr>
          <w:rFonts w:hint="eastAsia" w:ascii="仿宋" w:hAnsi="仿宋" w:eastAsia="仿宋" w:cs="仿宋"/>
          <w:sz w:val="32"/>
          <w:szCs w:val="32"/>
          <w:lang w:val="en-US" w:eastAsia="zh-CN"/>
        </w:rPr>
        <w:t>40</w:t>
      </w:r>
      <w:r>
        <w:rPr>
          <w:rFonts w:hint="eastAsia" w:ascii="仿宋" w:hAnsi="仿宋" w:eastAsia="仿宋" w:cs="仿宋"/>
          <w:sz w:val="32"/>
          <w:szCs w:val="32"/>
        </w:rPr>
        <w:t>分，实际得分</w:t>
      </w:r>
      <w:r>
        <w:rPr>
          <w:rFonts w:hint="eastAsia" w:ascii="仿宋" w:hAnsi="仿宋" w:eastAsia="仿宋" w:cs="仿宋"/>
          <w:sz w:val="32"/>
          <w:szCs w:val="32"/>
          <w:lang w:val="en-US" w:eastAsia="zh-CN"/>
        </w:rPr>
        <w:t>40</w:t>
      </w:r>
      <w:r>
        <w:rPr>
          <w:rFonts w:hint="eastAsia" w:ascii="仿宋" w:hAnsi="仿宋" w:eastAsia="仿宋" w:cs="仿宋"/>
          <w:sz w:val="32"/>
          <w:szCs w:val="32"/>
        </w:rPr>
        <w:t>分，得分率为</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%。项目绩效指标得分情况如表所示：</w:t>
      </w:r>
    </w:p>
    <w:tbl>
      <w:tblPr>
        <w:tblStyle w:val="24"/>
        <w:tblW w:w="8324" w:type="dxa"/>
        <w:tblInd w:w="0" w:type="dxa"/>
        <w:tblLayout w:type="fixed"/>
        <w:tblCellMar>
          <w:top w:w="0" w:type="dxa"/>
          <w:left w:w="0" w:type="dxa"/>
          <w:bottom w:w="0" w:type="dxa"/>
          <w:right w:w="0" w:type="dxa"/>
        </w:tblCellMar>
      </w:tblPr>
      <w:tblGrid>
        <w:gridCol w:w="1509"/>
        <w:gridCol w:w="3133"/>
        <w:gridCol w:w="1640"/>
        <w:gridCol w:w="1021"/>
        <w:gridCol w:w="1021"/>
      </w:tblGrid>
      <w:tr>
        <w:tblPrEx>
          <w:tblCellMar>
            <w:top w:w="0" w:type="dxa"/>
            <w:left w:w="0" w:type="dxa"/>
            <w:bottom w:w="0" w:type="dxa"/>
            <w:right w:w="0" w:type="dxa"/>
          </w:tblCellMar>
        </w:tblPrEx>
        <w:trPr>
          <w:trHeight w:val="260" w:hRule="atLeast"/>
        </w:trPr>
        <w:tc>
          <w:tcPr>
            <w:tcW w:w="46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三级指标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分值</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得分率</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得分</w:t>
            </w:r>
          </w:p>
        </w:tc>
      </w:tr>
      <w:tr>
        <w:tblPrEx>
          <w:tblCellMar>
            <w:top w:w="0" w:type="dxa"/>
            <w:left w:w="0" w:type="dxa"/>
            <w:bottom w:w="0" w:type="dxa"/>
            <w:right w:w="0" w:type="dxa"/>
          </w:tblCellMar>
        </w:tblPrEx>
        <w:trPr>
          <w:trHeight w:val="416" w:hRule="atLeast"/>
        </w:trPr>
        <w:tc>
          <w:tcPr>
            <w:tcW w:w="1509" w:type="dxa"/>
            <w:tcBorders>
              <w:top w:val="single" w:color="000000" w:sz="4" w:space="0"/>
              <w:left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3133" w:type="dxa"/>
            <w:tcBorders>
              <w:top w:val="single" w:color="000000" w:sz="4" w:space="0"/>
              <w:left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社会效益、可持续影响指标</w:t>
            </w:r>
          </w:p>
        </w:tc>
        <w:tc>
          <w:tcPr>
            <w:tcW w:w="1640" w:type="dxa"/>
            <w:tcBorders>
              <w:top w:val="single" w:color="000000" w:sz="4" w:space="0"/>
              <w:left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30</w:t>
            </w:r>
          </w:p>
        </w:tc>
        <w:tc>
          <w:tcPr>
            <w:tcW w:w="1021" w:type="dxa"/>
            <w:tcBorders>
              <w:top w:val="single" w:color="000000" w:sz="4" w:space="0"/>
              <w:left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rPr>
              <w:t>100%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30</w:t>
            </w:r>
          </w:p>
        </w:tc>
      </w:tr>
      <w:tr>
        <w:tblPrEx>
          <w:tblCellMar>
            <w:top w:w="0" w:type="dxa"/>
            <w:left w:w="0" w:type="dxa"/>
            <w:bottom w:w="0" w:type="dxa"/>
            <w:right w:w="0" w:type="dxa"/>
          </w:tblCellMar>
        </w:tblPrEx>
        <w:trPr>
          <w:trHeight w:val="310" w:hRule="atLeast"/>
        </w:trPr>
        <w:tc>
          <w:tcPr>
            <w:tcW w:w="1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培训人员满意度</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10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w:t>
            </w:r>
          </w:p>
        </w:tc>
      </w:tr>
      <w:tr>
        <w:tblPrEx>
          <w:tblCellMar>
            <w:top w:w="0" w:type="dxa"/>
            <w:left w:w="0" w:type="dxa"/>
            <w:bottom w:w="0" w:type="dxa"/>
            <w:right w:w="0" w:type="dxa"/>
          </w:tblCellMar>
        </w:tblPrEx>
        <w:trPr>
          <w:trHeight w:val="310" w:hRule="atLeast"/>
        </w:trPr>
        <w:tc>
          <w:tcPr>
            <w:tcW w:w="1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rPr>
                <w:rFonts w:hint="eastAsia" w:ascii="宋体" w:hAnsi="宋体" w:eastAsia="宋体" w:cs="宋体"/>
                <w:color w:val="000000"/>
                <w:sz w:val="18"/>
                <w:szCs w:val="18"/>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合</w:t>
            </w:r>
            <w:r>
              <w:rPr>
                <w:rStyle w:val="48"/>
                <w:rFonts w:hint="eastAsia" w:ascii="宋体" w:hAnsi="宋体" w:eastAsia="宋体" w:cs="宋体"/>
                <w:sz w:val="18"/>
                <w:szCs w:val="18"/>
              </w:rPr>
              <w:t xml:space="preserve">  计</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40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rPr>
              <w:t>100%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40</w:t>
            </w:r>
          </w:p>
        </w:tc>
      </w:tr>
    </w:tbl>
    <w:p>
      <w:pPr>
        <w:pageBreakBefore w:val="0"/>
        <w:kinsoku/>
        <w:wordWrap/>
        <w:overflowPunct/>
        <w:topLinePunct w:val="0"/>
        <w:bidi w:val="0"/>
        <w:snapToGrid/>
        <w:spacing w:line="560" w:lineRule="exact"/>
        <w:ind w:firstLine="640" w:firstLineChars="200"/>
        <w:contextualSpacing/>
        <w:outlineLvl w:val="0"/>
        <w:rPr>
          <w:rFonts w:hint="eastAsia" w:ascii="仿宋" w:hAnsi="仿宋" w:eastAsia="仿宋" w:cs="仿宋"/>
          <w:sz w:val="32"/>
          <w:szCs w:val="32"/>
        </w:rPr>
      </w:pPr>
      <w:r>
        <w:rPr>
          <w:rFonts w:hint="eastAsia" w:ascii="仿宋" w:hAnsi="仿宋" w:eastAsia="仿宋" w:cs="仿宋"/>
          <w:sz w:val="32"/>
          <w:szCs w:val="32"/>
        </w:rPr>
        <w:t>对于“社会效益”，项目交付使用后，提高了</w:t>
      </w:r>
      <w:r>
        <w:rPr>
          <w:rFonts w:hint="eastAsia" w:ascii="仿宋" w:hAnsi="仿宋" w:eastAsia="仿宋" w:cs="仿宋"/>
          <w:sz w:val="32"/>
          <w:szCs w:val="32"/>
          <w:lang w:eastAsia="zh-CN"/>
        </w:rPr>
        <w:t>办公及培训和调研</w:t>
      </w:r>
      <w:r>
        <w:rPr>
          <w:rFonts w:hint="eastAsia" w:ascii="仿宋" w:hAnsi="仿宋" w:eastAsia="仿宋" w:cs="仿宋"/>
          <w:sz w:val="32"/>
          <w:szCs w:val="32"/>
        </w:rPr>
        <w:t>保障能力，有效</w:t>
      </w:r>
      <w:r>
        <w:rPr>
          <w:rFonts w:hint="eastAsia" w:ascii="仿宋" w:hAnsi="仿宋" w:eastAsia="仿宋" w:cs="仿宋"/>
          <w:sz w:val="32"/>
          <w:szCs w:val="32"/>
          <w:lang w:eastAsia="zh-CN"/>
        </w:rPr>
        <w:t>改善了单位办公条件</w:t>
      </w:r>
      <w:r>
        <w:rPr>
          <w:rFonts w:hint="eastAsia" w:ascii="仿宋" w:hAnsi="仿宋" w:eastAsia="仿宋" w:cs="仿宋"/>
          <w:sz w:val="32"/>
          <w:szCs w:val="32"/>
        </w:rPr>
        <w:t>，</w:t>
      </w:r>
      <w:r>
        <w:rPr>
          <w:rFonts w:hint="eastAsia" w:ascii="仿宋" w:hAnsi="仿宋" w:eastAsia="仿宋" w:cs="仿宋"/>
          <w:sz w:val="32"/>
          <w:szCs w:val="32"/>
          <w:lang w:eastAsia="zh-CN"/>
        </w:rPr>
        <w:t>逐步改善，对各县市学校提升党建管理水平起到一定的促进作用，根据评分标准</w:t>
      </w:r>
      <w:r>
        <w:rPr>
          <w:rFonts w:hint="eastAsia" w:ascii="仿宋" w:hAnsi="仿宋" w:eastAsia="仿宋" w:cs="仿宋"/>
          <w:sz w:val="32"/>
          <w:szCs w:val="32"/>
        </w:rPr>
        <w:t>，该指标扣</w:t>
      </w:r>
      <w:r>
        <w:rPr>
          <w:rFonts w:hint="eastAsia" w:ascii="仿宋" w:hAnsi="仿宋" w:eastAsia="仿宋" w:cs="仿宋"/>
          <w:sz w:val="32"/>
          <w:szCs w:val="32"/>
          <w:lang w:val="en-US" w:eastAsia="zh-CN"/>
        </w:rPr>
        <w:t>不扣</w:t>
      </w:r>
      <w:r>
        <w:rPr>
          <w:rFonts w:hint="eastAsia" w:ascii="仿宋" w:hAnsi="仿宋" w:eastAsia="仿宋" w:cs="仿宋"/>
          <w:sz w:val="32"/>
          <w:szCs w:val="32"/>
        </w:rPr>
        <w:t>分。</w:t>
      </w:r>
    </w:p>
    <w:p>
      <w:pPr>
        <w:pStyle w:val="12"/>
        <w:pageBreakBefore w:val="0"/>
        <w:kinsoku/>
        <w:wordWrap/>
        <w:overflowPunct/>
        <w:topLinePunct w:val="0"/>
        <w:bidi w:val="0"/>
        <w:snapToGrid/>
        <w:spacing w:line="560" w:lineRule="exact"/>
        <w:ind w:firstLine="645"/>
        <w:rPr>
          <w:rFonts w:hint="eastAsia" w:ascii="仿宋" w:hAnsi="仿宋" w:eastAsia="仿宋" w:cs="仿宋"/>
          <w:szCs w:val="32"/>
        </w:rPr>
      </w:pPr>
      <w:r>
        <w:rPr>
          <w:rFonts w:hint="eastAsia" w:ascii="仿宋" w:hAnsi="仿宋" w:eastAsia="仿宋" w:cs="仿宋"/>
          <w:szCs w:val="32"/>
        </w:rPr>
        <w:t>对于“可持续影响指标”</w:t>
      </w:r>
      <w:r>
        <w:rPr>
          <w:rFonts w:hint="eastAsia" w:ascii="仿宋" w:hAnsi="仿宋" w:eastAsia="仿宋" w:cs="仿宋"/>
          <w:szCs w:val="32"/>
          <w:lang w:eastAsia="zh-CN"/>
        </w:rPr>
        <w:t>，设备配置</w:t>
      </w:r>
      <w:r>
        <w:rPr>
          <w:rFonts w:hint="eastAsia" w:ascii="仿宋" w:hAnsi="仿宋" w:eastAsia="仿宋" w:cs="仿宋"/>
          <w:szCs w:val="32"/>
        </w:rPr>
        <w:t>后，将持续使用</w:t>
      </w:r>
      <w:r>
        <w:rPr>
          <w:rFonts w:hint="eastAsia" w:ascii="仿宋" w:hAnsi="仿宋" w:eastAsia="仿宋" w:cs="仿宋"/>
          <w:szCs w:val="32"/>
          <w:lang w:val="en-US" w:eastAsia="zh-CN"/>
        </w:rPr>
        <w:t>6</w:t>
      </w:r>
      <w:r>
        <w:rPr>
          <w:rFonts w:hint="eastAsia" w:ascii="仿宋" w:hAnsi="仿宋" w:eastAsia="仿宋" w:cs="仿宋"/>
          <w:szCs w:val="32"/>
        </w:rPr>
        <w:t>年以上。根据指标评分标准，该指标不扣分。</w:t>
      </w:r>
    </w:p>
    <w:p>
      <w:pPr>
        <w:pStyle w:val="12"/>
        <w:pageBreakBefore w:val="0"/>
        <w:kinsoku/>
        <w:wordWrap/>
        <w:overflowPunct/>
        <w:topLinePunct w:val="0"/>
        <w:bidi w:val="0"/>
        <w:snapToGrid/>
        <w:spacing w:line="560" w:lineRule="exact"/>
        <w:ind w:firstLine="645"/>
        <w:rPr>
          <w:rFonts w:hint="eastAsia" w:ascii="仿宋" w:hAnsi="仿宋" w:eastAsia="仿宋" w:cs="仿宋"/>
          <w:szCs w:val="32"/>
        </w:rPr>
      </w:pPr>
      <w:r>
        <w:rPr>
          <w:rFonts w:hint="eastAsia" w:ascii="仿宋" w:hAnsi="仿宋" w:eastAsia="仿宋" w:cs="仿宋"/>
          <w:szCs w:val="32"/>
        </w:rPr>
        <w:t>对于</w:t>
      </w:r>
      <w:r>
        <w:rPr>
          <w:rFonts w:hint="eastAsia" w:ascii="仿宋" w:hAnsi="仿宋" w:eastAsia="仿宋" w:cs="仿宋"/>
          <w:szCs w:val="32"/>
          <w:lang w:eastAsia="zh-CN"/>
        </w:rPr>
        <w:t>单位职工满意度</w:t>
      </w:r>
      <w:r>
        <w:rPr>
          <w:rFonts w:hint="eastAsia" w:ascii="仿宋" w:hAnsi="仿宋" w:eastAsia="仿宋" w:cs="仿宋"/>
          <w:szCs w:val="32"/>
          <w:lang w:val="en-US" w:eastAsia="zh-CN"/>
        </w:rPr>
        <w:t>和培训学员满意度</w:t>
      </w:r>
      <w:r>
        <w:rPr>
          <w:rFonts w:hint="eastAsia" w:ascii="仿宋" w:hAnsi="仿宋" w:eastAsia="仿宋" w:cs="仿宋"/>
          <w:szCs w:val="32"/>
        </w:rPr>
        <w:t>根据调查问卷调查结果，</w:t>
      </w:r>
      <w:r>
        <w:rPr>
          <w:rFonts w:hint="eastAsia" w:ascii="仿宋" w:hAnsi="仿宋" w:eastAsia="仿宋" w:cs="仿宋"/>
          <w:szCs w:val="32"/>
          <w:lang w:eastAsia="zh-CN"/>
        </w:rPr>
        <w:t>使用人</w:t>
      </w:r>
      <w:r>
        <w:rPr>
          <w:rFonts w:hint="eastAsia" w:ascii="仿宋" w:hAnsi="仿宋" w:eastAsia="仿宋" w:cs="仿宋"/>
          <w:szCs w:val="32"/>
        </w:rPr>
        <w:t>满意度</w:t>
      </w:r>
      <w:r>
        <w:rPr>
          <w:rFonts w:hint="eastAsia" w:ascii="仿宋" w:hAnsi="仿宋" w:eastAsia="仿宋" w:cs="仿宋"/>
          <w:szCs w:val="32"/>
          <w:lang w:val="en-US" w:eastAsia="zh-CN"/>
        </w:rPr>
        <w:t>95</w:t>
      </w:r>
      <w:r>
        <w:rPr>
          <w:rFonts w:hint="eastAsia" w:ascii="仿宋" w:hAnsi="仿宋" w:eastAsia="仿宋" w:cs="仿宋"/>
          <w:szCs w:val="32"/>
        </w:rPr>
        <w:t>%</w:t>
      </w:r>
      <w:r>
        <w:rPr>
          <w:rFonts w:hint="eastAsia" w:ascii="仿宋" w:hAnsi="仿宋" w:eastAsia="仿宋" w:cs="仿宋"/>
          <w:szCs w:val="32"/>
          <w:lang w:val="en-US" w:eastAsia="zh-CN"/>
        </w:rPr>
        <w:t>和90%</w:t>
      </w:r>
      <w:r>
        <w:rPr>
          <w:rFonts w:hint="eastAsia" w:ascii="仿宋" w:hAnsi="仿宋" w:eastAsia="仿宋" w:cs="仿宋"/>
          <w:szCs w:val="32"/>
        </w:rPr>
        <w:t>，该指标</w:t>
      </w:r>
      <w:r>
        <w:rPr>
          <w:rFonts w:hint="eastAsia" w:ascii="仿宋" w:hAnsi="仿宋" w:eastAsia="仿宋" w:cs="仿宋"/>
          <w:szCs w:val="32"/>
          <w:lang w:eastAsia="zh-CN"/>
        </w:rPr>
        <w:t>不</w:t>
      </w:r>
      <w:r>
        <w:rPr>
          <w:rFonts w:hint="eastAsia" w:ascii="仿宋" w:hAnsi="仿宋" w:eastAsia="仿宋" w:cs="仿宋"/>
          <w:szCs w:val="32"/>
        </w:rPr>
        <w:t>扣分。</w:t>
      </w:r>
    </w:p>
    <w:p>
      <w:pPr>
        <w:pageBreakBefore w:val="0"/>
        <w:kinsoku/>
        <w:wordWrap/>
        <w:overflowPunct/>
        <w:topLinePunct w:val="0"/>
        <w:bidi w:val="0"/>
        <w:snapToGrid/>
        <w:spacing w:line="560" w:lineRule="exact"/>
        <w:ind w:firstLine="643" w:firstLineChars="200"/>
        <w:contextualSpacing/>
        <w:rPr>
          <w:rFonts w:hint="eastAsia" w:ascii="黑体" w:hAnsi="黑体" w:eastAsia="黑体" w:cs="黑体"/>
          <w:b/>
          <w:bCs/>
          <w:sz w:val="32"/>
          <w:szCs w:val="32"/>
        </w:rPr>
      </w:pPr>
      <w:r>
        <w:rPr>
          <w:rFonts w:hint="eastAsia" w:ascii="黑体" w:hAnsi="黑体" w:eastAsia="黑体" w:cs="黑体"/>
          <w:b/>
          <w:bCs/>
          <w:sz w:val="32"/>
          <w:szCs w:val="32"/>
        </w:rPr>
        <w:t>五、主要经验及做法、存在的问题及原因分析</w:t>
      </w:r>
    </w:p>
    <w:p>
      <w:pPr>
        <w:pageBreakBefore w:val="0"/>
        <w:kinsoku/>
        <w:wordWrap/>
        <w:overflowPunct/>
        <w:topLinePunct w:val="0"/>
        <w:bidi w:val="0"/>
        <w:snapToGrid/>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bidi w:val="0"/>
        <w:snapToGrid/>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bidi w:val="0"/>
        <w:snapToGrid/>
        <w:spacing w:before="0" w:after="0" w:line="560" w:lineRule="exact"/>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bidi w:val="0"/>
        <w:snapToGri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6"/>
        </w:numPr>
        <w:kinsoku/>
        <w:wordWrap/>
        <w:overflowPunct/>
        <w:topLinePunct w:val="0"/>
        <w:bidi w:val="0"/>
        <w:snapToGrid/>
        <w:spacing w:before="0" w:after="0" w:line="560" w:lineRule="exact"/>
        <w:ind w:firstLine="643" w:firstLineChars="200"/>
        <w:jc w:val="both"/>
        <w:textAlignment w:val="auto"/>
        <w:rPr>
          <w:rFonts w:hint="eastAsia" w:ascii="仿宋_GB2312" w:hAnsi="仿宋_GB2312" w:eastAsia="仿宋_GB2312" w:cs="仿宋_GB2312"/>
          <w:b/>
          <w:bCs/>
          <w:kern w:val="2"/>
        </w:rPr>
      </w:pPr>
      <w:r>
        <w:rPr>
          <w:rFonts w:hint="eastAsia" w:ascii="仿宋_GB2312" w:hAnsi="仿宋_GB2312" w:eastAsia="仿宋_GB2312" w:cs="仿宋_GB2312"/>
          <w:b/>
          <w:bCs/>
          <w:kern w:val="2"/>
        </w:rPr>
        <w:t>存在的问题</w:t>
      </w:r>
    </w:p>
    <w:p>
      <w:pPr>
        <w:pageBreakBefore w:val="0"/>
        <w:kinsoku/>
        <w:wordWrap/>
        <w:overflowPunct/>
        <w:topLinePunct w:val="0"/>
        <w:bidi w:val="0"/>
        <w:snapToGrid/>
        <w:spacing w:line="560" w:lineRule="exact"/>
        <w:ind w:firstLine="640" w:firstLineChars="200"/>
        <w:textAlignment w:val="auto"/>
      </w:pPr>
      <w:r>
        <w:rPr>
          <w:rFonts w:hint="eastAsia" w:ascii="仿宋" w:hAnsi="仿宋" w:eastAsia="仿宋" w:cs="仿宋"/>
          <w:sz w:val="32"/>
          <w:szCs w:val="32"/>
        </w:rPr>
        <w:t xml:space="preserve">项目绩效目标级绩效指标设置过于笼统，不够细化，在实际实施绩效监控和绩效评价时较为困难。绩效目标的设置应符合量化、细化的要求。 </w:t>
      </w:r>
    </w:p>
    <w:p>
      <w:pPr>
        <w:pageBreakBefore w:val="0"/>
        <w:numPr>
          <w:ilvl w:val="0"/>
          <w:numId w:val="6"/>
        </w:numPr>
        <w:kinsoku/>
        <w:wordWrap/>
        <w:overflowPunct/>
        <w:topLinePunct w:val="0"/>
        <w:bidi w:val="0"/>
        <w:snapToGrid/>
        <w:spacing w:line="560" w:lineRule="exac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原因分析</w:t>
      </w:r>
    </w:p>
    <w:p>
      <w:pPr>
        <w:pageBreakBefore w:val="0"/>
        <w:kinsoku/>
        <w:wordWrap/>
        <w:overflowPunct/>
        <w:topLinePunct w:val="0"/>
        <w:bidi w:val="0"/>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sz w:val="32"/>
          <w:szCs w:val="32"/>
          <w:lang w:eastAsia="zh-CN"/>
        </w:rPr>
        <w:t>教工委新成立单位，人员配备尚未到位，缺少专职财务人员，各项制度尚需完善。</w:t>
      </w:r>
    </w:p>
    <w:p>
      <w:pPr>
        <w:pageBreakBefore w:val="0"/>
        <w:kinsoku/>
        <w:wordWrap/>
        <w:overflowPunct/>
        <w:topLinePunct w:val="0"/>
        <w:bidi w:val="0"/>
        <w:snapToGrid/>
        <w:spacing w:line="560" w:lineRule="exact"/>
        <w:ind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六、有关建议</w:t>
      </w:r>
    </w:p>
    <w:p>
      <w:pPr>
        <w:pageBreakBefore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 建议加强项目预算审核，要严格按照项目资金年度额度编制预算；项目预算及支出管理的科学性有待进一步提高，做好项目实施过程中资金支出与预算的比较，定期向项目实施人员了解项目执行情况，</w:t>
      </w:r>
      <w:r>
        <w:rPr>
          <w:rFonts w:hint="eastAsia" w:ascii="仿宋" w:hAnsi="仿宋" w:eastAsia="仿宋" w:cs="仿宋"/>
          <w:sz w:val="32"/>
          <w:szCs w:val="32"/>
          <w:lang w:eastAsia="zh-CN"/>
        </w:rPr>
        <w:t>更好地提高</w:t>
      </w:r>
      <w:r>
        <w:rPr>
          <w:rFonts w:hint="eastAsia" w:ascii="仿宋" w:hAnsi="仿宋" w:eastAsia="仿宋" w:cs="仿宋"/>
          <w:sz w:val="32"/>
          <w:szCs w:val="32"/>
        </w:rPr>
        <w:t>资金使用效率。</w:t>
      </w:r>
    </w:p>
    <w:p>
      <w:pPr>
        <w:pageBreakBefore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 建议在进行绩效目标设定时，考虑成本指标的设置，社会效益指标的可衡量性，及时对项目运行情况进行监控，真正做到预算编制有目标、预算执行有跟踪监控、预算完成有评价、评价结果有反馈、反馈结果有应用。</w:t>
      </w:r>
    </w:p>
    <w:p>
      <w:pPr>
        <w:pageBreakBefore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3.绩效是一项综合性、专业性较强系统工作，财务部门仅对资金的使用情况掌握，对项目具体情况及其实施情况了解甚少。建议绩效工作应当由单位综合部门负责（比如办公室、综合科等）。</w:t>
      </w:r>
    </w:p>
    <w:p>
      <w:pPr>
        <w:pageBreakBefore w:val="0"/>
        <w:kinsoku/>
        <w:wordWrap/>
        <w:overflowPunct/>
        <w:topLinePunct w:val="0"/>
        <w:bidi w:val="0"/>
        <w:snapToGrid/>
        <w:spacing w:line="560" w:lineRule="exact"/>
        <w:ind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七、其他需要说明的问题</w:t>
      </w:r>
    </w:p>
    <w:p>
      <w:pPr>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本次预算绩效评价所采集的数据因为采集时间、数据</w:t>
      </w:r>
    </w:p>
    <w:p>
      <w:pPr>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来源等诸多因素的影响，可能会出现一定的偏差，进而对评价结</w:t>
      </w:r>
      <w:r>
        <w:rPr>
          <w:rFonts w:hint="eastAsia" w:ascii="仿宋" w:hAnsi="仿宋" w:eastAsia="仿宋" w:cs="仿宋"/>
          <w:kern w:val="0"/>
          <w:sz w:val="32"/>
          <w:szCs w:val="32"/>
        </w:rPr>
        <w:t>果存在影响。</w:t>
      </w:r>
    </w:p>
    <w:p>
      <w:pPr>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 w:hAnsi="仿宋" w:eastAsia="仿宋" w:cs="仿宋"/>
          <w:sz w:val="32"/>
          <w:szCs w:val="32"/>
          <w:lang w:val="en-US" w:eastAsia="zh-CN"/>
        </w:rPr>
        <w:sectPr>
          <w:pgSz w:w="11906" w:h="16838"/>
          <w:pgMar w:top="193" w:right="1800" w:bottom="306" w:left="1800" w:header="851" w:footer="992" w:gutter="0"/>
          <w:cols w:space="425" w:num="1"/>
          <w:docGrid w:type="lines" w:linePitch="312" w:charSpace="0"/>
        </w:sectPr>
      </w:pPr>
    </w:p>
    <w:p>
      <w:pPr>
        <w:pageBreakBefore w:val="0"/>
        <w:kinsoku/>
        <w:wordWrap/>
        <w:overflowPunct/>
        <w:topLinePunct w:val="0"/>
        <w:autoSpaceDE w:val="0"/>
        <w:autoSpaceDN w:val="0"/>
        <w:bidi w:val="0"/>
        <w:adjustRightInd w:val="0"/>
        <w:snapToGrid/>
        <w:spacing w:line="56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w:t>
      </w:r>
    </w:p>
    <w:tbl>
      <w:tblPr>
        <w:tblStyle w:val="24"/>
        <w:tblW w:w="4999"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72"/>
        <w:gridCol w:w="891"/>
        <w:gridCol w:w="1012"/>
        <w:gridCol w:w="2737"/>
        <w:gridCol w:w="6031"/>
        <w:gridCol w:w="1510"/>
        <w:gridCol w:w="158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0"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一级指标</w:t>
            </w:r>
          </w:p>
        </w:tc>
        <w:tc>
          <w:tcPr>
            <w:tcW w:w="302"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二级指标</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三级指标</w:t>
            </w:r>
          </w:p>
        </w:tc>
        <w:tc>
          <w:tcPr>
            <w:tcW w:w="928"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指标解释</w:t>
            </w:r>
          </w:p>
        </w:tc>
        <w:tc>
          <w:tcPr>
            <w:tcW w:w="2045"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指标说明</w:t>
            </w:r>
          </w:p>
        </w:tc>
        <w:tc>
          <w:tcPr>
            <w:tcW w:w="512"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b/>
                <w:bCs/>
                <w:color w:val="000000"/>
                <w:kern w:val="0"/>
                <w:sz w:val="18"/>
                <w:szCs w:val="18"/>
                <w:lang w:val="en-US" w:eastAsia="zh-CN"/>
              </w:rPr>
            </w:pPr>
            <w:r>
              <w:rPr>
                <w:rFonts w:hint="eastAsia" w:ascii="宋体" w:hAnsi="宋体" w:eastAsia="宋体" w:cs="宋体"/>
                <w:b/>
                <w:bCs/>
                <w:color w:val="000000"/>
                <w:kern w:val="0"/>
                <w:sz w:val="18"/>
                <w:szCs w:val="18"/>
                <w:lang w:val="en-US" w:eastAsia="zh-CN"/>
              </w:rPr>
              <w:t>权重</w:t>
            </w:r>
          </w:p>
        </w:tc>
        <w:tc>
          <w:tcPr>
            <w:tcW w:w="537"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b/>
                <w:bCs/>
                <w:color w:val="000000"/>
                <w:kern w:val="0"/>
                <w:sz w:val="18"/>
                <w:szCs w:val="18"/>
                <w:lang w:val="en-US" w:eastAsia="zh-CN"/>
              </w:rPr>
            </w:pPr>
            <w:r>
              <w:rPr>
                <w:rFonts w:hint="eastAsia" w:ascii="宋体" w:hAnsi="宋体" w:eastAsia="宋体" w:cs="宋体"/>
                <w:b/>
                <w:bCs/>
                <w:color w:val="000000"/>
                <w:kern w:val="0"/>
                <w:sz w:val="18"/>
                <w:szCs w:val="18"/>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0"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02"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928"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045" w:type="pct"/>
            <w:shd w:val="clear" w:color="auto"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512" w:type="pct"/>
            <w:shd w:val="clear" w:color="auto"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537" w:type="pct"/>
            <w:shd w:val="clear" w:color="auto"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0" w:type="pct"/>
            <w:vMerge w:val="continue"/>
            <w:shd w:val="clear" w:color="auto" w:fill="FFFFFF"/>
            <w:noWrap w:val="0"/>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928"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045" w:type="pct"/>
            <w:shd w:val="clear" w:color="auto"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512" w:type="pct"/>
            <w:shd w:val="clear" w:color="auto"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537" w:type="pct"/>
            <w:shd w:val="clear" w:color="auto"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0" w:type="pct"/>
            <w:vMerge w:val="continue"/>
            <w:shd w:val="clear" w:color="auto" w:fill="FFFFFF"/>
            <w:noWrap w:val="0"/>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512" w:type="pct"/>
            <w:shd w:val="clear" w:color="000000"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0"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302"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0" w:type="pct"/>
            <w:vMerge w:val="continue"/>
            <w:shd w:val="clear" w:color="auto" w:fill="FFFFFF"/>
            <w:noWrap w:val="0"/>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928"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045"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512"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0" w:type="pct"/>
            <w:vMerge w:val="continue"/>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8"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045"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512"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0" w:type="pct"/>
            <w:vMerge w:val="restart"/>
            <w:shd w:val="clear" w:color="auto" w:fill="FFFFFF"/>
            <w:noWrap w:val="0"/>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302"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0" w:type="pct"/>
            <w:vMerge w:val="continue"/>
            <w:shd w:val="clear" w:color="auto" w:fill="FFFFFF"/>
            <w:noWrap w:val="0"/>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928"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045"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512"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302"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0" w:type="pct"/>
            <w:vMerge w:val="continue"/>
            <w:shd w:val="clear" w:color="auto" w:fill="FFFFFF"/>
            <w:noWrap w:val="0"/>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0" w:type="pct"/>
            <w:vMerge w:val="continue"/>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7" w:hRule="atLeast"/>
          <w:jc w:val="center"/>
        </w:trPr>
        <w:tc>
          <w:tcPr>
            <w:tcW w:w="330"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74" w:hRule="atLeast"/>
          <w:jc w:val="center"/>
        </w:trPr>
        <w:tc>
          <w:tcPr>
            <w:tcW w:w="330"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8" w:hRule="atLeast"/>
          <w:jc w:val="center"/>
        </w:trPr>
        <w:tc>
          <w:tcPr>
            <w:tcW w:w="330" w:type="pct"/>
            <w:vMerge w:val="continue"/>
            <w:shd w:val="clear" w:color="auto" w:fill="FFFFFF"/>
            <w:noWrap w:val="0"/>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shd w:val="clear" w:color="auto" w:fill="FFFFFF"/>
            <w:noWrap w:val="0"/>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8" w:hRule="atLeast"/>
          <w:jc w:val="center"/>
        </w:trPr>
        <w:tc>
          <w:tcPr>
            <w:tcW w:w="330" w:type="pct"/>
            <w:vMerge w:val="continue"/>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0"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302" w:type="pct"/>
            <w:vMerge w:val="restar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928" w:type="pct"/>
            <w:shd w:val="clear" w:color="auto" w:fill="FFFFFF"/>
            <w:noWrap w:val="0"/>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045"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512"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537" w:type="pct"/>
            <w:shd w:val="clear" w:color="auto"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7" w:hRule="atLeast"/>
          <w:jc w:val="center"/>
        </w:trPr>
        <w:tc>
          <w:tcPr>
            <w:tcW w:w="330" w:type="pct"/>
            <w:vMerge w:val="continue"/>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p>
        </w:tc>
        <w:tc>
          <w:tcPr>
            <w:tcW w:w="343" w:type="pct"/>
            <w:shd w:val="clear" w:color="auto" w:fill="FFFFFF"/>
            <w:noWrap w:val="0"/>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928"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045"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512"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37" w:type="pct"/>
            <w:shd w:val="clear" w:color="000000" w:fill="FFFFFF"/>
            <w:noWrap w:val="0"/>
            <w:vAlign w:val="center"/>
          </w:tcPr>
          <w:p>
            <w:pPr>
              <w:pageBreakBefore w:val="0"/>
              <w:widowControl/>
              <w:kinsoku/>
              <w:wordWrap/>
              <w:overflowPunct/>
              <w:topLinePunct w:val="0"/>
              <w:bidi w:val="0"/>
              <w:snapToGrid/>
              <w:spacing w:line="56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pPr>
        <w:pStyle w:val="46"/>
        <w:spacing w:line="560" w:lineRule="exact"/>
        <w:ind w:firstLine="0" w:firstLineChars="0"/>
        <w:rPr>
          <w:rFonts w:hint="eastAsia" w:ascii="仿宋" w:hAnsi="仿宋" w:eastAsia="仿宋" w:cs="仿宋"/>
          <w:sz w:val="32"/>
          <w:szCs w:val="32"/>
          <w:lang w:eastAsia="zh-CN"/>
        </w:rPr>
        <w:sectPr>
          <w:pgSz w:w="16838" w:h="11906" w:orient="landscape"/>
          <w:pgMar w:top="1800" w:right="1157" w:bottom="1800" w:left="1157" w:header="851" w:footer="992" w:gutter="0"/>
          <w:cols w:space="425" w:num="1"/>
          <w:docGrid w:type="lines" w:linePitch="312" w:charSpace="0"/>
        </w:sectPr>
      </w:pPr>
    </w:p>
    <w:p>
      <w:pPr>
        <w:pStyle w:val="46"/>
        <w:spacing w:line="560" w:lineRule="exact"/>
        <w:ind w:firstLine="0" w:firstLineChars="0"/>
        <w:rPr>
          <w:rFonts w:hint="eastAsia" w:ascii="仿宋" w:hAnsi="仿宋" w:eastAsia="仿宋" w:cs="仿宋"/>
          <w:sz w:val="28"/>
          <w:szCs w:val="28"/>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2：</w:t>
      </w:r>
    </w:p>
    <w:tbl>
      <w:tblPr>
        <w:tblStyle w:val="24"/>
        <w:tblW w:w="9796" w:type="dxa"/>
        <w:tblInd w:w="-601" w:type="dxa"/>
        <w:shd w:val="clear" w:color="auto" w:fill="auto"/>
        <w:tblLayout w:type="fixed"/>
        <w:tblCellMar>
          <w:top w:w="0" w:type="dxa"/>
          <w:left w:w="0" w:type="dxa"/>
          <w:bottom w:w="0" w:type="dxa"/>
          <w:right w:w="0" w:type="dxa"/>
        </w:tblCellMar>
      </w:tblPr>
      <w:tblGrid>
        <w:gridCol w:w="753"/>
        <w:gridCol w:w="753"/>
        <w:gridCol w:w="753"/>
        <w:gridCol w:w="753"/>
        <w:gridCol w:w="753"/>
        <w:gridCol w:w="753"/>
        <w:gridCol w:w="2170"/>
        <w:gridCol w:w="1332"/>
        <w:gridCol w:w="444"/>
        <w:gridCol w:w="1332"/>
      </w:tblGrid>
      <w:tr>
        <w:tblPrEx>
          <w:shd w:val="clear" w:color="auto" w:fill="auto"/>
          <w:tblCellMar>
            <w:top w:w="0" w:type="dxa"/>
            <w:left w:w="0" w:type="dxa"/>
            <w:bottom w:w="0" w:type="dxa"/>
            <w:right w:w="0" w:type="dxa"/>
          </w:tblCellMar>
        </w:tblPrEx>
        <w:trPr>
          <w:trHeight w:val="405" w:hRule="atLeast"/>
        </w:trPr>
        <w:tc>
          <w:tcPr>
            <w:tcW w:w="9796"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8"/>
                <w:szCs w:val="28"/>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285" w:hRule="atLeast"/>
        </w:trPr>
        <w:tc>
          <w:tcPr>
            <w:tcW w:w="9796" w:type="dxa"/>
            <w:gridSpan w:val="10"/>
            <w:tcBorders>
              <w:top w:val="nil"/>
              <w:left w:val="nil"/>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90" w:hRule="atLeast"/>
        </w:trPr>
        <w:tc>
          <w:tcPr>
            <w:tcW w:w="9796" w:type="dxa"/>
            <w:gridSpan w:val="10"/>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shd w:val="clear" w:color="auto" w:fill="auto"/>
          <w:tblCellMar>
            <w:top w:w="0" w:type="dxa"/>
            <w:left w:w="0" w:type="dxa"/>
            <w:bottom w:w="0" w:type="dxa"/>
            <w:right w:w="0" w:type="dxa"/>
          </w:tblCellMar>
        </w:tblPrEx>
        <w:trPr>
          <w:trHeight w:val="443" w:hRule="atLeast"/>
        </w:trPr>
        <w:tc>
          <w:tcPr>
            <w:tcW w:w="1506" w:type="dxa"/>
            <w:gridSpan w:val="2"/>
            <w:tcBorders>
              <w:top w:val="single" w:color="000000" w:sz="8" w:space="0"/>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项目名称</w:t>
            </w:r>
          </w:p>
        </w:tc>
        <w:tc>
          <w:tcPr>
            <w:tcW w:w="8290" w:type="dxa"/>
            <w:gridSpan w:val="8"/>
            <w:tcBorders>
              <w:top w:val="single" w:color="000000" w:sz="8" w:space="0"/>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加强党对教育工作全面领导专项业务费</w:t>
            </w:r>
          </w:p>
        </w:tc>
      </w:tr>
      <w:tr>
        <w:tblPrEx>
          <w:shd w:val="clear" w:color="auto" w:fill="auto"/>
          <w:tblCellMar>
            <w:top w:w="0" w:type="dxa"/>
            <w:left w:w="0" w:type="dxa"/>
            <w:bottom w:w="0" w:type="dxa"/>
            <w:right w:w="0" w:type="dxa"/>
          </w:tblCellMar>
        </w:tblPrEx>
        <w:trPr>
          <w:trHeight w:val="339" w:hRule="atLeast"/>
        </w:trPr>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主管部门</w:t>
            </w:r>
          </w:p>
        </w:tc>
        <w:tc>
          <w:tcPr>
            <w:tcW w:w="5182"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highlight w:val="yellow"/>
                <w:u w:val="none"/>
                <w:lang w:val="en-US"/>
              </w:rPr>
            </w:pPr>
            <w:r>
              <w:rPr>
                <w:rFonts w:hint="eastAsia" w:ascii="宋体" w:hAnsi="宋体" w:eastAsia="宋体" w:cs="宋体"/>
                <w:i w:val="0"/>
                <w:color w:val="000000"/>
                <w:kern w:val="0"/>
                <w:sz w:val="18"/>
                <w:szCs w:val="18"/>
                <w:u w:val="none"/>
                <w:lang w:val="en-US" w:eastAsia="zh-CN" w:bidi="ar"/>
              </w:rPr>
              <w:t>实施单位</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中共塔城地区委员会教育工作委员会</w:t>
            </w:r>
          </w:p>
        </w:tc>
      </w:tr>
      <w:tr>
        <w:tblPrEx>
          <w:shd w:val="clear" w:color="auto" w:fill="auto"/>
          <w:tblCellMar>
            <w:top w:w="0" w:type="dxa"/>
            <w:left w:w="0" w:type="dxa"/>
            <w:bottom w:w="0" w:type="dxa"/>
            <w:right w:w="0" w:type="dxa"/>
          </w:tblCellMar>
        </w:tblPrEx>
        <w:trPr>
          <w:trHeight w:val="199" w:hRule="atLeast"/>
        </w:trPr>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项目资金</w:t>
            </w: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rPr>
                <w:rFonts w:hint="eastAsia" w:ascii="仿宋" w:hAnsi="仿宋" w:eastAsia="仿宋" w:cs="仿宋"/>
                <w:i w:val="0"/>
                <w:color w:val="000000"/>
                <w:sz w:val="21"/>
                <w:szCs w:val="21"/>
                <w:u w:val="none"/>
              </w:rPr>
            </w:pP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color w:val="000000"/>
                <w:kern w:val="0"/>
                <w:sz w:val="18"/>
                <w:szCs w:val="18"/>
                <w:u w:val="none"/>
                <w:lang w:val="en-US" w:eastAsia="zh-CN" w:bidi="ar"/>
              </w:rPr>
              <w:t>年初预算数</w:t>
            </w:r>
          </w:p>
        </w:tc>
        <w:tc>
          <w:tcPr>
            <w:tcW w:w="292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color w:val="000000"/>
                <w:kern w:val="0"/>
                <w:sz w:val="18"/>
                <w:szCs w:val="18"/>
                <w:u w:val="none"/>
                <w:lang w:val="en-US" w:eastAsia="zh-CN" w:bidi="ar"/>
              </w:rPr>
              <w:t>全年预算数</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highlight w:val="yellow"/>
                <w:u w:val="none"/>
                <w:lang w:val="en-US" w:eastAsia="zh-CN"/>
              </w:rPr>
            </w:pPr>
            <w:r>
              <w:rPr>
                <w:rFonts w:hint="eastAsia" w:ascii="宋体" w:hAnsi="宋体" w:eastAsia="宋体" w:cs="宋体"/>
                <w:i w:val="0"/>
                <w:color w:val="000000"/>
                <w:kern w:val="0"/>
                <w:sz w:val="18"/>
                <w:szCs w:val="18"/>
                <w:u w:val="none"/>
                <w:lang w:val="en-US" w:eastAsia="zh-CN" w:bidi="ar"/>
              </w:rPr>
              <w:t>全年执行数</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314" w:hRule="atLeast"/>
        </w:trPr>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（万元）</w:t>
            </w:r>
          </w:p>
        </w:tc>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年度资金总额</w:t>
            </w: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color w:val="000000"/>
                <w:kern w:val="0"/>
                <w:sz w:val="18"/>
                <w:szCs w:val="18"/>
                <w:u w:val="none"/>
                <w:lang w:val="en-US" w:eastAsia="zh-CN" w:bidi="ar"/>
              </w:rPr>
              <w:t>15</w:t>
            </w:r>
          </w:p>
        </w:tc>
        <w:tc>
          <w:tcPr>
            <w:tcW w:w="292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color w:val="000000"/>
                <w:kern w:val="0"/>
                <w:sz w:val="18"/>
                <w:szCs w:val="18"/>
                <w:u w:val="none"/>
                <w:lang w:val="en-US" w:eastAsia="zh-CN" w:bidi="ar"/>
              </w:rPr>
              <w:t>15</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14.65</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97.65%</w:t>
            </w:r>
          </w:p>
        </w:tc>
      </w:tr>
      <w:tr>
        <w:tblPrEx>
          <w:shd w:val="clear" w:color="auto" w:fill="auto"/>
          <w:tblCellMar>
            <w:top w:w="0" w:type="dxa"/>
            <w:left w:w="0" w:type="dxa"/>
            <w:bottom w:w="0" w:type="dxa"/>
            <w:right w:w="0" w:type="dxa"/>
          </w:tblCellMar>
        </w:tblPrEx>
        <w:trPr>
          <w:trHeight w:val="214" w:hRule="atLeast"/>
        </w:trPr>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其中：当年财政拨款</w:t>
            </w: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15.00</w:t>
            </w:r>
          </w:p>
        </w:tc>
        <w:tc>
          <w:tcPr>
            <w:tcW w:w="292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15.00</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14.65</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145" w:hRule="atLeast"/>
        </w:trPr>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292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0</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0</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25" w:hRule="atLeast"/>
        </w:trPr>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50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92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0</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808" w:hRule="atLeast"/>
        </w:trPr>
        <w:tc>
          <w:tcPr>
            <w:tcW w:w="75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年度总体目标</w:t>
            </w:r>
          </w:p>
        </w:tc>
        <w:tc>
          <w:tcPr>
            <w:tcW w:w="5935" w:type="dxa"/>
            <w:gridSpan w:val="6"/>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预期目标</w:t>
            </w:r>
          </w:p>
        </w:tc>
        <w:tc>
          <w:tcPr>
            <w:tcW w:w="3108"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464"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rPr>
            </w:pPr>
          </w:p>
        </w:tc>
        <w:tc>
          <w:tcPr>
            <w:tcW w:w="5935" w:type="dxa"/>
            <w:gridSpan w:val="6"/>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负责指导地区教育系统全面贯彻党的教育方针，把握社会主义办学方向，落实立德树人根本任务，办好人民满意教育等各项工作。坚持党对教育工作的全面领导，加强了教育系统党的建设工作的指导，对教育系统党务工作者进行了专题培训，对教师队伍建设、思想政治理论课等进行调研。通过开展指导，促进地区教育育事业发展，为我区教育事业健康、有序发展保驾护航。</w:t>
            </w:r>
          </w:p>
        </w:tc>
        <w:tc>
          <w:tcPr>
            <w:tcW w:w="3108"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负责指导地区教育系统全面贯彻党的教育方针，把握社会主义办学方向，落实立德树人根本任务，办好人民满意教育等各项工作。坚持党对教育工作的全面领导，加强了教育系统党的建设工作的指导，对教育系统党务工作者进行了专题培训，对教师队伍建设、思想政治理论课等进行调研。通过开展指导，促进地区教育育事业发展，为我区教育事业健康、有序发展保驾护航。</w:t>
            </w:r>
          </w:p>
        </w:tc>
      </w:tr>
      <w:tr>
        <w:tblPrEx>
          <w:shd w:val="clear" w:color="auto" w:fill="auto"/>
          <w:tblCellMar>
            <w:top w:w="0" w:type="dxa"/>
            <w:left w:w="0" w:type="dxa"/>
            <w:bottom w:w="0" w:type="dxa"/>
            <w:right w:w="0" w:type="dxa"/>
          </w:tblCellMar>
        </w:tblPrEx>
        <w:trPr>
          <w:trHeight w:val="300" w:hRule="atLeast"/>
        </w:trPr>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一级指标</w:t>
            </w: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二级指标</w:t>
            </w: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三级指标</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年度指标值</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实际完成值</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eastAsia="zh-CN"/>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300" w:hRule="atLeast"/>
        </w:trPr>
        <w:tc>
          <w:tcPr>
            <w:tcW w:w="75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5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产出指标</w:t>
            </w:r>
          </w:p>
        </w:tc>
        <w:tc>
          <w:tcPr>
            <w:tcW w:w="75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数量指标</w:t>
            </w: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组织培训班次（次）</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=2次</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2次</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shd w:val="clear" w:color="auto" w:fill="auto"/>
          <w:tblCellMar>
            <w:top w:w="0" w:type="dxa"/>
            <w:left w:w="0" w:type="dxa"/>
            <w:bottom w:w="0" w:type="dxa"/>
            <w:right w:w="0" w:type="dxa"/>
          </w:tblCellMar>
        </w:tblPrEx>
        <w:trPr>
          <w:trHeight w:val="360"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新增购置的笔记本数量</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=1台</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1台</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shd w:val="clear" w:color="auto" w:fill="auto"/>
          <w:tblCellMar>
            <w:top w:w="0" w:type="dxa"/>
            <w:left w:w="0" w:type="dxa"/>
            <w:bottom w:w="0" w:type="dxa"/>
            <w:right w:w="0" w:type="dxa"/>
          </w:tblCellMar>
        </w:tblPrEx>
        <w:trPr>
          <w:trHeight w:val="360"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新增购置的保密柜数量</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=1个</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1个</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shd w:val="clear" w:color="auto" w:fill="auto"/>
          <w:tblCellMar>
            <w:top w:w="0" w:type="dxa"/>
            <w:left w:w="0" w:type="dxa"/>
            <w:bottom w:w="0" w:type="dxa"/>
            <w:right w:w="0" w:type="dxa"/>
          </w:tblCellMar>
        </w:tblPrEx>
        <w:trPr>
          <w:trHeight w:val="360"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对各县（市）学校教师队伍情况调研次数</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≥8次</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8次</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shd w:val="clear" w:color="auto" w:fill="auto"/>
          <w:tblCellMar>
            <w:top w:w="0" w:type="dxa"/>
            <w:left w:w="0" w:type="dxa"/>
            <w:bottom w:w="0" w:type="dxa"/>
            <w:right w:w="0" w:type="dxa"/>
          </w:tblCellMar>
        </w:tblPrEx>
        <w:trPr>
          <w:trHeight w:val="300"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对各县（市）校园安全调研次数</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≥10次</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10次</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shd w:val="clear" w:color="auto" w:fill="auto"/>
          <w:tblCellMar>
            <w:top w:w="0" w:type="dxa"/>
            <w:left w:w="0" w:type="dxa"/>
            <w:bottom w:w="0" w:type="dxa"/>
            <w:right w:w="0" w:type="dxa"/>
          </w:tblCellMar>
        </w:tblPrEx>
        <w:trPr>
          <w:trHeight w:val="335"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质量指标</w:t>
            </w: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培训合格率</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100%</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100%</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shd w:val="clear" w:color="auto" w:fill="auto"/>
          <w:tblCellMar>
            <w:top w:w="0" w:type="dxa"/>
            <w:left w:w="0" w:type="dxa"/>
            <w:bottom w:w="0" w:type="dxa"/>
            <w:right w:w="0" w:type="dxa"/>
          </w:tblCellMar>
        </w:tblPrEx>
        <w:trPr>
          <w:trHeight w:val="330"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政府采购执行率</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100%</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color w:val="000000"/>
                <w:kern w:val="0"/>
                <w:sz w:val="18"/>
                <w:szCs w:val="18"/>
                <w:u w:val="none"/>
                <w:lang w:val="en-US" w:eastAsia="zh-CN" w:bidi="ar"/>
              </w:rPr>
              <w:t>100%</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shd w:val="clear" w:color="auto" w:fill="auto"/>
          <w:tblCellMar>
            <w:top w:w="0" w:type="dxa"/>
            <w:left w:w="0" w:type="dxa"/>
            <w:bottom w:w="0" w:type="dxa"/>
            <w:right w:w="0" w:type="dxa"/>
          </w:tblCellMar>
        </w:tblPrEx>
        <w:trPr>
          <w:trHeight w:val="389"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时效指标</w:t>
            </w: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项目完成时间</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2020年12月前</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2020年12月前</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r>
      <w:tr>
        <w:tblPrEx>
          <w:shd w:val="clear" w:color="auto" w:fill="auto"/>
          <w:tblCellMar>
            <w:top w:w="0" w:type="dxa"/>
            <w:left w:w="0" w:type="dxa"/>
            <w:bottom w:w="0" w:type="dxa"/>
            <w:right w:w="0" w:type="dxa"/>
          </w:tblCellMar>
        </w:tblPrEx>
        <w:trPr>
          <w:trHeight w:val="389"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75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成本指标</w:t>
            </w: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调研差旅费成本</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≤90000元</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86475元</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kern w:val="0"/>
                <w:sz w:val="21"/>
                <w:szCs w:val="21"/>
                <w:u w:val="none"/>
                <w:lang w:val="en-US" w:eastAsia="zh-CN" w:bidi="ar"/>
              </w:rPr>
            </w:pPr>
          </w:p>
        </w:tc>
      </w:tr>
      <w:tr>
        <w:tblPrEx>
          <w:shd w:val="clear" w:color="auto" w:fill="auto"/>
          <w:tblCellMar>
            <w:top w:w="0" w:type="dxa"/>
            <w:left w:w="0" w:type="dxa"/>
            <w:bottom w:w="0" w:type="dxa"/>
            <w:right w:w="0" w:type="dxa"/>
          </w:tblCellMar>
        </w:tblPrEx>
        <w:trPr>
          <w:trHeight w:val="389"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公务用车运行维护费成本</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≤14100元</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14100元</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r>
      <w:tr>
        <w:tblPrEx>
          <w:shd w:val="clear" w:color="auto" w:fill="auto"/>
          <w:tblCellMar>
            <w:top w:w="0" w:type="dxa"/>
            <w:left w:w="0" w:type="dxa"/>
            <w:bottom w:w="0" w:type="dxa"/>
            <w:right w:w="0" w:type="dxa"/>
          </w:tblCellMar>
        </w:tblPrEx>
        <w:trPr>
          <w:trHeight w:val="389" w:hRule="atLeast"/>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225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劳务费成本</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≤21600元</w:t>
            </w:r>
          </w:p>
        </w:tc>
        <w:tc>
          <w:tcPr>
            <w:tcW w:w="13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宋体" w:hAnsi="宋体" w:eastAsia="宋体" w:cs="宋体"/>
                <w:i w:val="0"/>
                <w:color w:val="000000"/>
                <w:kern w:val="0"/>
                <w:sz w:val="18"/>
                <w:szCs w:val="18"/>
                <w:u w:val="none"/>
                <w:lang w:val="en-US" w:eastAsia="zh-CN" w:bidi="ar"/>
              </w:rPr>
              <w:t>21600元</w:t>
            </w:r>
          </w:p>
        </w:tc>
        <w:tc>
          <w:tcPr>
            <w:tcW w:w="177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r>
    </w:tbl>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 w:hAnsi="仿宋" w:eastAsia="仿宋" w:cs="仿宋"/>
          <w:sz w:val="15"/>
          <w:szCs w:val="15"/>
        </w:rPr>
      </w:pPr>
    </w:p>
    <w:sectPr>
      <w:pgSz w:w="11906" w:h="16838"/>
      <w:pgMar w:top="193" w:right="1800" w:bottom="30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fldChar w:fldCharType="begin"/>
    </w:r>
    <w:r>
      <w:instrText xml:space="preserve"> PAGE   \* MERGEFORMAT </w:instrText>
    </w:r>
    <w:r>
      <w:fldChar w:fldCharType="separate"/>
    </w:r>
    <w:r>
      <w:rPr>
        <w:lang w:val="zh-CN"/>
      </w:rPr>
      <w:t>2</w:t>
    </w:r>
    <w:r>
      <w:rPr>
        <w:lang w:val="zh-CN"/>
      </w:rPr>
      <w:fldChar w:fldCharType="end"/>
    </w:r>
  </w:p>
  <w:p>
    <w:pPr>
      <w:pStyle w:val="16"/>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38C801F"/>
    <w:multiLevelType w:val="singleLevel"/>
    <w:tmpl w:val="E38C801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730CCE4"/>
    <w:multiLevelType w:val="singleLevel"/>
    <w:tmpl w:val="3730CCE4"/>
    <w:lvl w:ilvl="0" w:tentative="0">
      <w:start w:val="2"/>
      <w:numFmt w:val="decimal"/>
      <w:suff w:val="nothing"/>
      <w:lvlText w:val="（%1）"/>
      <w:lvlJc w:val="left"/>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4B7D"/>
    <w:rsid w:val="00003A4E"/>
    <w:rsid w:val="00004947"/>
    <w:rsid w:val="00006998"/>
    <w:rsid w:val="000172E4"/>
    <w:rsid w:val="000178C7"/>
    <w:rsid w:val="0002363F"/>
    <w:rsid w:val="00026EAF"/>
    <w:rsid w:val="000339A8"/>
    <w:rsid w:val="0003684D"/>
    <w:rsid w:val="000440B3"/>
    <w:rsid w:val="00052F83"/>
    <w:rsid w:val="0006087B"/>
    <w:rsid w:val="000614C8"/>
    <w:rsid w:val="000626DA"/>
    <w:rsid w:val="00065AEE"/>
    <w:rsid w:val="00065E72"/>
    <w:rsid w:val="000667CE"/>
    <w:rsid w:val="00071214"/>
    <w:rsid w:val="00074CE2"/>
    <w:rsid w:val="000774F9"/>
    <w:rsid w:val="00091ECA"/>
    <w:rsid w:val="00094315"/>
    <w:rsid w:val="00094D2B"/>
    <w:rsid w:val="000A41A8"/>
    <w:rsid w:val="000C49D6"/>
    <w:rsid w:val="000D25EF"/>
    <w:rsid w:val="000D43C6"/>
    <w:rsid w:val="000D6FA4"/>
    <w:rsid w:val="000E373F"/>
    <w:rsid w:val="000E3AD8"/>
    <w:rsid w:val="000E3C13"/>
    <w:rsid w:val="00106F38"/>
    <w:rsid w:val="00107079"/>
    <w:rsid w:val="00112A3E"/>
    <w:rsid w:val="0011442A"/>
    <w:rsid w:val="001243F9"/>
    <w:rsid w:val="00133881"/>
    <w:rsid w:val="00134F46"/>
    <w:rsid w:val="00136799"/>
    <w:rsid w:val="00142BBA"/>
    <w:rsid w:val="00155097"/>
    <w:rsid w:val="001663FA"/>
    <w:rsid w:val="00180791"/>
    <w:rsid w:val="001816F6"/>
    <w:rsid w:val="00191767"/>
    <w:rsid w:val="001954C0"/>
    <w:rsid w:val="001954FF"/>
    <w:rsid w:val="00197DD1"/>
    <w:rsid w:val="001A1214"/>
    <w:rsid w:val="001A1F6C"/>
    <w:rsid w:val="001A382B"/>
    <w:rsid w:val="001B1FFA"/>
    <w:rsid w:val="001B3E82"/>
    <w:rsid w:val="001B605E"/>
    <w:rsid w:val="001B69FE"/>
    <w:rsid w:val="001C53B2"/>
    <w:rsid w:val="001D0CC8"/>
    <w:rsid w:val="001D0DB8"/>
    <w:rsid w:val="001D2178"/>
    <w:rsid w:val="001D5B39"/>
    <w:rsid w:val="001E40DC"/>
    <w:rsid w:val="0020002E"/>
    <w:rsid w:val="00204526"/>
    <w:rsid w:val="00206A17"/>
    <w:rsid w:val="00222432"/>
    <w:rsid w:val="0022430A"/>
    <w:rsid w:val="00232878"/>
    <w:rsid w:val="002441DD"/>
    <w:rsid w:val="00247B93"/>
    <w:rsid w:val="00247C9C"/>
    <w:rsid w:val="00251DDE"/>
    <w:rsid w:val="0025223B"/>
    <w:rsid w:val="00253F2C"/>
    <w:rsid w:val="002547E0"/>
    <w:rsid w:val="00254DC6"/>
    <w:rsid w:val="00257940"/>
    <w:rsid w:val="002629AE"/>
    <w:rsid w:val="00264431"/>
    <w:rsid w:val="00271EE9"/>
    <w:rsid w:val="0027401A"/>
    <w:rsid w:val="00285A9E"/>
    <w:rsid w:val="00287696"/>
    <w:rsid w:val="002A3109"/>
    <w:rsid w:val="002A5524"/>
    <w:rsid w:val="002B1699"/>
    <w:rsid w:val="002B3254"/>
    <w:rsid w:val="002D096F"/>
    <w:rsid w:val="002D380F"/>
    <w:rsid w:val="002F33B8"/>
    <w:rsid w:val="002F450E"/>
    <w:rsid w:val="0030104B"/>
    <w:rsid w:val="00301DB8"/>
    <w:rsid w:val="0031226E"/>
    <w:rsid w:val="00320069"/>
    <w:rsid w:val="003205F1"/>
    <w:rsid w:val="00327010"/>
    <w:rsid w:val="0035216A"/>
    <w:rsid w:val="003545D0"/>
    <w:rsid w:val="0036622E"/>
    <w:rsid w:val="00370B9A"/>
    <w:rsid w:val="003736E5"/>
    <w:rsid w:val="00376720"/>
    <w:rsid w:val="003837A2"/>
    <w:rsid w:val="00387CD8"/>
    <w:rsid w:val="003B3204"/>
    <w:rsid w:val="003C2936"/>
    <w:rsid w:val="003D270B"/>
    <w:rsid w:val="003D3EF5"/>
    <w:rsid w:val="003E678F"/>
    <w:rsid w:val="003F74B1"/>
    <w:rsid w:val="00406A68"/>
    <w:rsid w:val="00414B7D"/>
    <w:rsid w:val="00427588"/>
    <w:rsid w:val="0043476F"/>
    <w:rsid w:val="0044487F"/>
    <w:rsid w:val="00454F7C"/>
    <w:rsid w:val="00456D64"/>
    <w:rsid w:val="00465E0C"/>
    <w:rsid w:val="004715F5"/>
    <w:rsid w:val="0047766F"/>
    <w:rsid w:val="00480C63"/>
    <w:rsid w:val="00482700"/>
    <w:rsid w:val="00493188"/>
    <w:rsid w:val="00493D33"/>
    <w:rsid w:val="004976BC"/>
    <w:rsid w:val="004A4934"/>
    <w:rsid w:val="004C4573"/>
    <w:rsid w:val="004C67D4"/>
    <w:rsid w:val="004E7937"/>
    <w:rsid w:val="004F1CD7"/>
    <w:rsid w:val="00515004"/>
    <w:rsid w:val="005150FE"/>
    <w:rsid w:val="00523BFA"/>
    <w:rsid w:val="005329A7"/>
    <w:rsid w:val="00533A1D"/>
    <w:rsid w:val="0053754E"/>
    <w:rsid w:val="005506C9"/>
    <w:rsid w:val="0055544A"/>
    <w:rsid w:val="00577BB9"/>
    <w:rsid w:val="00581B7D"/>
    <w:rsid w:val="00583A12"/>
    <w:rsid w:val="00593BBD"/>
    <w:rsid w:val="0059751C"/>
    <w:rsid w:val="00597E23"/>
    <w:rsid w:val="005A1B90"/>
    <w:rsid w:val="005A59CA"/>
    <w:rsid w:val="005A5BE0"/>
    <w:rsid w:val="005A6BD5"/>
    <w:rsid w:val="005B0346"/>
    <w:rsid w:val="005B286F"/>
    <w:rsid w:val="005B4B3A"/>
    <w:rsid w:val="00600A59"/>
    <w:rsid w:val="006012C0"/>
    <w:rsid w:val="00602B9B"/>
    <w:rsid w:val="006076A8"/>
    <w:rsid w:val="00615F60"/>
    <w:rsid w:val="006234C4"/>
    <w:rsid w:val="00623DB9"/>
    <w:rsid w:val="00624367"/>
    <w:rsid w:val="00624B62"/>
    <w:rsid w:val="00625B3A"/>
    <w:rsid w:val="00634A35"/>
    <w:rsid w:val="006357D6"/>
    <w:rsid w:val="00636606"/>
    <w:rsid w:val="00641E3E"/>
    <w:rsid w:val="006507BC"/>
    <w:rsid w:val="00652138"/>
    <w:rsid w:val="00656DF2"/>
    <w:rsid w:val="0065783A"/>
    <w:rsid w:val="00665C5D"/>
    <w:rsid w:val="00666771"/>
    <w:rsid w:val="0067257B"/>
    <w:rsid w:val="00692B36"/>
    <w:rsid w:val="00692F1A"/>
    <w:rsid w:val="006A0C6F"/>
    <w:rsid w:val="006A291E"/>
    <w:rsid w:val="006A2FEC"/>
    <w:rsid w:val="006C7259"/>
    <w:rsid w:val="006D7E78"/>
    <w:rsid w:val="006E0D19"/>
    <w:rsid w:val="006E29E9"/>
    <w:rsid w:val="006F0E98"/>
    <w:rsid w:val="006F23A2"/>
    <w:rsid w:val="006F31CB"/>
    <w:rsid w:val="00706741"/>
    <w:rsid w:val="007067DC"/>
    <w:rsid w:val="007115C8"/>
    <w:rsid w:val="00716851"/>
    <w:rsid w:val="00724D20"/>
    <w:rsid w:val="00732EAB"/>
    <w:rsid w:val="007347D1"/>
    <w:rsid w:val="00744519"/>
    <w:rsid w:val="00755FCC"/>
    <w:rsid w:val="00756401"/>
    <w:rsid w:val="00760247"/>
    <w:rsid w:val="007620C6"/>
    <w:rsid w:val="00792914"/>
    <w:rsid w:val="00797F57"/>
    <w:rsid w:val="007B06E2"/>
    <w:rsid w:val="007C4B7F"/>
    <w:rsid w:val="007D370A"/>
    <w:rsid w:val="007E22AF"/>
    <w:rsid w:val="007E73C8"/>
    <w:rsid w:val="007F135E"/>
    <w:rsid w:val="007F506C"/>
    <w:rsid w:val="00803336"/>
    <w:rsid w:val="008046A5"/>
    <w:rsid w:val="00806B15"/>
    <w:rsid w:val="00812F0F"/>
    <w:rsid w:val="00825E86"/>
    <w:rsid w:val="0085075C"/>
    <w:rsid w:val="00861AB8"/>
    <w:rsid w:val="00861C63"/>
    <w:rsid w:val="00862861"/>
    <w:rsid w:val="008848E3"/>
    <w:rsid w:val="0088585A"/>
    <w:rsid w:val="0088603C"/>
    <w:rsid w:val="0088681F"/>
    <w:rsid w:val="00887099"/>
    <w:rsid w:val="008874A1"/>
    <w:rsid w:val="00890A53"/>
    <w:rsid w:val="008940B0"/>
    <w:rsid w:val="00894478"/>
    <w:rsid w:val="00897F4A"/>
    <w:rsid w:val="008A00B8"/>
    <w:rsid w:val="008A24DE"/>
    <w:rsid w:val="008B0D3D"/>
    <w:rsid w:val="008B1B47"/>
    <w:rsid w:val="008C3A26"/>
    <w:rsid w:val="008D6F5D"/>
    <w:rsid w:val="008E1B34"/>
    <w:rsid w:val="008F0410"/>
    <w:rsid w:val="008F6B03"/>
    <w:rsid w:val="00911D89"/>
    <w:rsid w:val="00912EDD"/>
    <w:rsid w:val="00914D86"/>
    <w:rsid w:val="00974220"/>
    <w:rsid w:val="00986432"/>
    <w:rsid w:val="00990FCE"/>
    <w:rsid w:val="00992585"/>
    <w:rsid w:val="00996C34"/>
    <w:rsid w:val="009A4B92"/>
    <w:rsid w:val="009A5677"/>
    <w:rsid w:val="009B2869"/>
    <w:rsid w:val="009B5AE8"/>
    <w:rsid w:val="009C357F"/>
    <w:rsid w:val="009C67DB"/>
    <w:rsid w:val="009D16A3"/>
    <w:rsid w:val="009D396C"/>
    <w:rsid w:val="009E4629"/>
    <w:rsid w:val="009E4E46"/>
    <w:rsid w:val="009F1B2F"/>
    <w:rsid w:val="009F1FB9"/>
    <w:rsid w:val="009F5B0F"/>
    <w:rsid w:val="009F76EF"/>
    <w:rsid w:val="00A0251C"/>
    <w:rsid w:val="00A02C06"/>
    <w:rsid w:val="00A10229"/>
    <w:rsid w:val="00A308A2"/>
    <w:rsid w:val="00A338DF"/>
    <w:rsid w:val="00A357EC"/>
    <w:rsid w:val="00A41120"/>
    <w:rsid w:val="00A426D9"/>
    <w:rsid w:val="00A6554D"/>
    <w:rsid w:val="00A65AA9"/>
    <w:rsid w:val="00A726DE"/>
    <w:rsid w:val="00A7335C"/>
    <w:rsid w:val="00A76219"/>
    <w:rsid w:val="00A76DD0"/>
    <w:rsid w:val="00A82F2F"/>
    <w:rsid w:val="00A93261"/>
    <w:rsid w:val="00AA0E68"/>
    <w:rsid w:val="00AA2E97"/>
    <w:rsid w:val="00AA54AE"/>
    <w:rsid w:val="00AC0F1C"/>
    <w:rsid w:val="00AC7453"/>
    <w:rsid w:val="00AD6A36"/>
    <w:rsid w:val="00AE6AF5"/>
    <w:rsid w:val="00AE7455"/>
    <w:rsid w:val="00AF0FE2"/>
    <w:rsid w:val="00B01873"/>
    <w:rsid w:val="00B055D5"/>
    <w:rsid w:val="00B057FB"/>
    <w:rsid w:val="00B05C3B"/>
    <w:rsid w:val="00B13683"/>
    <w:rsid w:val="00B26134"/>
    <w:rsid w:val="00B271BC"/>
    <w:rsid w:val="00B27557"/>
    <w:rsid w:val="00B30BAE"/>
    <w:rsid w:val="00B323F7"/>
    <w:rsid w:val="00B37D58"/>
    <w:rsid w:val="00B40A5B"/>
    <w:rsid w:val="00B514B5"/>
    <w:rsid w:val="00B54402"/>
    <w:rsid w:val="00B5553A"/>
    <w:rsid w:val="00B700CC"/>
    <w:rsid w:val="00B722B6"/>
    <w:rsid w:val="00B75394"/>
    <w:rsid w:val="00B959FD"/>
    <w:rsid w:val="00BA18A3"/>
    <w:rsid w:val="00BC32E5"/>
    <w:rsid w:val="00BC723C"/>
    <w:rsid w:val="00BC72A2"/>
    <w:rsid w:val="00BE0ED9"/>
    <w:rsid w:val="00BE1C1F"/>
    <w:rsid w:val="00BF21D4"/>
    <w:rsid w:val="00BF61D9"/>
    <w:rsid w:val="00C01D91"/>
    <w:rsid w:val="00C02C5B"/>
    <w:rsid w:val="00C05168"/>
    <w:rsid w:val="00C101E0"/>
    <w:rsid w:val="00C12168"/>
    <w:rsid w:val="00C17DE5"/>
    <w:rsid w:val="00C26468"/>
    <w:rsid w:val="00C41A25"/>
    <w:rsid w:val="00C43444"/>
    <w:rsid w:val="00C501D1"/>
    <w:rsid w:val="00C55830"/>
    <w:rsid w:val="00C558BC"/>
    <w:rsid w:val="00C55BC4"/>
    <w:rsid w:val="00C56E48"/>
    <w:rsid w:val="00C628CC"/>
    <w:rsid w:val="00C71923"/>
    <w:rsid w:val="00C73E9D"/>
    <w:rsid w:val="00C8166B"/>
    <w:rsid w:val="00C82001"/>
    <w:rsid w:val="00C86A88"/>
    <w:rsid w:val="00CA48EA"/>
    <w:rsid w:val="00CB0330"/>
    <w:rsid w:val="00CB4F91"/>
    <w:rsid w:val="00CB7D72"/>
    <w:rsid w:val="00CD529F"/>
    <w:rsid w:val="00CD6E80"/>
    <w:rsid w:val="00CE6897"/>
    <w:rsid w:val="00CE6C7B"/>
    <w:rsid w:val="00CE7209"/>
    <w:rsid w:val="00CF18B4"/>
    <w:rsid w:val="00CF1F29"/>
    <w:rsid w:val="00D00698"/>
    <w:rsid w:val="00D036C4"/>
    <w:rsid w:val="00D12559"/>
    <w:rsid w:val="00D12F25"/>
    <w:rsid w:val="00D2398C"/>
    <w:rsid w:val="00D23C99"/>
    <w:rsid w:val="00D26D27"/>
    <w:rsid w:val="00D36FCE"/>
    <w:rsid w:val="00D4559A"/>
    <w:rsid w:val="00D47E9C"/>
    <w:rsid w:val="00D50DE7"/>
    <w:rsid w:val="00D5142C"/>
    <w:rsid w:val="00D676F1"/>
    <w:rsid w:val="00D71525"/>
    <w:rsid w:val="00D72696"/>
    <w:rsid w:val="00D745B1"/>
    <w:rsid w:val="00D80190"/>
    <w:rsid w:val="00D8213A"/>
    <w:rsid w:val="00D82180"/>
    <w:rsid w:val="00D92744"/>
    <w:rsid w:val="00D97172"/>
    <w:rsid w:val="00DA2994"/>
    <w:rsid w:val="00DA2DF3"/>
    <w:rsid w:val="00DA3CDF"/>
    <w:rsid w:val="00DC3762"/>
    <w:rsid w:val="00DC6692"/>
    <w:rsid w:val="00DC6C36"/>
    <w:rsid w:val="00DD52CE"/>
    <w:rsid w:val="00DD5996"/>
    <w:rsid w:val="00DF547B"/>
    <w:rsid w:val="00DF7E2E"/>
    <w:rsid w:val="00E01D81"/>
    <w:rsid w:val="00E02EF1"/>
    <w:rsid w:val="00E037D0"/>
    <w:rsid w:val="00E07B36"/>
    <w:rsid w:val="00E20D25"/>
    <w:rsid w:val="00E30AD7"/>
    <w:rsid w:val="00E34D21"/>
    <w:rsid w:val="00E52AFF"/>
    <w:rsid w:val="00E605DB"/>
    <w:rsid w:val="00E80A49"/>
    <w:rsid w:val="00E87004"/>
    <w:rsid w:val="00E87B44"/>
    <w:rsid w:val="00EA2F0A"/>
    <w:rsid w:val="00EA5575"/>
    <w:rsid w:val="00EB0C7B"/>
    <w:rsid w:val="00EB6511"/>
    <w:rsid w:val="00EB6583"/>
    <w:rsid w:val="00EC2CA4"/>
    <w:rsid w:val="00EE0E46"/>
    <w:rsid w:val="00EE1522"/>
    <w:rsid w:val="00EE1853"/>
    <w:rsid w:val="00EF7159"/>
    <w:rsid w:val="00F03284"/>
    <w:rsid w:val="00F12440"/>
    <w:rsid w:val="00F1535B"/>
    <w:rsid w:val="00F217E5"/>
    <w:rsid w:val="00F25EFA"/>
    <w:rsid w:val="00F2641D"/>
    <w:rsid w:val="00F319F5"/>
    <w:rsid w:val="00F36B2B"/>
    <w:rsid w:val="00F40F91"/>
    <w:rsid w:val="00F5460F"/>
    <w:rsid w:val="00F5491B"/>
    <w:rsid w:val="00F649A4"/>
    <w:rsid w:val="00F6675A"/>
    <w:rsid w:val="00F75809"/>
    <w:rsid w:val="00F806BF"/>
    <w:rsid w:val="00F845E1"/>
    <w:rsid w:val="00F874E5"/>
    <w:rsid w:val="00F87AFA"/>
    <w:rsid w:val="00FA05A9"/>
    <w:rsid w:val="00FA1407"/>
    <w:rsid w:val="00FA60C1"/>
    <w:rsid w:val="00FA7F62"/>
    <w:rsid w:val="00FB5F2A"/>
    <w:rsid w:val="00FC22AB"/>
    <w:rsid w:val="00FC24FB"/>
    <w:rsid w:val="00FC2CB6"/>
    <w:rsid w:val="00FC48B9"/>
    <w:rsid w:val="00FE160B"/>
    <w:rsid w:val="00FF3DBD"/>
    <w:rsid w:val="011E33C0"/>
    <w:rsid w:val="02132C15"/>
    <w:rsid w:val="02C44D9A"/>
    <w:rsid w:val="039F6B4A"/>
    <w:rsid w:val="05F62408"/>
    <w:rsid w:val="069A67F9"/>
    <w:rsid w:val="06B8218C"/>
    <w:rsid w:val="09D6647F"/>
    <w:rsid w:val="0D190A2F"/>
    <w:rsid w:val="0DBE4D32"/>
    <w:rsid w:val="0F1F7ABA"/>
    <w:rsid w:val="0F71753E"/>
    <w:rsid w:val="121C071E"/>
    <w:rsid w:val="12342B6E"/>
    <w:rsid w:val="14342BE2"/>
    <w:rsid w:val="145772D9"/>
    <w:rsid w:val="150F41AD"/>
    <w:rsid w:val="15306DA5"/>
    <w:rsid w:val="15321BD6"/>
    <w:rsid w:val="154D6551"/>
    <w:rsid w:val="15F7694D"/>
    <w:rsid w:val="1656688B"/>
    <w:rsid w:val="16B00398"/>
    <w:rsid w:val="16C610E6"/>
    <w:rsid w:val="17CF3E6D"/>
    <w:rsid w:val="182B2867"/>
    <w:rsid w:val="19F52C5D"/>
    <w:rsid w:val="1BE70406"/>
    <w:rsid w:val="1C4E6CB7"/>
    <w:rsid w:val="1F2D72A8"/>
    <w:rsid w:val="1FEB437B"/>
    <w:rsid w:val="20BF255A"/>
    <w:rsid w:val="21D44BBE"/>
    <w:rsid w:val="22A8545D"/>
    <w:rsid w:val="23EF6E53"/>
    <w:rsid w:val="246910F0"/>
    <w:rsid w:val="24827FE6"/>
    <w:rsid w:val="251929C2"/>
    <w:rsid w:val="258B18C3"/>
    <w:rsid w:val="26786586"/>
    <w:rsid w:val="26873A47"/>
    <w:rsid w:val="27DF1AAB"/>
    <w:rsid w:val="2A4B3C6A"/>
    <w:rsid w:val="2AE77555"/>
    <w:rsid w:val="2D5D3996"/>
    <w:rsid w:val="2E8970D0"/>
    <w:rsid w:val="2EA14EA8"/>
    <w:rsid w:val="30337FFE"/>
    <w:rsid w:val="30A638A4"/>
    <w:rsid w:val="30D64FA4"/>
    <w:rsid w:val="318D483F"/>
    <w:rsid w:val="32E413DF"/>
    <w:rsid w:val="3623337F"/>
    <w:rsid w:val="3860524A"/>
    <w:rsid w:val="3934292C"/>
    <w:rsid w:val="3BE5633E"/>
    <w:rsid w:val="401834C9"/>
    <w:rsid w:val="402F3028"/>
    <w:rsid w:val="40B40E31"/>
    <w:rsid w:val="42123CD8"/>
    <w:rsid w:val="4354132E"/>
    <w:rsid w:val="436A3240"/>
    <w:rsid w:val="45CC1386"/>
    <w:rsid w:val="46840FB0"/>
    <w:rsid w:val="4A3A0D92"/>
    <w:rsid w:val="4A476B33"/>
    <w:rsid w:val="4B5E1BEC"/>
    <w:rsid w:val="4BD141C7"/>
    <w:rsid w:val="4BDF70EC"/>
    <w:rsid w:val="4C342778"/>
    <w:rsid w:val="4C6D36F1"/>
    <w:rsid w:val="4CA21D9F"/>
    <w:rsid w:val="4CF13257"/>
    <w:rsid w:val="5012686C"/>
    <w:rsid w:val="50D275CE"/>
    <w:rsid w:val="522931D6"/>
    <w:rsid w:val="52792F5E"/>
    <w:rsid w:val="544724C3"/>
    <w:rsid w:val="559B1286"/>
    <w:rsid w:val="55C36094"/>
    <w:rsid w:val="572E205B"/>
    <w:rsid w:val="57D92F05"/>
    <w:rsid w:val="585A27F8"/>
    <w:rsid w:val="58D863BC"/>
    <w:rsid w:val="59C30BA5"/>
    <w:rsid w:val="5B0B7CF9"/>
    <w:rsid w:val="5E155CC9"/>
    <w:rsid w:val="5E1E7920"/>
    <w:rsid w:val="5F245606"/>
    <w:rsid w:val="615D3B2A"/>
    <w:rsid w:val="61D94B81"/>
    <w:rsid w:val="629E4794"/>
    <w:rsid w:val="62FE00DA"/>
    <w:rsid w:val="63021B7B"/>
    <w:rsid w:val="63DB4EBC"/>
    <w:rsid w:val="64381842"/>
    <w:rsid w:val="64843045"/>
    <w:rsid w:val="656C55FD"/>
    <w:rsid w:val="66083656"/>
    <w:rsid w:val="6779186E"/>
    <w:rsid w:val="6BC46FF8"/>
    <w:rsid w:val="6E047BAE"/>
    <w:rsid w:val="70180E6D"/>
    <w:rsid w:val="7053547F"/>
    <w:rsid w:val="72B91715"/>
    <w:rsid w:val="72CB47B4"/>
    <w:rsid w:val="73254213"/>
    <w:rsid w:val="73767850"/>
    <w:rsid w:val="74A9411F"/>
    <w:rsid w:val="754D6683"/>
    <w:rsid w:val="76772CD9"/>
    <w:rsid w:val="77AE7BB5"/>
    <w:rsid w:val="77F94033"/>
    <w:rsid w:val="797B6F10"/>
    <w:rsid w:val="79833032"/>
    <w:rsid w:val="79D10DB0"/>
    <w:rsid w:val="79FC4F9A"/>
    <w:rsid w:val="7ACF1486"/>
    <w:rsid w:val="7B024538"/>
    <w:rsid w:val="7C6A18FF"/>
    <w:rsid w:val="7D3B2230"/>
    <w:rsid w:val="7D6D3B5B"/>
    <w:rsid w:val="7DC428D2"/>
    <w:rsid w:val="7E2E69D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28"/>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29"/>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30"/>
    <w:qFormat/>
    <w:uiPriority w:val="99"/>
    <w:pPr>
      <w:keepNext/>
      <w:keepLines/>
      <w:spacing w:before="260" w:after="260" w:line="416" w:lineRule="auto"/>
      <w:outlineLvl w:val="2"/>
    </w:pPr>
    <w:rPr>
      <w:b/>
      <w:bCs/>
      <w:sz w:val="32"/>
      <w:szCs w:val="32"/>
    </w:rPr>
  </w:style>
  <w:style w:type="paragraph" w:styleId="6">
    <w:name w:val="heading 4"/>
    <w:basedOn w:val="1"/>
    <w:next w:val="1"/>
    <w:link w:val="31"/>
    <w:qFormat/>
    <w:uiPriority w:val="99"/>
    <w:pPr>
      <w:keepNext/>
      <w:keepLines/>
      <w:spacing w:before="280" w:after="290" w:line="376" w:lineRule="auto"/>
      <w:outlineLvl w:val="3"/>
    </w:pPr>
    <w:rPr>
      <w:rFonts w:ascii="Cambria" w:hAnsi="Cambria"/>
      <w:b/>
      <w:bCs/>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10"/>
    <w:pPr>
      <w:widowControl/>
      <w:spacing w:before="240" w:after="60"/>
      <w:jc w:val="center"/>
      <w:outlineLvl w:val="0"/>
    </w:pPr>
    <w:rPr>
      <w:rFonts w:asciiTheme="majorHAnsi" w:hAnsiTheme="majorHAnsi" w:eastAsiaTheme="majorEastAsia"/>
      <w:b/>
      <w:bCs/>
      <w:kern w:val="28"/>
      <w:sz w:val="32"/>
      <w:szCs w:val="32"/>
    </w:rPr>
  </w:style>
  <w:style w:type="paragraph" w:styleId="7">
    <w:name w:val="toc 7"/>
    <w:basedOn w:val="1"/>
    <w:next w:val="1"/>
    <w:qFormat/>
    <w:uiPriority w:val="99"/>
    <w:pPr>
      <w:ind w:left="1260"/>
      <w:jc w:val="left"/>
    </w:pPr>
    <w:rPr>
      <w:sz w:val="18"/>
      <w:szCs w:val="18"/>
    </w:rPr>
  </w:style>
  <w:style w:type="paragraph" w:styleId="8">
    <w:name w:val="annotation text"/>
    <w:basedOn w:val="1"/>
    <w:link w:val="32"/>
    <w:semiHidden/>
    <w:qFormat/>
    <w:uiPriority w:val="99"/>
    <w:pPr>
      <w:jc w:val="left"/>
    </w:pPr>
  </w:style>
  <w:style w:type="paragraph" w:styleId="9">
    <w:name w:val="Body Text"/>
    <w:basedOn w:val="1"/>
    <w:link w:val="33"/>
    <w:qFormat/>
    <w:uiPriority w:val="99"/>
    <w:pPr>
      <w:spacing w:after="120"/>
    </w:pPr>
    <w:rPr>
      <w:rFonts w:ascii="Times New Roman" w:hAnsi="Times New Roman"/>
      <w:szCs w:val="20"/>
    </w:rPr>
  </w:style>
  <w:style w:type="paragraph" w:styleId="10">
    <w:name w:val="toc 5"/>
    <w:basedOn w:val="1"/>
    <w:next w:val="1"/>
    <w:qFormat/>
    <w:uiPriority w:val="99"/>
    <w:pPr>
      <w:ind w:left="840"/>
      <w:jc w:val="left"/>
    </w:pPr>
    <w:rPr>
      <w:sz w:val="18"/>
      <w:szCs w:val="18"/>
    </w:rPr>
  </w:style>
  <w:style w:type="paragraph" w:styleId="11">
    <w:name w:val="toc 3"/>
    <w:basedOn w:val="1"/>
    <w:next w:val="1"/>
    <w:qFormat/>
    <w:uiPriority w:val="99"/>
    <w:pPr>
      <w:ind w:left="420"/>
      <w:jc w:val="left"/>
    </w:pPr>
    <w:rPr>
      <w:i/>
      <w:iCs/>
      <w:sz w:val="20"/>
      <w:szCs w:val="20"/>
    </w:rPr>
  </w:style>
  <w:style w:type="paragraph" w:styleId="12">
    <w:name w:val="Plain Text"/>
    <w:basedOn w:val="1"/>
    <w:link w:val="47"/>
    <w:qFormat/>
    <w:uiPriority w:val="99"/>
    <w:rPr>
      <w:rFonts w:ascii="宋体" w:hAnsi="Courier New" w:eastAsia="仿宋_GB2312"/>
      <w:sz w:val="32"/>
      <w:szCs w:val="21"/>
    </w:rPr>
  </w:style>
  <w:style w:type="paragraph" w:styleId="13">
    <w:name w:val="toc 8"/>
    <w:basedOn w:val="1"/>
    <w:next w:val="1"/>
    <w:qFormat/>
    <w:uiPriority w:val="99"/>
    <w:pPr>
      <w:ind w:left="1470"/>
      <w:jc w:val="left"/>
    </w:pPr>
    <w:rPr>
      <w:sz w:val="18"/>
      <w:szCs w:val="18"/>
    </w:rPr>
  </w:style>
  <w:style w:type="paragraph" w:styleId="14">
    <w:name w:val="Date"/>
    <w:basedOn w:val="1"/>
    <w:next w:val="1"/>
    <w:link w:val="34"/>
    <w:semiHidden/>
    <w:qFormat/>
    <w:uiPriority w:val="99"/>
    <w:pPr>
      <w:ind w:left="100" w:leftChars="2500"/>
    </w:pPr>
  </w:style>
  <w:style w:type="paragraph" w:styleId="15">
    <w:name w:val="Balloon Text"/>
    <w:basedOn w:val="1"/>
    <w:link w:val="35"/>
    <w:semiHidden/>
    <w:qFormat/>
    <w:uiPriority w:val="99"/>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99"/>
    <w:pPr>
      <w:spacing w:before="120" w:after="120"/>
      <w:jc w:val="left"/>
    </w:pPr>
    <w:rPr>
      <w:b/>
      <w:bCs/>
      <w:caps/>
      <w:sz w:val="20"/>
      <w:szCs w:val="20"/>
    </w:rPr>
  </w:style>
  <w:style w:type="paragraph" w:styleId="19">
    <w:name w:val="toc 4"/>
    <w:basedOn w:val="1"/>
    <w:next w:val="1"/>
    <w:qFormat/>
    <w:uiPriority w:val="99"/>
    <w:pPr>
      <w:ind w:left="630"/>
      <w:jc w:val="left"/>
    </w:pPr>
    <w:rPr>
      <w:sz w:val="18"/>
      <w:szCs w:val="18"/>
    </w:rPr>
  </w:style>
  <w:style w:type="paragraph" w:styleId="20">
    <w:name w:val="toc 6"/>
    <w:basedOn w:val="1"/>
    <w:next w:val="1"/>
    <w:qFormat/>
    <w:uiPriority w:val="99"/>
    <w:pPr>
      <w:ind w:left="1050"/>
      <w:jc w:val="left"/>
    </w:pPr>
    <w:rPr>
      <w:sz w:val="18"/>
      <w:szCs w:val="18"/>
    </w:rPr>
  </w:style>
  <w:style w:type="paragraph" w:styleId="21">
    <w:name w:val="toc 2"/>
    <w:basedOn w:val="1"/>
    <w:next w:val="1"/>
    <w:qFormat/>
    <w:uiPriority w:val="99"/>
    <w:pPr>
      <w:tabs>
        <w:tab w:val="right" w:leader="dot" w:pos="8296"/>
      </w:tabs>
      <w:spacing w:line="400" w:lineRule="exact"/>
      <w:ind w:left="210"/>
      <w:jc w:val="left"/>
    </w:pPr>
    <w:rPr>
      <w:smallCaps/>
      <w:sz w:val="20"/>
      <w:szCs w:val="20"/>
    </w:rPr>
  </w:style>
  <w:style w:type="paragraph" w:styleId="22">
    <w:name w:val="toc 9"/>
    <w:basedOn w:val="1"/>
    <w:next w:val="1"/>
    <w:qFormat/>
    <w:uiPriority w:val="99"/>
    <w:pPr>
      <w:ind w:left="1680"/>
      <w:jc w:val="left"/>
    </w:pPr>
    <w:rPr>
      <w:sz w:val="18"/>
      <w:szCs w:val="18"/>
    </w:rPr>
  </w:style>
  <w:style w:type="paragraph" w:styleId="23">
    <w:name w:val="annotation subject"/>
    <w:basedOn w:val="8"/>
    <w:next w:val="8"/>
    <w:link w:val="38"/>
    <w:semiHidden/>
    <w:qFormat/>
    <w:uiPriority w:val="99"/>
    <w:rPr>
      <w:b/>
      <w:bCs/>
    </w:rPr>
  </w:style>
  <w:style w:type="character" w:styleId="26">
    <w:name w:val="Hyperlink"/>
    <w:basedOn w:val="25"/>
    <w:qFormat/>
    <w:uiPriority w:val="99"/>
    <w:rPr>
      <w:rFonts w:cs="Times New Roman"/>
      <w:color w:val="0000FF"/>
      <w:u w:val="single"/>
    </w:rPr>
  </w:style>
  <w:style w:type="character" w:styleId="27">
    <w:name w:val="annotation reference"/>
    <w:basedOn w:val="25"/>
    <w:semiHidden/>
    <w:qFormat/>
    <w:uiPriority w:val="99"/>
    <w:rPr>
      <w:rFonts w:cs="Times New Roman"/>
      <w:sz w:val="21"/>
      <w:szCs w:val="21"/>
    </w:rPr>
  </w:style>
  <w:style w:type="character" w:customStyle="1" w:styleId="28">
    <w:name w:val="标题 1 Char"/>
    <w:basedOn w:val="25"/>
    <w:link w:val="3"/>
    <w:qFormat/>
    <w:locked/>
    <w:uiPriority w:val="99"/>
    <w:rPr>
      <w:rFonts w:cs="Times New Roman"/>
      <w:b/>
      <w:bCs/>
      <w:kern w:val="44"/>
      <w:sz w:val="44"/>
      <w:szCs w:val="44"/>
    </w:rPr>
  </w:style>
  <w:style w:type="character" w:customStyle="1" w:styleId="29">
    <w:name w:val="标题 2 Char"/>
    <w:basedOn w:val="25"/>
    <w:link w:val="4"/>
    <w:qFormat/>
    <w:locked/>
    <w:uiPriority w:val="99"/>
    <w:rPr>
      <w:rFonts w:ascii="Cambria" w:hAnsi="Cambria" w:eastAsia="宋体" w:cs="Times New Roman"/>
      <w:b/>
      <w:bCs/>
      <w:sz w:val="32"/>
      <w:szCs w:val="32"/>
    </w:rPr>
  </w:style>
  <w:style w:type="character" w:customStyle="1" w:styleId="30">
    <w:name w:val="标题 3 Char"/>
    <w:basedOn w:val="25"/>
    <w:link w:val="5"/>
    <w:qFormat/>
    <w:locked/>
    <w:uiPriority w:val="99"/>
    <w:rPr>
      <w:rFonts w:cs="Times New Roman"/>
      <w:b/>
      <w:bCs/>
      <w:sz w:val="32"/>
      <w:szCs w:val="32"/>
    </w:rPr>
  </w:style>
  <w:style w:type="character" w:customStyle="1" w:styleId="31">
    <w:name w:val="标题 4 Char"/>
    <w:basedOn w:val="25"/>
    <w:link w:val="6"/>
    <w:qFormat/>
    <w:locked/>
    <w:uiPriority w:val="99"/>
    <w:rPr>
      <w:rFonts w:ascii="Cambria" w:hAnsi="Cambria" w:eastAsia="宋体" w:cs="Times New Roman"/>
      <w:b/>
      <w:bCs/>
      <w:sz w:val="28"/>
      <w:szCs w:val="28"/>
    </w:rPr>
  </w:style>
  <w:style w:type="character" w:customStyle="1" w:styleId="32">
    <w:name w:val="批注文字 Char"/>
    <w:basedOn w:val="25"/>
    <w:link w:val="8"/>
    <w:semiHidden/>
    <w:qFormat/>
    <w:locked/>
    <w:uiPriority w:val="99"/>
    <w:rPr>
      <w:rFonts w:cs="Times New Roman"/>
      <w:sz w:val="24"/>
      <w:szCs w:val="24"/>
    </w:rPr>
  </w:style>
  <w:style w:type="character" w:customStyle="1" w:styleId="33">
    <w:name w:val="正文文本 Char"/>
    <w:basedOn w:val="25"/>
    <w:link w:val="9"/>
    <w:qFormat/>
    <w:locked/>
    <w:uiPriority w:val="99"/>
    <w:rPr>
      <w:rFonts w:ascii="Times New Roman" w:hAnsi="Times New Roman" w:cs="Times New Roman"/>
      <w:sz w:val="20"/>
      <w:szCs w:val="20"/>
    </w:rPr>
  </w:style>
  <w:style w:type="character" w:customStyle="1" w:styleId="34">
    <w:name w:val="日期 Char"/>
    <w:basedOn w:val="25"/>
    <w:link w:val="14"/>
    <w:semiHidden/>
    <w:qFormat/>
    <w:locked/>
    <w:uiPriority w:val="99"/>
    <w:rPr>
      <w:rFonts w:cs="Times New Roman"/>
      <w:sz w:val="24"/>
      <w:szCs w:val="24"/>
    </w:rPr>
  </w:style>
  <w:style w:type="character" w:customStyle="1" w:styleId="35">
    <w:name w:val="批注框文本 Char"/>
    <w:basedOn w:val="25"/>
    <w:link w:val="15"/>
    <w:semiHidden/>
    <w:qFormat/>
    <w:locked/>
    <w:uiPriority w:val="99"/>
    <w:rPr>
      <w:rFonts w:cs="Times New Roman"/>
      <w:sz w:val="18"/>
      <w:szCs w:val="18"/>
    </w:rPr>
  </w:style>
  <w:style w:type="character" w:customStyle="1" w:styleId="36">
    <w:name w:val="页脚 Char"/>
    <w:basedOn w:val="25"/>
    <w:link w:val="16"/>
    <w:qFormat/>
    <w:locked/>
    <w:uiPriority w:val="99"/>
    <w:rPr>
      <w:rFonts w:cs="Times New Roman"/>
      <w:sz w:val="18"/>
      <w:szCs w:val="18"/>
    </w:rPr>
  </w:style>
  <w:style w:type="character" w:customStyle="1" w:styleId="37">
    <w:name w:val="页眉 Char"/>
    <w:basedOn w:val="25"/>
    <w:link w:val="17"/>
    <w:qFormat/>
    <w:locked/>
    <w:uiPriority w:val="99"/>
    <w:rPr>
      <w:rFonts w:cs="Times New Roman"/>
      <w:sz w:val="18"/>
      <w:szCs w:val="18"/>
    </w:rPr>
  </w:style>
  <w:style w:type="character" w:customStyle="1" w:styleId="38">
    <w:name w:val="批注主题 Char"/>
    <w:basedOn w:val="32"/>
    <w:link w:val="23"/>
    <w:semiHidden/>
    <w:qFormat/>
    <w:locked/>
    <w:uiPriority w:val="99"/>
    <w:rPr>
      <w:b/>
      <w:bCs/>
    </w:rPr>
  </w:style>
  <w:style w:type="paragraph" w:styleId="39">
    <w:name w:val="List Paragraph"/>
    <w:basedOn w:val="1"/>
    <w:link w:val="43"/>
    <w:qFormat/>
    <w:uiPriority w:val="99"/>
    <w:pPr>
      <w:ind w:firstLine="420" w:firstLineChars="200"/>
    </w:pPr>
    <w:rPr>
      <w:rFonts w:ascii="Times New Roman" w:hAnsi="Times New Roman"/>
      <w:kern w:val="0"/>
      <w:sz w:val="24"/>
      <w:szCs w:val="20"/>
    </w:rPr>
  </w:style>
  <w:style w:type="character" w:customStyle="1" w:styleId="40">
    <w:name w:val="闻政标题3 Char"/>
    <w:link w:val="41"/>
    <w:qFormat/>
    <w:locked/>
    <w:uiPriority w:val="99"/>
    <w:rPr>
      <w:rFonts w:ascii="黑体" w:hAnsi="黑体" w:eastAsia="黑体"/>
      <w:sz w:val="32"/>
    </w:rPr>
  </w:style>
  <w:style w:type="paragraph" w:customStyle="1" w:styleId="41">
    <w:name w:val="闻政标题3"/>
    <w:basedOn w:val="5"/>
    <w:link w:val="40"/>
    <w:qFormat/>
    <w:uiPriority w:val="99"/>
    <w:pPr>
      <w:spacing w:before="120" w:after="60" w:line="500" w:lineRule="exact"/>
      <w:jc w:val="left"/>
      <w:outlineLvl w:val="0"/>
    </w:pPr>
    <w:rPr>
      <w:rFonts w:ascii="黑体" w:hAnsi="黑体" w:eastAsia="黑体"/>
      <w:b w:val="0"/>
      <w:bCs w:val="0"/>
      <w:kern w:val="0"/>
      <w:szCs w:val="20"/>
    </w:rPr>
  </w:style>
  <w:style w:type="paragraph" w:customStyle="1" w:styleId="42">
    <w:name w:val="列出段落1"/>
    <w:basedOn w:val="1"/>
    <w:qFormat/>
    <w:uiPriority w:val="99"/>
    <w:pPr>
      <w:ind w:firstLine="420" w:firstLineChars="200"/>
    </w:pPr>
    <w:rPr>
      <w:kern w:val="0"/>
      <w:sz w:val="20"/>
      <w:szCs w:val="20"/>
    </w:rPr>
  </w:style>
  <w:style w:type="character" w:customStyle="1" w:styleId="43">
    <w:name w:val="列出段落 Char"/>
    <w:link w:val="39"/>
    <w:qFormat/>
    <w:locked/>
    <w:uiPriority w:val="99"/>
    <w:rPr>
      <w:sz w:val="24"/>
    </w:rPr>
  </w:style>
  <w:style w:type="paragraph" w:customStyle="1" w:styleId="44">
    <w:name w:val="TOC Heading1"/>
    <w:basedOn w:val="3"/>
    <w:next w:val="1"/>
    <w:semiHidden/>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45">
    <w:name w:val="闻政正文 Char"/>
    <w:link w:val="46"/>
    <w:qFormat/>
    <w:locked/>
    <w:uiPriority w:val="99"/>
    <w:rPr>
      <w:rFonts w:ascii="Times New Roman" w:hAnsi="Times New Roman" w:eastAsia="仿宋_GB2312"/>
      <w:sz w:val="28"/>
    </w:rPr>
  </w:style>
  <w:style w:type="paragraph" w:customStyle="1" w:styleId="46">
    <w:name w:val="闻政正文"/>
    <w:basedOn w:val="1"/>
    <w:link w:val="45"/>
    <w:qFormat/>
    <w:uiPriority w:val="99"/>
    <w:pPr>
      <w:spacing w:line="500" w:lineRule="exact"/>
      <w:ind w:firstLine="560" w:firstLineChars="200"/>
    </w:pPr>
    <w:rPr>
      <w:rFonts w:ascii="Times New Roman" w:hAnsi="Times New Roman" w:eastAsia="仿宋_GB2312"/>
      <w:kern w:val="0"/>
      <w:sz w:val="28"/>
      <w:szCs w:val="20"/>
    </w:rPr>
  </w:style>
  <w:style w:type="character" w:customStyle="1" w:styleId="47">
    <w:name w:val="纯文本 Char"/>
    <w:basedOn w:val="25"/>
    <w:link w:val="12"/>
    <w:qFormat/>
    <w:locked/>
    <w:uiPriority w:val="99"/>
    <w:rPr>
      <w:rFonts w:ascii="宋体" w:hAnsi="Courier New" w:eastAsia="仿宋_GB2312" w:cs="Times New Roman"/>
      <w:kern w:val="2"/>
      <w:sz w:val="21"/>
      <w:szCs w:val="21"/>
      <w:lang w:val="en-US" w:eastAsia="zh-CN" w:bidi="ar-SA"/>
    </w:rPr>
  </w:style>
  <w:style w:type="character" w:customStyle="1" w:styleId="48">
    <w:name w:val="font31"/>
    <w:basedOn w:val="25"/>
    <w:qFormat/>
    <w:uiPriority w:val="0"/>
    <w:rPr>
      <w:rFonts w:hint="eastAsia" w:ascii="方正仿宋_GBK" w:hAnsi="方正仿宋_GBK" w:eastAsia="方正仿宋_GBK" w:cs="方正仿宋_GBK"/>
      <w:color w:val="000000"/>
      <w:sz w:val="24"/>
      <w:szCs w:val="24"/>
      <w:u w:val="none"/>
    </w:rPr>
  </w:style>
  <w:style w:type="paragraph" w:customStyle="1" w:styleId="49">
    <w:name w:val="闻政-正文段落文字"/>
    <w:basedOn w:val="1"/>
    <w:qFormat/>
    <w:uiPriority w:val="3"/>
    <w:pPr>
      <w:spacing w:line="500" w:lineRule="exact"/>
      <w:ind w:firstLine="200" w:firstLineChars="200"/>
    </w:pPr>
    <w:rPr>
      <w:rFonts w:ascii="Times New Roman" w:hAnsi="Times New Roman"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4BBA17-D29F-4B70-BFA9-EA85A830E19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1501</Words>
  <Characters>8560</Characters>
  <Lines>71</Lines>
  <Paragraphs>20</Paragraphs>
  <TotalTime>6</TotalTime>
  <ScaleCrop>false</ScaleCrop>
  <LinksUpToDate>false</LinksUpToDate>
  <CharactersWithSpaces>10041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2020-03-26T06:43:00Z</dcterms:created>
  <dc:creator>jc</dc:creator>
  <cp:lastModifiedBy>dell-dell</cp:lastModifiedBy>
  <cp:lastPrinted>2020-04-17T04:08:00Z</cp:lastPrinted>
  <dcterms:modified xsi:type="dcterms:W3CDTF">2021-05-29T15:50:15Z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9463D3FB9607415BAE55A800F9DFC4A4</vt:lpwstr>
  </property>
  <property fmtid="{D5CDD505-2E9C-101B-9397-08002B2CF9AE}" pid="4" name="KSOSaveFontToCloudKey">
    <vt:lpwstr>229835342_cloud</vt:lpwstr>
  </property>
</Properties>
</file>