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32"/>
          <w:szCs w:val="32"/>
          <w:lang w:eastAsia="zh-CN"/>
        </w:rPr>
      </w:pPr>
      <w:r>
        <w:rPr>
          <w:rFonts w:hint="eastAsia" w:ascii="方正小标宋_GBK" w:hAnsi="方正小标宋_GBK" w:eastAsia="方正小标宋_GBK" w:cs="方正小标宋_GBK"/>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塔城地区本级国有资本收益收取管理办法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（征求意见稿）</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（一）目的依据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为规范塔城地区本级国有资本收益收取行为，建立健全全面规范、有力有效的国有资本收益收取制度，依法依规收取国有资</w:t>
      </w:r>
      <w:r>
        <w:rPr>
          <w:rFonts w:hint="eastAsia" w:ascii="仿宋_GB2312" w:hAnsi="仿宋_GB2312" w:eastAsia="仿宋_GB2312" w:cs="仿宋_GB2312"/>
          <w:color w:val="auto"/>
          <w:sz w:val="32"/>
          <w:szCs w:val="32"/>
        </w:rPr>
        <w:t>本收益，根据《中华人民共和国预算法》《中华人民共和国预算法实施条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例》《中华人民共和国公司法》《中华人民共和国企业国有资产法》《国务院关于进一步深化预算管理制度改革的意见》（国发〔2021〕5号）、《国务院关于进一步完善国有资本经营预算制度的意见》（</w:t>
      </w:r>
      <w:r>
        <w:rPr>
          <w:rFonts w:hint="eastAsia" w:ascii="仿宋" w:hAnsi="仿宋" w:eastAsia="仿宋" w:cs="仿宋"/>
          <w:color w:val="auto"/>
          <w:sz w:val="32"/>
          <w:szCs w:val="32"/>
          <w:lang w:eastAsia="zh-CN"/>
        </w:rPr>
        <w:t>国发</w:t>
      </w:r>
      <w:r>
        <w:rPr>
          <w:rFonts w:hint="eastAsia" w:ascii="仿宋_GB2312" w:hAnsi="仿宋_GB2312" w:eastAsia="仿宋_GB2312" w:cs="仿宋_GB2312"/>
          <w:color w:val="auto"/>
          <w:sz w:val="32"/>
          <w:szCs w:val="32"/>
          <w:lang w:eastAsia="zh-CN"/>
        </w:rPr>
        <w:t>〔2024〕</w:t>
      </w:r>
      <w:r>
        <w:rPr>
          <w:rFonts w:hint="eastAsia" w:ascii="仿宋" w:hAnsi="仿宋" w:eastAsia="仿宋" w:cs="仿宋"/>
          <w:color w:val="auto"/>
          <w:sz w:val="32"/>
          <w:szCs w:val="32"/>
          <w:lang w:eastAsia="zh-CN"/>
        </w:rPr>
        <w:t>2号</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 w:hAnsi="仿宋" w:eastAsia="仿宋" w:cs="仿宋"/>
          <w:color w:val="auto"/>
          <w:sz w:val="32"/>
          <w:szCs w:val="32"/>
          <w:lang w:eastAsia="zh-CN"/>
        </w:rPr>
        <w:t>《自治区人民政府关于进一步深化自治区预算管理制度改革的实施意见》(新政发</w:t>
      </w:r>
      <w:r>
        <w:rPr>
          <w:rFonts w:hint="eastAsia" w:ascii="仿宋_GB2312" w:hAnsi="仿宋_GB2312" w:eastAsia="仿宋_GB2312" w:cs="仿宋_GB2312"/>
          <w:color w:val="auto"/>
          <w:sz w:val="32"/>
          <w:szCs w:val="32"/>
          <w:lang w:eastAsia="zh-CN"/>
        </w:rPr>
        <w:t>〔2021</w:t>
      </w:r>
      <w:r>
        <w:rPr>
          <w:rFonts w:hint="eastAsia" w:ascii="仿宋_GB2312" w:hAnsi="仿宋_GB2312" w:eastAsia="仿宋_GB2312" w:cs="仿宋_GB2312"/>
          <w:color w:val="auto"/>
          <w:sz w:val="32"/>
          <w:szCs w:val="32"/>
        </w:rPr>
        <w:t>〕</w:t>
      </w:r>
      <w:r>
        <w:rPr>
          <w:rFonts w:hint="eastAsia" w:ascii="仿宋" w:hAnsi="仿宋" w:eastAsia="仿宋" w:cs="仿宋"/>
          <w:color w:val="auto"/>
          <w:sz w:val="32"/>
          <w:szCs w:val="32"/>
          <w:lang w:eastAsia="zh-CN"/>
        </w:rPr>
        <w:t>95号)、自治区《关于进一步完善国有资本经营预算管理的通知》（新财企</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r>
        <w:rPr>
          <w:rFonts w:hint="eastAsia" w:ascii="仿宋" w:hAnsi="仿宋" w:eastAsia="仿宋" w:cs="仿宋"/>
          <w:color w:val="auto"/>
          <w:sz w:val="32"/>
          <w:szCs w:val="32"/>
          <w:lang w:val="en-US" w:eastAsia="zh-CN"/>
        </w:rPr>
        <w:t>115</w:t>
      </w:r>
      <w:r>
        <w:rPr>
          <w:rFonts w:hint="eastAsia" w:ascii="仿宋" w:hAnsi="仿宋" w:eastAsia="仿宋" w:cs="仿宋"/>
          <w:color w:val="auto"/>
          <w:sz w:val="32"/>
          <w:szCs w:val="32"/>
          <w:lang w:eastAsia="zh-CN"/>
        </w:rPr>
        <w:t>号）</w:t>
      </w:r>
      <w:r>
        <w:rPr>
          <w:rFonts w:hint="eastAsia" w:ascii="仿宋_GB2312" w:hAnsi="仿宋_GB2312" w:eastAsia="仿宋_GB2312" w:cs="仿宋_GB2312"/>
          <w:color w:val="auto"/>
          <w:sz w:val="32"/>
          <w:szCs w:val="32"/>
        </w:rPr>
        <w:t>等法律法规和政策规定，制定本办法。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塔城地区本级一级国有企业应当按照本办法规定上交国有资本收益。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办法所称塔城地区本级一级国有企业，是指由塔城地区行署授权的机构（部门）履行出资人职责的国有企业和地区党政机关和事业单位所办一级国有企业，以及凭借塔城地区行署权力和信用支持的金融机构（以下简称“国有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本办法所称国有资本收益，是指塔城地区行署以所有者身份从国有企业的国有资产经营活动中获得的收入。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（三）收益构成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国有资本收益包括国有独资企业和国有独资公司应交利润、国有控股和参股企业国有股股息红利、国有产权转让收入、国有企业清算收入等。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国有独资企业和国有独资公司应交利润：国有独资企业和国有独资公司按规定比例向塔城地区行署上交的利润。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国有控股和参股企业国有股股息红利：国有控股、参股企业根据国有股权（股份）占比，向塔城地区行署上交的股利股息。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国有产权转让收入：国有企业依法转让国有股权（股份）取得的转让净收入。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国有企业清算收入：国有企业财产依法按顺序清偿相关费用（债务），职工的工资、社会保险费用和法定补偿金，以及所欠税款和其他债务后应上交给塔城地区行署的收入。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其他国有资本收入。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二、国有资本收益核算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（一）国有独资企业和国有独资公司应交利润核算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国有独资企业和国有独资公司应当以年度归属于母公司所有者的净利润为基础，依法依规扣除以前年度未弥补亏损和提取法定公积金后的剩余部分，按照上交比例，核算应交利润。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以前年度未弥补亏损界定：年度未分配利润期初数与从其他综合收益等项目转出并计入未分配利润的当期发生额之和小于0的部分。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殊情况处理：连续三年期末归属于母公司所有者的净利润大于0且未分配利润小于0的国有独资企业和国有独资公司，且符合《中华人民共和国公司法》相关规定情形的，履行出资人职责的机构应当在第四年要求国有独资企业和国有独资公司办理资本公积金弥补亏损、减少注册资本弥补亏损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履行出资人职责机构界定：本办法所称履行出资人职责的机构，是指经塔城地区行署授权履行出资人职责的国有资产监督管理机构（部门），以及有关地区党政机关和事业单位。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（二）国有控股和参股企业国有股股息红利核算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国有控股和参股企业应当以股东（大）会通过的利润分配方案中明确的利润分配总额为基础，按照国有股权（股份）占总股本（总股份）的比例，核算国有股股息红利。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三、上交比例确定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（一）国有独资企业和国有独资公司应交利润上交比例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分档确定：依据国资统一监管方式或市场监管部门注册登记的国民经济行业门类代码分档确定。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第一档为</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rPr>
        <w:t>：具体涵盖纳入地区国资统一监管范围的商业一类，以及未纳入地区国资统一监管范围的采矿业；制造业；建筑业；交通运输、仓储和邮政业；信息传输、软件和信息技术服务业；金融业；房地产业；科学研究和技术服务业；居民服务、修理和其他服务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第二档为</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rPr>
        <w:t>：具体涵盖纳入地区国资统一监管范围的商业二类，以及未纳入地区国资统一监管范围的批发和零售业；住宿和餐饮业。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档为10%：具体涵盖纳入地区国资统一监管范围的公益类，以及未纳入地区国资统一监管范围的农、林、牧、渔业；电力、热力、燃气及水生产和供应业；租赁和商务服务业；水利、环境和公共设施管理业；文化、体育和娱乐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第四档为0：具体涵盖司法行政监狱、戒毒类。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比例调整：应交利润的上交比例需要作出调整的，由塔城地区财政局会同履行出资人职责的机构提出建议，报塔城地区行署批准后执行。新增企业适用的分类分档上交比例，由塔城地区财政局</w:t>
      </w:r>
      <w:r>
        <w:rPr>
          <w:rFonts w:hint="eastAsia" w:ascii="仿宋_GB2312" w:hAnsi="仿宋_GB2312" w:eastAsia="仿宋_GB2312" w:cs="仿宋_GB2312"/>
          <w:color w:val="auto"/>
          <w:sz w:val="32"/>
          <w:szCs w:val="32"/>
          <w:highlight w:val="none"/>
        </w:rPr>
        <w:t>商</w:t>
      </w:r>
      <w:r>
        <w:rPr>
          <w:rFonts w:hint="eastAsia" w:ascii="仿宋_GB2312" w:hAnsi="仿宋_GB2312" w:eastAsia="仿宋_GB2312" w:cs="仿宋_GB2312"/>
          <w:color w:val="auto"/>
          <w:sz w:val="32"/>
          <w:szCs w:val="32"/>
        </w:rPr>
        <w:t>履行出资人职责的机构审核确认，法律法规另有规定的，依其规定执行。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监管方式界定：本办法所称纳入地区国资统一监管，是指经塔城地区行署授权，由地区国资委作为履行出资人职责的机构对国有企业实施监管的具体方式。本办法所称未纳入地区国资统一监管，是指由有关地区党政机关和事业单位作为履行出资人职责的机构对国有企业实施监管的具体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（二）国有控股和参股企业利润分配原则</w:t>
      </w:r>
    </w:p>
    <w:p>
      <w:pPr>
        <w:pStyle w:val="2"/>
        <w:keepNext w:val="0"/>
        <w:keepLines w:val="0"/>
        <w:pageBreakBefore w:val="0"/>
        <w:widowControl w:val="0"/>
        <w:kinsoku/>
        <w:wordWrap/>
        <w:overflowPunct/>
        <w:topLinePunct w:val="0"/>
        <w:autoSpaceDE/>
        <w:autoSpaceDN/>
        <w:bidi w:val="0"/>
        <w:adjustRightInd/>
        <w:snapToGrid/>
        <w:spacing w:line="560" w:lineRule="exact"/>
        <w:ind w:right="22"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履行出资人职责的机构应当综合考虑国有经济布局优化和结构调整总体要求和企业所处行业特点、发展阶段、财务状况、发展规划以及其他股东意见等，研究提出国有控股、参股企业利润分配意见，利润分配原则上不低于同类国有独资企业和国有独资公司收益上交水平。履行出资人职责的机构应当督促国有控股和参股企业依法及时制定利润分配方案，股东(大)会审议决定上年利润分配方案的时间原则上不晚于当年6月底。国有控股、参股企业应当在利润分配方案通过后20个工作日内按规定上交国有股股息红利。股东(大)会决定不分配利润的，应当向履行出资人职责的机构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四、特殊情形收益上交规定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（一）代持股权收益上交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有企业经塔城地区行署批准，代履行出资人职责的机构持有其他国有企业股权的，履行出资人职责的机构对其他国有企业享有收益权、处置权、知情权，不改变现行国有资产监管体制。其他国有企业应当按照本办法相关规定将国有资本收益单独上交履行出资人职责的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（二）事业单位所办企业收益上交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执行财政经费差额管理或自收自支管理的事业单位，其所办国有企业应交利润或国有股股息红利纳入部门预算管理，用于平衡部门预算收支，资金不实行国库集中收缴；其所办国有企业国有产权转让收入、国有企业清算收入纳入国有资本经营预算管理，资金实行国库集中收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国有产权转让收入</w:t>
      </w:r>
      <w:r>
        <w:rPr>
          <w:rFonts w:hint="eastAsia" w:ascii="楷体_GB2312" w:hAnsi="楷体_GB2312" w:eastAsia="楷体_GB2312" w:cs="楷体_GB2312"/>
          <w:sz w:val="32"/>
          <w:szCs w:val="32"/>
          <w:lang w:eastAsia="zh-CN"/>
        </w:rPr>
        <w:t>上交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履行出资人职责的机构应当根据转让行为决策文件、国有股权(股份)转让合同、经核准的资产评估报告等，按照国有股权(股份)占总股本(总股份)的比例，据实核算上交国有产权转让收入。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（四）清算收入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履行出资人职责的机构应当根据地区人民政府批准文件、经股东(大)会、职工代表大会、债权人会议和人民法院确认的清算报告或财产分配方案等，按照国有股权(股份)占总股本(总股份)的比例，据实核算上交清算收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五、收益收取程序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（一）企业申报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国有企业应当结合本企业的具体情况，按规定向履行出资人职责的机构申报国有资本收益。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上交应交利润：国有企业应当据实填报《国有企业国有资本收益（应交利润）申报表》，并附送上年度财务会计报告和中国注册会计师出具的审计报告。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上交股息红利：国有企业应当在股东（大）会表决利润分配方案后20日内，据实填报《国有企业国有资本收益（国有股股息红利）申报表》，并附送股东（大）会的决议文件。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上交国有产权转让收入：国有企业应当在签订国有股权（股份）转让合同并实际收到转让收入后10日内，由国有企业或履行出资人职责的机构据实填报《国有企业国有资本收益（国有产权转让收入）申报表》，并附送转让行为决策文件、国有股权（股份）转让合同、经核准的资产评估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上交清算收入：国有企业应当在清算程序结束后10日内，由清算组或履行出资人职责的机构据实填报《国有企业国有资本收益（企业清算收入）申报表》，并附送塔城地区行署批准文件，经股东（大）会、职工代表大会、债权人会议和人民法院确认的清算报告或财产分配方案，清算财产执行情况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（二）机构审核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履行出资人职责的机构应在收到国有企业申报文件及相关工作资料10个工作日内提出审核意见并报送塔城地区财政局复核。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（三）财政复核与下达文件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塔城地区财政局应在收到履行出资人职责的机构审核意见后20个工作日内提出复核意见并向履行出资人职责的机构下达国有资本收益收取文件，明确收取金额、收取方式、上交时间等。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（四）下达通知书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履行出资人职责的机构收到塔城地区财政局国有资本收益收取文件后5个工作日内，向国有企业下达国有资本收益上</w:t>
      </w:r>
      <w:r>
        <w:rPr>
          <w:rFonts w:hint="eastAsia" w:ascii="仿宋_GB2312" w:hAnsi="仿宋_GB2312" w:eastAsia="仿宋_GB2312" w:cs="仿宋_GB2312"/>
          <w:color w:val="auto"/>
          <w:sz w:val="32"/>
          <w:szCs w:val="32"/>
          <w:lang w:eastAsia="zh-CN"/>
        </w:rPr>
        <w:t>交</w:t>
      </w:r>
      <w:r>
        <w:rPr>
          <w:rFonts w:hint="eastAsia" w:ascii="仿宋_GB2312" w:hAnsi="仿宋_GB2312" w:eastAsia="仿宋_GB2312" w:cs="仿宋_GB2312"/>
          <w:color w:val="auto"/>
          <w:sz w:val="32"/>
          <w:szCs w:val="32"/>
        </w:rPr>
        <w:t>通知书。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（五）企业缴库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国有企业收到履行出资人职责的机构下达的国有资本收益上交通知书后20个工作日内到塔城地区财政局办理非税收入缴库手续。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六、监督管理与责任追究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（一）执收上交要求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塔城地区财政局、履行出资人职责的机构和国有企业应当按规定执收和上交国有资本收益，不得多收、提前收取，或者自行减征、免征应交的国有资本收益。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（二）会计工作要求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国有企业必须依法设置会计账</w:t>
      </w:r>
      <w:r>
        <w:rPr>
          <w:rFonts w:hint="eastAsia" w:ascii="仿宋_GB2312" w:hAnsi="仿宋_GB2312" w:eastAsia="仿宋_GB2312" w:cs="仿宋_GB2312"/>
          <w:color w:val="auto"/>
          <w:sz w:val="32"/>
          <w:szCs w:val="32"/>
          <w:lang w:eastAsia="zh-CN"/>
        </w:rPr>
        <w:t>簿</w:t>
      </w:r>
      <w:r>
        <w:rPr>
          <w:rFonts w:hint="eastAsia" w:ascii="仿宋_GB2312" w:hAnsi="仿宋_GB2312" w:eastAsia="仿宋_GB2312" w:cs="仿宋_GB2312"/>
          <w:color w:val="auto"/>
          <w:sz w:val="32"/>
          <w:szCs w:val="32"/>
        </w:rPr>
        <w:t>，并保证其真实、完整。国有企业负责人对本单位的会计工作和会计资料的真实性、完整性负责。履行出资人职责的机构根据需要，可以委托会计师事务所对国有企业的年度财务会计报告进行审计，对国有企业上交国有资本收益实施管理监督，维护国有资本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（三）违规责任追究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国有企业具有不依法设置会计账</w:t>
      </w:r>
      <w:r>
        <w:rPr>
          <w:rFonts w:hint="eastAsia" w:ascii="仿宋_GB2312" w:hAnsi="仿宋_GB2312" w:eastAsia="仿宋_GB2312" w:cs="仿宋_GB2312"/>
          <w:color w:val="auto"/>
          <w:sz w:val="32"/>
          <w:szCs w:val="32"/>
          <w:lang w:eastAsia="zh-CN"/>
        </w:rPr>
        <w:t>簿</w:t>
      </w:r>
      <w:r>
        <w:rPr>
          <w:rFonts w:hint="eastAsia" w:ascii="仿宋_GB2312" w:hAnsi="仿宋_GB2312" w:eastAsia="仿宋_GB2312" w:cs="仿宋_GB2312"/>
          <w:color w:val="auto"/>
          <w:sz w:val="32"/>
          <w:szCs w:val="32"/>
        </w:rPr>
        <w:t>，随意变更会计处理方法，不如实向资产评估机构、会计师事务所提供有关情况和资料，或者与资产评估机构、会计师事务所串通出具虚假资产评估报告、审计报告，以及向不同的会计资料使用者提供的财务会计报告编制依据不一致等行为的，依据相关法律法规追究其相应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履行出资人职责的机构或者国有企业违反法定的权限、程序，决定国有资本收益收取上交事项，造成国有资产损失的，或者违反国家财政收入管理规定的，依据相关法律法规追究其相应责任。</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eastAsia="zh-CN"/>
        </w:rPr>
      </w:pPr>
      <w:r>
        <w:rPr>
          <w:rFonts w:hint="eastAsia" w:ascii="仿宋_GB2312" w:hAnsi="仿宋_GB2312" w:eastAsia="仿宋_GB2312" w:cs="仿宋_GB2312"/>
          <w:color w:val="auto"/>
          <w:sz w:val="32"/>
          <w:szCs w:val="32"/>
          <w:lang w:val="en-US" w:eastAsia="zh-CN"/>
        </w:rPr>
        <w:t>本</w:t>
      </w:r>
      <w:r>
        <w:rPr>
          <w:rFonts w:hint="default" w:ascii="仿宋_GB2312" w:hAnsi="仿宋_GB2312" w:eastAsia="仿宋_GB2312" w:cs="仿宋_GB2312"/>
          <w:color w:val="auto"/>
          <w:sz w:val="32"/>
          <w:szCs w:val="32"/>
          <w:lang w:val="en-US" w:eastAsia="zh-CN"/>
        </w:rPr>
        <w:t>办法自</w:t>
      </w:r>
      <w:r>
        <w:rPr>
          <w:rFonts w:hint="eastAsia" w:ascii="仿宋_GB2312" w:hAnsi="仿宋_GB2312" w:eastAsia="仿宋_GB2312" w:cs="仿宋_GB2312"/>
          <w:color w:val="auto"/>
          <w:sz w:val="32"/>
          <w:szCs w:val="32"/>
          <w:lang w:val="en-US" w:eastAsia="zh-CN"/>
        </w:rPr>
        <w:t>印发之日</w:t>
      </w:r>
      <w:r>
        <w:rPr>
          <w:rFonts w:hint="default" w:ascii="仿宋_GB2312" w:hAnsi="仿宋_GB2312" w:eastAsia="仿宋_GB2312" w:cs="仿宋_GB2312"/>
          <w:color w:val="auto"/>
          <w:sz w:val="32"/>
          <w:szCs w:val="32"/>
          <w:lang w:val="en-US" w:eastAsia="zh-CN"/>
        </w:rPr>
        <w:t>起施行</w:t>
      </w:r>
      <w:r>
        <w:rPr>
          <w:rFonts w:hint="eastAsia" w:ascii="仿宋_GB2312" w:hAnsi="仿宋_GB2312" w:eastAsia="仿宋_GB2312" w:cs="仿宋_GB2312"/>
          <w:color w:val="auto"/>
          <w:sz w:val="32"/>
          <w:szCs w:val="32"/>
          <w:lang w:val="en-US" w:eastAsia="zh-CN"/>
        </w:rPr>
        <w:t>，地区</w:t>
      </w:r>
      <w:r>
        <w:rPr>
          <w:rFonts w:hint="default" w:ascii="仿宋_GB2312" w:hAnsi="仿宋_GB2312" w:eastAsia="仿宋_GB2312" w:cs="仿宋_GB2312"/>
          <w:color w:val="auto"/>
          <w:sz w:val="32"/>
          <w:szCs w:val="32"/>
          <w:lang w:val="en-US" w:eastAsia="zh-CN"/>
        </w:rPr>
        <w:t>财政局《关于印发〈</w:t>
      </w:r>
      <w:r>
        <w:rPr>
          <w:rFonts w:hint="eastAsia" w:ascii="仿宋_GB2312" w:hAnsi="仿宋_GB2312" w:eastAsia="仿宋_GB2312" w:cs="仿宋_GB2312"/>
          <w:color w:val="auto"/>
          <w:sz w:val="32"/>
          <w:szCs w:val="32"/>
          <w:lang w:val="en-US" w:eastAsia="zh-CN"/>
        </w:rPr>
        <w:t>塔城地区</w:t>
      </w:r>
      <w:r>
        <w:rPr>
          <w:rFonts w:hint="default" w:ascii="仿宋_GB2312" w:hAnsi="仿宋_GB2312" w:eastAsia="仿宋_GB2312" w:cs="仿宋_GB2312"/>
          <w:color w:val="auto"/>
          <w:sz w:val="32"/>
          <w:szCs w:val="32"/>
          <w:lang w:val="en-US" w:eastAsia="zh-CN"/>
        </w:rPr>
        <w:t>本级企业国有资本收益管理</w:t>
      </w:r>
      <w:r>
        <w:rPr>
          <w:rFonts w:hint="eastAsia" w:ascii="仿宋_GB2312" w:hAnsi="仿宋_GB2312" w:eastAsia="仿宋_GB2312" w:cs="仿宋_GB2312"/>
          <w:color w:val="auto"/>
          <w:sz w:val="32"/>
          <w:szCs w:val="32"/>
          <w:lang w:val="en-US" w:eastAsia="zh-CN"/>
        </w:rPr>
        <w:t>暂行</w:t>
      </w:r>
      <w:r>
        <w:rPr>
          <w:rFonts w:hint="default" w:ascii="仿宋_GB2312" w:hAnsi="仿宋_GB2312" w:eastAsia="仿宋_GB2312" w:cs="仿宋_GB2312"/>
          <w:color w:val="auto"/>
          <w:sz w:val="32"/>
          <w:szCs w:val="32"/>
          <w:lang w:val="en-US" w:eastAsia="zh-CN"/>
        </w:rPr>
        <w:t>办法〉的通知》（</w:t>
      </w:r>
      <w:r>
        <w:rPr>
          <w:rFonts w:hint="eastAsia" w:ascii="仿宋_GB2312" w:hAnsi="仿宋_GB2312" w:eastAsia="仿宋_GB2312" w:cs="仿宋_GB2312"/>
          <w:color w:val="auto"/>
          <w:sz w:val="32"/>
          <w:szCs w:val="32"/>
          <w:lang w:val="en-US" w:eastAsia="zh-CN"/>
        </w:rPr>
        <w:t>塔地</w:t>
      </w:r>
      <w:r>
        <w:rPr>
          <w:rFonts w:hint="default" w:ascii="仿宋_GB2312" w:hAnsi="仿宋_GB2312" w:eastAsia="仿宋_GB2312" w:cs="仿宋_GB2312"/>
          <w:color w:val="auto"/>
          <w:sz w:val="32"/>
          <w:szCs w:val="32"/>
          <w:lang w:val="en-US" w:eastAsia="zh-CN"/>
        </w:rPr>
        <w:t>财</w:t>
      </w:r>
      <w:r>
        <w:rPr>
          <w:rFonts w:hint="eastAsia" w:ascii="仿宋_GB2312" w:hAnsi="仿宋_GB2312" w:eastAsia="仿宋_GB2312" w:cs="仿宋_GB2312"/>
          <w:color w:val="auto"/>
          <w:sz w:val="32"/>
          <w:szCs w:val="32"/>
          <w:lang w:val="en-US" w:eastAsia="zh-CN"/>
        </w:rPr>
        <w:t>企</w:t>
      </w:r>
      <w:r>
        <w:rPr>
          <w:rFonts w:hint="default" w:ascii="仿宋_GB2312" w:hAnsi="仿宋_GB2312" w:eastAsia="仿宋_GB2312" w:cs="仿宋_GB2312"/>
          <w:color w:val="auto"/>
          <w:sz w:val="32"/>
          <w:szCs w:val="32"/>
          <w:lang w:val="en-US" w:eastAsia="zh-CN"/>
        </w:rPr>
        <w:t>〔201</w:t>
      </w:r>
      <w:r>
        <w:rPr>
          <w:rFonts w:hint="eastAsia" w:ascii="仿宋_GB2312" w:hAnsi="仿宋_GB2312" w:eastAsia="仿宋_GB2312" w:cs="仿宋_GB2312"/>
          <w:color w:val="auto"/>
          <w:sz w:val="32"/>
          <w:szCs w:val="32"/>
          <w:lang w:val="en-US" w:eastAsia="zh-CN"/>
        </w:rPr>
        <w:t>3</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7</w:t>
      </w:r>
      <w:r>
        <w:rPr>
          <w:rFonts w:hint="default" w:ascii="仿宋_GB2312" w:hAnsi="仿宋_GB2312" w:eastAsia="仿宋_GB2312" w:cs="仿宋_GB2312"/>
          <w:color w:val="auto"/>
          <w:sz w:val="32"/>
          <w:szCs w:val="32"/>
          <w:lang w:val="en-US" w:eastAsia="zh-CN"/>
        </w:rPr>
        <w:t>4号）同时废止</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本办法由塔城地区财政局负责解释。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eastAsia="仿宋_GB2312" w:cs="仿宋_GB2312"/>
          <w:color w:val="auto"/>
          <w:sz w:val="32"/>
          <w:szCs w:val="32"/>
          <w:lang w:eastAsia="zh-CN"/>
        </w:rPr>
        <w:t>表</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塔城地区本级</w:t>
      </w:r>
      <w:r>
        <w:rPr>
          <w:rFonts w:hint="eastAsia" w:ascii="仿宋_GB2312" w:hAnsi="仿宋_GB2312" w:eastAsia="仿宋_GB2312" w:cs="仿宋_GB2312"/>
          <w:color w:val="auto"/>
          <w:sz w:val="32"/>
          <w:szCs w:val="32"/>
        </w:rPr>
        <w:t>国有企业国</w:t>
      </w:r>
      <w:bookmarkStart w:id="0" w:name="_GoBack"/>
      <w:bookmarkEnd w:id="0"/>
      <w:r>
        <w:rPr>
          <w:rFonts w:hint="eastAsia" w:ascii="仿宋_GB2312" w:hAnsi="仿宋_GB2312" w:eastAsia="仿宋_GB2312" w:cs="仿宋_GB2312"/>
          <w:color w:val="auto"/>
          <w:sz w:val="32"/>
          <w:szCs w:val="32"/>
        </w:rPr>
        <w:t>有资本收益(应交利润)申报表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塔城地区本级</w:t>
      </w:r>
      <w:r>
        <w:rPr>
          <w:rFonts w:hint="eastAsia" w:ascii="仿宋_GB2312" w:hAnsi="仿宋_GB2312" w:eastAsia="仿宋_GB2312" w:cs="仿宋_GB2312"/>
          <w:color w:val="auto"/>
          <w:sz w:val="32"/>
          <w:szCs w:val="32"/>
        </w:rPr>
        <w:t>国有企业国有资本收益(国有股股息红利)申报表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塔城地区本级</w:t>
      </w:r>
      <w:r>
        <w:rPr>
          <w:rFonts w:hint="eastAsia" w:ascii="仿宋_GB2312" w:hAnsi="仿宋_GB2312" w:eastAsia="仿宋_GB2312" w:cs="仿宋_GB2312"/>
          <w:color w:val="auto"/>
          <w:w w:val="90"/>
          <w:sz w:val="32"/>
          <w:szCs w:val="32"/>
        </w:rPr>
        <w:t>国有企业国有资本收益(国有产权转让收入)申报表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eastAsia="仿宋_GB2312"/>
          <w:color w:val="auto"/>
          <w:sz w:val="31"/>
          <w:szCs w:val="31"/>
          <w:lang w:eastAsia="zh-CN"/>
        </w:rPr>
        <w:sectPr>
          <w:footerReference r:id="rId3" w:type="default"/>
          <w:pgSz w:w="11900" w:h="16830"/>
          <w:pgMar w:top="1430" w:right="1599" w:bottom="1716" w:left="1480" w:header="0" w:footer="1311" w:gutter="0"/>
          <w:pgNumType w:fmt="decimal"/>
          <w:cols w:space="720" w:num="1"/>
        </w:sect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eastAsia="zh-CN"/>
        </w:rPr>
        <w:t>塔城地区本级</w:t>
      </w:r>
      <w:r>
        <w:rPr>
          <w:rFonts w:hint="eastAsia" w:ascii="仿宋_GB2312" w:hAnsi="仿宋_GB2312" w:eastAsia="仿宋_GB2312" w:cs="仿宋_GB2312"/>
          <w:color w:val="auto"/>
          <w:sz w:val="32"/>
          <w:szCs w:val="32"/>
        </w:rPr>
        <w:t>国有企业国有资本收益(企业清算收入)申</w:t>
      </w:r>
      <w:r>
        <w:rPr>
          <w:rFonts w:hint="eastAsia" w:ascii="仿宋_GB2312" w:hAnsi="仿宋_GB2312" w:eastAsia="仿宋_GB2312" w:cs="仿宋_GB2312"/>
          <w:color w:val="auto"/>
          <w:sz w:val="32"/>
          <w:szCs w:val="32"/>
          <w:lang w:eastAsia="zh-CN"/>
        </w:rPr>
        <w:t>报表</w:t>
      </w:r>
    </w:p>
    <w:tbl>
      <w:tblPr>
        <w:tblW w:w="90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57"/>
        <w:gridCol w:w="1075"/>
        <w:gridCol w:w="1075"/>
        <w:gridCol w:w="1075"/>
        <w:gridCol w:w="1075"/>
        <w:gridCol w:w="733"/>
        <w:gridCol w:w="1076"/>
        <w:gridCol w:w="881"/>
        <w:gridCol w:w="1075"/>
        <w:gridCol w:w="5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0" w:hRule="atLeast"/>
        </w:trPr>
        <w:tc>
          <w:tcPr>
            <w:tcW w:w="9090" w:type="dxa"/>
            <w:gridSpan w:val="10"/>
            <w:tcBorders>
              <w:top w:val="nil"/>
              <w:left w:val="nil"/>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塔城地区本级国有企业国有资本收益（应交利润）申报表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9090" w:type="dxa"/>
            <w:gridSpan w:val="10"/>
            <w:tcBorders>
              <w:top w:val="nil"/>
              <w:left w:val="nil"/>
              <w:bottom w:val="nil"/>
              <w:right w:val="nil"/>
            </w:tcBorders>
            <w:shd w:val="clear"/>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20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9090" w:type="dxa"/>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申报单位基本情况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366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企业名称</w:t>
            </w:r>
          </w:p>
        </w:tc>
        <w:tc>
          <w:tcPr>
            <w:tcW w:w="5430" w:type="dxa"/>
            <w:gridSpan w:val="6"/>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3660" w:type="dxa"/>
            <w:gridSpan w:val="4"/>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注册地址</w:t>
            </w:r>
          </w:p>
        </w:tc>
        <w:tc>
          <w:tcPr>
            <w:tcW w:w="5430" w:type="dxa"/>
            <w:gridSpan w:val="6"/>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3660" w:type="dxa"/>
            <w:gridSpan w:val="4"/>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组织形式</w:t>
            </w:r>
          </w:p>
        </w:tc>
        <w:tc>
          <w:tcPr>
            <w:tcW w:w="5430" w:type="dxa"/>
            <w:gridSpan w:val="6"/>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0" w:hRule="atLeast"/>
        </w:trPr>
        <w:tc>
          <w:tcPr>
            <w:tcW w:w="3660" w:type="dxa"/>
            <w:gridSpan w:val="4"/>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（国有企业或国有独资公司）</w:t>
            </w:r>
          </w:p>
        </w:tc>
        <w:tc>
          <w:tcPr>
            <w:tcW w:w="5430" w:type="dxa"/>
            <w:gridSpan w:val="6"/>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3660" w:type="dxa"/>
            <w:gridSpan w:val="4"/>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所处行业</w:t>
            </w:r>
          </w:p>
        </w:tc>
        <w:tc>
          <w:tcPr>
            <w:tcW w:w="5430" w:type="dxa"/>
            <w:gridSpan w:val="6"/>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366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注册资本</w:t>
            </w:r>
          </w:p>
        </w:tc>
        <w:tc>
          <w:tcPr>
            <w:tcW w:w="5430" w:type="dxa"/>
            <w:gridSpan w:val="6"/>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366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开户银行</w:t>
            </w:r>
          </w:p>
        </w:tc>
        <w:tc>
          <w:tcPr>
            <w:tcW w:w="5430" w:type="dxa"/>
            <w:gridSpan w:val="6"/>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366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银行账号</w:t>
            </w:r>
          </w:p>
        </w:tc>
        <w:tc>
          <w:tcPr>
            <w:tcW w:w="5430" w:type="dxa"/>
            <w:gridSpan w:val="6"/>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366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财务经理</w:t>
            </w:r>
          </w:p>
        </w:tc>
        <w:tc>
          <w:tcPr>
            <w:tcW w:w="5430" w:type="dxa"/>
            <w:gridSpan w:val="6"/>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366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联系电话</w:t>
            </w:r>
          </w:p>
        </w:tc>
        <w:tc>
          <w:tcPr>
            <w:tcW w:w="5430" w:type="dxa"/>
            <w:gridSpan w:val="6"/>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9090" w:type="dxa"/>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应交国有资本收益申报情况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42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c>
          <w:tcPr>
            <w:tcW w:w="324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  目</w:t>
            </w:r>
          </w:p>
        </w:tc>
        <w:tc>
          <w:tcPr>
            <w:tcW w:w="181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申报数</w:t>
            </w:r>
          </w:p>
        </w:tc>
        <w:tc>
          <w:tcPr>
            <w:tcW w:w="196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国有资产监管部门</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审核数</w:t>
            </w:r>
          </w:p>
        </w:tc>
        <w:tc>
          <w:tcPr>
            <w:tcW w:w="165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财政局</w:t>
            </w:r>
            <w:r>
              <w:rPr>
                <w:rFonts w:hint="eastAsia" w:ascii="宋体" w:hAnsi="宋体" w:eastAsia="宋体" w:cs="宋体"/>
                <w:i w:val="0"/>
                <w:iCs w:val="0"/>
                <w:color w:val="000000"/>
                <w:kern w:val="0"/>
                <w:sz w:val="24"/>
                <w:szCs w:val="24"/>
                <w:u w:val="none"/>
                <w:bdr w:val="none" w:color="auto" w:sz="0" w:space="0"/>
                <w:lang w:val="en-US" w:eastAsia="zh-CN" w:bidi="ar"/>
              </w:rPr>
              <w:t>复核数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324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合并净利润</w:t>
            </w:r>
          </w:p>
        </w:tc>
        <w:tc>
          <w:tcPr>
            <w:tcW w:w="181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96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324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减：少数股东损益</w:t>
            </w:r>
          </w:p>
        </w:tc>
        <w:tc>
          <w:tcPr>
            <w:tcW w:w="181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96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324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归属于母公司所有者的净利润</w:t>
            </w:r>
          </w:p>
        </w:tc>
        <w:tc>
          <w:tcPr>
            <w:tcW w:w="181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96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324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减：以前年度弥补亏损</w:t>
            </w:r>
          </w:p>
        </w:tc>
        <w:tc>
          <w:tcPr>
            <w:tcW w:w="181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96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42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c>
          <w:tcPr>
            <w:tcW w:w="324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减：提取法定公积金</w:t>
            </w:r>
          </w:p>
        </w:tc>
        <w:tc>
          <w:tcPr>
            <w:tcW w:w="181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96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324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上交利润基数</w:t>
            </w:r>
          </w:p>
        </w:tc>
        <w:tc>
          <w:tcPr>
            <w:tcW w:w="181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96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324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上交利润比例</w:t>
            </w:r>
          </w:p>
        </w:tc>
        <w:tc>
          <w:tcPr>
            <w:tcW w:w="181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96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324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本期应交利润</w:t>
            </w:r>
          </w:p>
        </w:tc>
        <w:tc>
          <w:tcPr>
            <w:tcW w:w="181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96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324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加：以前年度欠交利润</w:t>
            </w:r>
          </w:p>
        </w:tc>
        <w:tc>
          <w:tcPr>
            <w:tcW w:w="181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96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324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减：本期已交利润</w:t>
            </w:r>
          </w:p>
        </w:tc>
        <w:tc>
          <w:tcPr>
            <w:tcW w:w="181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96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324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应交（退）利润余额</w:t>
            </w:r>
          </w:p>
        </w:tc>
        <w:tc>
          <w:tcPr>
            <w:tcW w:w="181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96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9090" w:type="dxa"/>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附送资料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9090" w:type="dxa"/>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  经会计师事务所审计的年度财务报告和审计报告； 2、 其他印证资料。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420" w:type="dxa"/>
            <w:tcBorders>
              <w:top w:val="nil"/>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声</w:t>
            </w:r>
          </w:p>
        </w:tc>
        <w:tc>
          <w:tcPr>
            <w:tcW w:w="8670" w:type="dxa"/>
            <w:gridSpan w:val="9"/>
            <w:tcBorders>
              <w:top w:val="nil"/>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 xml:space="preserve">     本公司对以上情况及申报资料的真实性承担法律责任。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0" w:hRule="atLeast"/>
        </w:trPr>
        <w:tc>
          <w:tcPr>
            <w:tcW w:w="420" w:type="dxa"/>
            <w:tcBorders>
              <w:top w:val="nil"/>
              <w:left w:val="single" w:color="000000" w:sz="4" w:space="0"/>
              <w:bottom w:val="nil"/>
              <w:right w:val="single" w:color="000000" w:sz="4" w:space="0"/>
            </w:tcBorders>
            <w:shd w:val="clear"/>
            <w:vAlign w:val="center"/>
          </w:tcPr>
          <w:p>
            <w:pPr>
              <w:rPr>
                <w:rFonts w:hint="eastAsia" w:ascii="宋体" w:hAnsi="宋体" w:eastAsia="宋体" w:cs="宋体"/>
                <w:b/>
                <w:bCs/>
                <w:i w:val="0"/>
                <w:iCs w:val="0"/>
                <w:color w:val="000000"/>
                <w:sz w:val="24"/>
                <w:szCs w:val="24"/>
                <w:u w:val="none"/>
              </w:rPr>
            </w:pPr>
          </w:p>
        </w:tc>
        <w:tc>
          <w:tcPr>
            <w:tcW w:w="1080" w:type="dxa"/>
            <w:tcBorders>
              <w:top w:val="nil"/>
              <w:left w:val="single" w:color="000000" w:sz="4" w:space="0"/>
              <w:bottom w:val="nil"/>
              <w:right w:val="nil"/>
            </w:tcBorders>
            <w:shd w:val="clear"/>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vAlign w:val="center"/>
          </w:tcPr>
          <w:p>
            <w:pPr>
              <w:rPr>
                <w:rFonts w:hint="eastAsia" w:ascii="宋体" w:hAnsi="宋体" w:eastAsia="宋体" w:cs="宋体"/>
                <w:i w:val="0"/>
                <w:iCs w:val="0"/>
                <w:color w:val="000000"/>
                <w:sz w:val="24"/>
                <w:szCs w:val="24"/>
                <w:u w:val="none"/>
              </w:rPr>
            </w:pPr>
          </w:p>
        </w:tc>
        <w:tc>
          <w:tcPr>
            <w:tcW w:w="735" w:type="dxa"/>
            <w:tcBorders>
              <w:top w:val="nil"/>
              <w:left w:val="nil"/>
              <w:bottom w:val="nil"/>
              <w:right w:val="nil"/>
            </w:tcBorders>
            <w:shd w:val="clear"/>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vAlign w:val="center"/>
          </w:tcPr>
          <w:p>
            <w:pPr>
              <w:rPr>
                <w:rFonts w:hint="eastAsia" w:ascii="宋体" w:hAnsi="宋体" w:eastAsia="宋体" w:cs="宋体"/>
                <w:i w:val="0"/>
                <w:iCs w:val="0"/>
                <w:color w:val="000000"/>
                <w:sz w:val="24"/>
                <w:szCs w:val="24"/>
                <w:u w:val="none"/>
              </w:rPr>
            </w:pPr>
          </w:p>
        </w:tc>
        <w:tc>
          <w:tcPr>
            <w:tcW w:w="885" w:type="dxa"/>
            <w:tcBorders>
              <w:top w:val="nil"/>
              <w:left w:val="nil"/>
              <w:bottom w:val="nil"/>
              <w:right w:val="nil"/>
            </w:tcBorders>
            <w:shd w:val="clear"/>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vAlign w:val="center"/>
          </w:tcPr>
          <w:p>
            <w:pPr>
              <w:rPr>
                <w:rFonts w:hint="eastAsia" w:ascii="宋体" w:hAnsi="宋体" w:eastAsia="宋体" w:cs="宋体"/>
                <w:i w:val="0"/>
                <w:iCs w:val="0"/>
                <w:color w:val="000000"/>
                <w:sz w:val="24"/>
                <w:szCs w:val="24"/>
                <w:u w:val="none"/>
              </w:rPr>
            </w:pPr>
          </w:p>
        </w:tc>
        <w:tc>
          <w:tcPr>
            <w:tcW w:w="570" w:type="dxa"/>
            <w:tcBorders>
              <w:top w:val="nil"/>
              <w:left w:val="nil"/>
              <w:bottom w:val="nil"/>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420" w:type="dxa"/>
            <w:vMerge w:val="restart"/>
            <w:tcBorders>
              <w:top w:val="nil"/>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明</w:t>
            </w:r>
          </w:p>
        </w:tc>
        <w:tc>
          <w:tcPr>
            <w:tcW w:w="1080" w:type="dxa"/>
            <w:tcBorders>
              <w:top w:val="nil"/>
              <w:left w:val="single" w:color="000000" w:sz="4" w:space="0"/>
              <w:bottom w:val="nil"/>
              <w:right w:val="nil"/>
            </w:tcBorders>
            <w:shd w:val="clear"/>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vAlign w:val="center"/>
          </w:tcPr>
          <w:p>
            <w:pPr>
              <w:rPr>
                <w:rFonts w:hint="eastAsia" w:ascii="宋体" w:hAnsi="宋体" w:eastAsia="宋体" w:cs="宋体"/>
                <w:i w:val="0"/>
                <w:iCs w:val="0"/>
                <w:color w:val="000000"/>
                <w:sz w:val="24"/>
                <w:szCs w:val="24"/>
                <w:u w:val="none"/>
              </w:rPr>
            </w:pPr>
          </w:p>
        </w:tc>
        <w:tc>
          <w:tcPr>
            <w:tcW w:w="3975" w:type="dxa"/>
            <w:gridSpan w:val="4"/>
            <w:tcBorders>
              <w:top w:val="nil"/>
              <w:left w:val="nil"/>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法人代表（签章）：</w:t>
            </w:r>
          </w:p>
        </w:tc>
        <w:tc>
          <w:tcPr>
            <w:tcW w:w="885" w:type="dxa"/>
            <w:tcBorders>
              <w:top w:val="nil"/>
              <w:left w:val="nil"/>
              <w:bottom w:val="nil"/>
              <w:right w:val="nil"/>
            </w:tcBorders>
            <w:shd w:val="clear"/>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vAlign w:val="center"/>
          </w:tcPr>
          <w:p>
            <w:pPr>
              <w:rPr>
                <w:rFonts w:hint="eastAsia" w:ascii="宋体" w:hAnsi="宋体" w:eastAsia="宋体" w:cs="宋体"/>
                <w:i w:val="0"/>
                <w:iCs w:val="0"/>
                <w:color w:val="000000"/>
                <w:sz w:val="24"/>
                <w:szCs w:val="24"/>
                <w:u w:val="none"/>
              </w:rPr>
            </w:pPr>
          </w:p>
        </w:tc>
        <w:tc>
          <w:tcPr>
            <w:tcW w:w="570" w:type="dxa"/>
            <w:tcBorders>
              <w:top w:val="nil"/>
              <w:left w:val="nil"/>
              <w:bottom w:val="nil"/>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420" w:type="dxa"/>
            <w:vMerge w:val="continue"/>
            <w:tcBorders>
              <w:top w:val="nil"/>
              <w:left w:val="single" w:color="000000" w:sz="4" w:space="0"/>
              <w:bottom w:val="nil"/>
              <w:right w:val="single" w:color="000000" w:sz="4" w:space="0"/>
            </w:tcBorders>
            <w:shd w:val="clear"/>
            <w:vAlign w:val="center"/>
          </w:tcPr>
          <w:p>
            <w:pPr>
              <w:jc w:val="center"/>
              <w:rPr>
                <w:rFonts w:hint="eastAsia" w:ascii="宋体" w:hAnsi="宋体" w:eastAsia="宋体" w:cs="宋体"/>
                <w:b/>
                <w:bCs/>
                <w:i w:val="0"/>
                <w:iCs w:val="0"/>
                <w:color w:val="000000"/>
                <w:sz w:val="24"/>
                <w:szCs w:val="24"/>
                <w:u w:val="none"/>
              </w:rPr>
            </w:pPr>
          </w:p>
        </w:tc>
        <w:tc>
          <w:tcPr>
            <w:tcW w:w="1080" w:type="dxa"/>
            <w:tcBorders>
              <w:top w:val="nil"/>
              <w:left w:val="single" w:color="000000" w:sz="4" w:space="0"/>
              <w:bottom w:val="nil"/>
              <w:right w:val="nil"/>
            </w:tcBorders>
            <w:shd w:val="clear"/>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vAlign w:val="center"/>
          </w:tcPr>
          <w:p>
            <w:pPr>
              <w:rPr>
                <w:rFonts w:hint="eastAsia" w:ascii="宋体" w:hAnsi="宋体" w:eastAsia="宋体" w:cs="宋体"/>
                <w:i w:val="0"/>
                <w:iCs w:val="0"/>
                <w:color w:val="000000"/>
                <w:sz w:val="24"/>
                <w:szCs w:val="24"/>
                <w:u w:val="none"/>
              </w:rPr>
            </w:pPr>
          </w:p>
        </w:tc>
        <w:tc>
          <w:tcPr>
            <w:tcW w:w="735" w:type="dxa"/>
            <w:tcBorders>
              <w:top w:val="nil"/>
              <w:left w:val="nil"/>
              <w:bottom w:val="nil"/>
              <w:right w:val="nil"/>
            </w:tcBorders>
            <w:shd w:val="clear"/>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vAlign w:val="center"/>
          </w:tcPr>
          <w:p>
            <w:pPr>
              <w:rPr>
                <w:rFonts w:hint="eastAsia" w:ascii="宋体" w:hAnsi="宋体" w:eastAsia="宋体" w:cs="宋体"/>
                <w:i w:val="0"/>
                <w:iCs w:val="0"/>
                <w:color w:val="000000"/>
                <w:sz w:val="24"/>
                <w:szCs w:val="24"/>
                <w:u w:val="none"/>
              </w:rPr>
            </w:pPr>
          </w:p>
        </w:tc>
        <w:tc>
          <w:tcPr>
            <w:tcW w:w="2535" w:type="dxa"/>
            <w:gridSpan w:val="3"/>
            <w:tcBorders>
              <w:top w:val="nil"/>
              <w:left w:val="nil"/>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20" w:type="dxa"/>
            <w:tcBorders>
              <w:top w:val="nil"/>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c>
          <w:tcPr>
            <w:tcW w:w="1080" w:type="dxa"/>
            <w:tcBorders>
              <w:top w:val="nil"/>
              <w:left w:val="single" w:color="000000" w:sz="4" w:space="0"/>
              <w:bottom w:val="single" w:color="000000" w:sz="4" w:space="0"/>
              <w:right w:val="nil"/>
            </w:tcBorders>
            <w:shd w:val="clear"/>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single" w:color="000000" w:sz="4" w:space="0"/>
              <w:right w:val="nil"/>
            </w:tcBorders>
            <w:shd w:val="clear"/>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single" w:color="000000" w:sz="4" w:space="0"/>
              <w:right w:val="nil"/>
            </w:tcBorders>
            <w:shd w:val="clear"/>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single" w:color="000000" w:sz="4" w:space="0"/>
              <w:right w:val="nil"/>
            </w:tcBorders>
            <w:shd w:val="clear"/>
            <w:vAlign w:val="center"/>
          </w:tcPr>
          <w:p>
            <w:pPr>
              <w:rPr>
                <w:rFonts w:hint="eastAsia" w:ascii="宋体" w:hAnsi="宋体" w:eastAsia="宋体" w:cs="宋体"/>
                <w:i w:val="0"/>
                <w:iCs w:val="0"/>
                <w:color w:val="000000"/>
                <w:sz w:val="24"/>
                <w:szCs w:val="24"/>
                <w:u w:val="none"/>
              </w:rPr>
            </w:pPr>
          </w:p>
        </w:tc>
        <w:tc>
          <w:tcPr>
            <w:tcW w:w="735" w:type="dxa"/>
            <w:tcBorders>
              <w:top w:val="nil"/>
              <w:left w:val="nil"/>
              <w:bottom w:val="single" w:color="000000" w:sz="4" w:space="0"/>
              <w:right w:val="nil"/>
            </w:tcBorders>
            <w:shd w:val="clear"/>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single" w:color="000000" w:sz="4" w:space="0"/>
              <w:right w:val="nil"/>
            </w:tcBorders>
            <w:shd w:val="clear"/>
            <w:vAlign w:val="center"/>
          </w:tcPr>
          <w:p>
            <w:pPr>
              <w:rPr>
                <w:rFonts w:hint="eastAsia" w:ascii="宋体" w:hAnsi="宋体" w:eastAsia="宋体" w:cs="宋体"/>
                <w:i w:val="0"/>
                <w:iCs w:val="0"/>
                <w:color w:val="000000"/>
                <w:sz w:val="24"/>
                <w:szCs w:val="24"/>
                <w:u w:val="none"/>
              </w:rPr>
            </w:pPr>
          </w:p>
        </w:tc>
        <w:tc>
          <w:tcPr>
            <w:tcW w:w="2535" w:type="dxa"/>
            <w:gridSpan w:val="3"/>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20</w:t>
            </w:r>
            <w:r>
              <w:rPr>
                <w:rFonts w:hint="eastAsia" w:ascii="宋体" w:hAnsi="宋体" w:eastAsia="宋体" w:cs="宋体"/>
                <w:i w:val="0"/>
                <w:iCs w:val="0"/>
                <w:color w:val="000000"/>
                <w:kern w:val="0"/>
                <w:sz w:val="24"/>
                <w:szCs w:val="24"/>
                <w:u w:val="none"/>
                <w:bdr w:val="none" w:color="auto" w:sz="0" w:space="0"/>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0" w:type="dxa"/>
            <w:tcBorders>
              <w:top w:val="nil"/>
              <w:left w:val="nil"/>
              <w:bottom w:val="nil"/>
              <w:right w:val="nil"/>
            </w:tcBorders>
            <w:shd w:val="clear"/>
            <w:vAlign w:val="center"/>
          </w:tcPr>
          <w:p>
            <w:pPr>
              <w:rPr>
                <w:rFonts w:hint="eastAsia" w:ascii="宋体" w:hAnsi="宋体" w:eastAsia="宋体" w:cs="宋体"/>
                <w:i w:val="0"/>
                <w:iCs w:val="0"/>
                <w:color w:val="000000"/>
                <w:sz w:val="24"/>
                <w:szCs w:val="24"/>
                <w:u w:val="none"/>
              </w:rPr>
            </w:pPr>
          </w:p>
        </w:tc>
        <w:tc>
          <w:tcPr>
            <w:tcW w:w="3240" w:type="dxa"/>
            <w:gridSpan w:val="3"/>
            <w:tcBorders>
              <w:top w:val="single" w:color="000000" w:sz="4" w:space="0"/>
              <w:left w:val="nil"/>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总会计师：</w:t>
            </w:r>
          </w:p>
        </w:tc>
        <w:tc>
          <w:tcPr>
            <w:tcW w:w="1080" w:type="dxa"/>
            <w:tcBorders>
              <w:top w:val="nil"/>
              <w:left w:val="nil"/>
              <w:bottom w:val="nil"/>
              <w:right w:val="nil"/>
            </w:tcBorders>
            <w:shd w:val="clear"/>
            <w:vAlign w:val="center"/>
          </w:tcPr>
          <w:p>
            <w:pPr>
              <w:rPr>
                <w:rFonts w:hint="eastAsia" w:ascii="宋体" w:hAnsi="宋体" w:eastAsia="宋体" w:cs="宋体"/>
                <w:i w:val="0"/>
                <w:iCs w:val="0"/>
                <w:color w:val="000000"/>
                <w:sz w:val="24"/>
                <w:szCs w:val="24"/>
                <w:u w:val="none"/>
              </w:rPr>
            </w:pPr>
          </w:p>
        </w:tc>
        <w:tc>
          <w:tcPr>
            <w:tcW w:w="1815" w:type="dxa"/>
            <w:gridSpan w:val="2"/>
            <w:tcBorders>
              <w:top w:val="single" w:color="000000" w:sz="4" w:space="0"/>
              <w:left w:val="nil"/>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经办人：</w:t>
            </w:r>
          </w:p>
        </w:tc>
        <w:tc>
          <w:tcPr>
            <w:tcW w:w="885" w:type="dxa"/>
            <w:tcBorders>
              <w:top w:val="nil"/>
              <w:left w:val="nil"/>
              <w:bottom w:val="nil"/>
              <w:right w:val="nil"/>
            </w:tcBorders>
            <w:shd w:val="clear"/>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vAlign w:val="center"/>
          </w:tcPr>
          <w:p>
            <w:pPr>
              <w:rPr>
                <w:rFonts w:hint="eastAsia" w:ascii="宋体" w:hAnsi="宋体" w:eastAsia="宋体" w:cs="宋体"/>
                <w:i w:val="0"/>
                <w:iCs w:val="0"/>
                <w:color w:val="000000"/>
                <w:sz w:val="24"/>
                <w:szCs w:val="24"/>
                <w:u w:val="none"/>
              </w:rPr>
            </w:pPr>
          </w:p>
        </w:tc>
        <w:tc>
          <w:tcPr>
            <w:tcW w:w="570" w:type="dxa"/>
            <w:tcBorders>
              <w:top w:val="nil"/>
              <w:left w:val="nil"/>
              <w:bottom w:val="nil"/>
              <w:right w:val="nil"/>
            </w:tcBorders>
            <w:shd w:val="clear"/>
            <w:vAlign w:val="center"/>
          </w:tcPr>
          <w:p>
            <w:pPr>
              <w:rPr>
                <w:rFonts w:hint="eastAsia" w:ascii="宋体" w:hAnsi="宋体" w:eastAsia="宋体" w:cs="宋体"/>
                <w:i w:val="0"/>
                <w:iCs w:val="0"/>
                <w:color w:val="000000"/>
                <w:sz w:val="24"/>
                <w:szCs w:val="24"/>
                <w:u w:val="none"/>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bl>
      <w:tblPr>
        <w:tblW w:w="83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36"/>
        <w:gridCol w:w="910"/>
        <w:gridCol w:w="911"/>
        <w:gridCol w:w="912"/>
        <w:gridCol w:w="425"/>
        <w:gridCol w:w="425"/>
        <w:gridCol w:w="425"/>
        <w:gridCol w:w="2362"/>
        <w:gridCol w:w="562"/>
        <w:gridCol w:w="5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8340" w:type="dxa"/>
            <w:gridSpan w:val="10"/>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塔城地区本级国有企业国有资本收益（国有股股息、股利）申报表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gridSpan w:val="10"/>
            <w:tcBorders>
              <w:top w:val="nil"/>
              <w:left w:val="nil"/>
              <w:bottom w:val="nil"/>
              <w:right w:val="nil"/>
            </w:tcBorders>
            <w:shd w:val="clear"/>
            <w:noWrap/>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20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0" w:type="auto"/>
            <w:gridSpan w:val="10"/>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申报单位基本情况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企业名称</w:t>
            </w:r>
          </w:p>
        </w:tc>
        <w:tc>
          <w:tcPr>
            <w:tcW w:w="0" w:type="auto"/>
            <w:gridSpan w:val="6"/>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0" w:type="auto"/>
            <w:gridSpan w:val="4"/>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注册地址</w:t>
            </w:r>
          </w:p>
        </w:tc>
        <w:tc>
          <w:tcPr>
            <w:tcW w:w="0" w:type="auto"/>
            <w:gridSpan w:val="6"/>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0" w:type="auto"/>
            <w:gridSpan w:val="4"/>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组织形式</w:t>
            </w:r>
          </w:p>
        </w:tc>
        <w:tc>
          <w:tcPr>
            <w:tcW w:w="0" w:type="auto"/>
            <w:gridSpan w:val="6"/>
            <w:vMerge w:val="restar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0" w:type="auto"/>
            <w:gridSpan w:val="4"/>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（有限责任公司或股份有限公司）</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0" w:type="auto"/>
            <w:gridSpan w:val="4"/>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企业分类</w:t>
            </w:r>
          </w:p>
        </w:tc>
        <w:tc>
          <w:tcPr>
            <w:tcW w:w="0" w:type="auto"/>
            <w:gridSpan w:val="6"/>
            <w:tcBorders>
              <w:top w:val="nil"/>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0" w:type="auto"/>
            <w:gridSpan w:val="4"/>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所处行业</w:t>
            </w:r>
          </w:p>
        </w:tc>
        <w:tc>
          <w:tcPr>
            <w:tcW w:w="0" w:type="auto"/>
            <w:gridSpan w:val="6"/>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注册资本</w:t>
            </w:r>
          </w:p>
        </w:tc>
        <w:tc>
          <w:tcPr>
            <w:tcW w:w="0" w:type="auto"/>
            <w:gridSpan w:val="6"/>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其中：国有股权（股份）</w:t>
            </w:r>
          </w:p>
        </w:tc>
        <w:tc>
          <w:tcPr>
            <w:tcW w:w="0" w:type="auto"/>
            <w:gridSpan w:val="6"/>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开户银行</w:t>
            </w:r>
          </w:p>
        </w:tc>
        <w:tc>
          <w:tcPr>
            <w:tcW w:w="0" w:type="auto"/>
            <w:gridSpan w:val="6"/>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银行账号</w:t>
            </w:r>
          </w:p>
        </w:tc>
        <w:tc>
          <w:tcPr>
            <w:tcW w:w="0" w:type="auto"/>
            <w:gridSpan w:val="6"/>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财务经理</w:t>
            </w:r>
          </w:p>
        </w:tc>
        <w:tc>
          <w:tcPr>
            <w:tcW w:w="0" w:type="auto"/>
            <w:gridSpan w:val="6"/>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联系电话</w:t>
            </w:r>
          </w:p>
        </w:tc>
        <w:tc>
          <w:tcPr>
            <w:tcW w:w="0" w:type="auto"/>
            <w:gridSpan w:val="6"/>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0" w:type="auto"/>
            <w:gridSpan w:val="10"/>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应交国有资本收益申报情况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  目</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申报数</w:t>
            </w:r>
          </w:p>
        </w:tc>
        <w:tc>
          <w:tcPr>
            <w:tcW w:w="145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国有资产监管部门审核数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财政局复核数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归属于母公司所有者的净利润</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3915"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r>
              <w:rPr>
                <w:rStyle w:val="12"/>
                <w:bdr w:val="none" w:color="auto" w:sz="0" w:space="0"/>
                <w:lang w:val="en-US" w:eastAsia="zh-CN" w:bidi="ar"/>
              </w:rPr>
              <w:t xml:space="preserve">  </w:t>
            </w:r>
            <w:r>
              <w:rPr>
                <w:rFonts w:hint="eastAsia" w:ascii="宋体" w:hAnsi="宋体" w:eastAsia="宋体" w:cs="宋体"/>
                <w:i w:val="0"/>
                <w:iCs w:val="0"/>
                <w:color w:val="000000"/>
                <w:kern w:val="0"/>
                <w:sz w:val="20"/>
                <w:szCs w:val="20"/>
                <w:u w:val="none"/>
                <w:bdr w:val="none" w:color="auto" w:sz="0" w:space="0"/>
                <w:lang w:val="en-US" w:eastAsia="zh-CN" w:bidi="ar"/>
              </w:rPr>
              <w:t>年度年末未分配利润（以前年度亏损以“–”号填列）</w:t>
            </w:r>
          </w:p>
        </w:tc>
        <w:tc>
          <w:tcPr>
            <w:tcW w:w="127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向投资者分配的利润</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国有股权（股份）所占比例</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应付国有股股息、股利</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加：以前年度欠付的国有股股息、股利</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减：本期已付的国有股股息、股利</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应交（退）国有股股息、股利</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6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附送资料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atLeast"/>
        </w:trPr>
        <w:tc>
          <w:tcPr>
            <w:tcW w:w="8340" w:type="dxa"/>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 xml:space="preserve">      </w:t>
            </w:r>
            <w:r>
              <w:rPr>
                <w:rFonts w:hint="eastAsia" w:ascii="宋体" w:hAnsi="宋体" w:eastAsia="宋体" w:cs="宋体"/>
                <w:i w:val="0"/>
                <w:iCs w:val="0"/>
                <w:color w:val="000000"/>
                <w:kern w:val="0"/>
                <w:sz w:val="20"/>
                <w:szCs w:val="20"/>
                <w:u w:val="none"/>
                <w:bdr w:val="none" w:color="auto" w:sz="0" w:space="0"/>
                <w:lang w:val="en-US" w:eastAsia="zh-CN" w:bidi="ar"/>
              </w:rPr>
              <w:t xml:space="preserve">1、股东会（股东大会）利润分配决议； </w:t>
            </w:r>
            <w:r>
              <w:rPr>
                <w:rFonts w:hint="default" w:ascii="Arial" w:hAnsi="Arial" w:eastAsia="宋体" w:cs="Arial"/>
                <w:i w:val="0"/>
                <w:iCs w:val="0"/>
                <w:color w:val="000000"/>
                <w:kern w:val="0"/>
                <w:sz w:val="20"/>
                <w:szCs w:val="20"/>
                <w:u w:val="none"/>
                <w:bdr w:val="none" w:color="auto" w:sz="0" w:space="0"/>
                <w:lang w:val="en-US" w:eastAsia="zh-CN" w:bidi="ar"/>
              </w:rPr>
              <w:t>2</w:t>
            </w:r>
            <w:r>
              <w:rPr>
                <w:rFonts w:hint="eastAsia" w:ascii="宋体" w:hAnsi="宋体" w:eastAsia="宋体" w:cs="宋体"/>
                <w:i w:val="0"/>
                <w:iCs w:val="0"/>
                <w:color w:val="000000"/>
                <w:kern w:val="0"/>
                <w:sz w:val="20"/>
                <w:szCs w:val="20"/>
                <w:u w:val="none"/>
                <w:bdr w:val="none" w:color="auto" w:sz="0" w:space="0"/>
                <w:lang w:val="en-US" w:eastAsia="zh-CN" w:bidi="ar"/>
              </w:rPr>
              <w:t>、股东名册；</w:t>
            </w:r>
            <w:r>
              <w:rPr>
                <w:rFonts w:hint="default" w:ascii="Arial" w:hAnsi="Arial" w:eastAsia="宋体" w:cs="Arial"/>
                <w:i w:val="0"/>
                <w:iCs w:val="0"/>
                <w:color w:val="000000"/>
                <w:kern w:val="0"/>
                <w:sz w:val="20"/>
                <w:szCs w:val="20"/>
                <w:u w:val="none"/>
                <w:bdr w:val="none" w:color="auto" w:sz="0" w:space="0"/>
                <w:lang w:val="en-US" w:eastAsia="zh-CN" w:bidi="ar"/>
              </w:rPr>
              <w:t xml:space="preserve">  3</w:t>
            </w:r>
            <w:r>
              <w:rPr>
                <w:rFonts w:hint="eastAsia" w:ascii="宋体" w:hAnsi="宋体" w:eastAsia="宋体" w:cs="宋体"/>
                <w:i w:val="0"/>
                <w:iCs w:val="0"/>
                <w:color w:val="000000"/>
                <w:kern w:val="0"/>
                <w:sz w:val="20"/>
                <w:szCs w:val="20"/>
                <w:u w:val="none"/>
                <w:bdr w:val="none" w:color="auto" w:sz="0" w:space="0"/>
                <w:lang w:val="en-US" w:eastAsia="zh-CN" w:bidi="ar"/>
              </w:rPr>
              <w:t>、经会计师事务所审计的年度财务报告和审计报告；  4、履行出资人职责单位利润分配提案；</w:t>
            </w:r>
            <w:r>
              <w:rPr>
                <w:rFonts w:hint="default" w:ascii="Arial" w:hAnsi="Arial" w:eastAsia="宋体" w:cs="Arial"/>
                <w:i w:val="0"/>
                <w:iCs w:val="0"/>
                <w:color w:val="000000"/>
                <w:kern w:val="0"/>
                <w:sz w:val="20"/>
                <w:szCs w:val="20"/>
                <w:u w:val="none"/>
                <w:bdr w:val="none" w:color="auto" w:sz="0" w:space="0"/>
                <w:lang w:val="en-US" w:eastAsia="zh-CN" w:bidi="ar"/>
              </w:rPr>
              <w:t>5</w:t>
            </w:r>
            <w:r>
              <w:rPr>
                <w:rFonts w:hint="eastAsia" w:ascii="宋体" w:hAnsi="宋体" w:eastAsia="宋体" w:cs="宋体"/>
                <w:i w:val="0"/>
                <w:iCs w:val="0"/>
                <w:color w:val="000000"/>
                <w:kern w:val="0"/>
                <w:sz w:val="20"/>
                <w:szCs w:val="20"/>
                <w:u w:val="none"/>
                <w:bdr w:val="none" w:color="auto" w:sz="0" w:space="0"/>
                <w:lang w:val="en-US" w:eastAsia="zh-CN" w:bidi="ar"/>
              </w:rPr>
              <w:t>、其他印证资料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420" w:type="dxa"/>
            <w:tcBorders>
              <w:top w:val="nil"/>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声</w:t>
            </w:r>
          </w:p>
        </w:tc>
        <w:tc>
          <w:tcPr>
            <w:tcW w:w="0" w:type="auto"/>
            <w:gridSpan w:val="9"/>
            <w:tcBorders>
              <w:top w:val="nil"/>
              <w:left w:val="single" w:color="000000" w:sz="4" w:space="0"/>
              <w:bottom w:val="nil"/>
              <w:right w:val="single" w:color="000000" w:sz="4" w:space="0"/>
            </w:tcBorders>
            <w:shd w:val="clear"/>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 xml:space="preserve">      本公司按照《公司法》和公司章程的规定进行利润分配，申报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20" w:type="dxa"/>
            <w:tcBorders>
              <w:top w:val="nil"/>
              <w:left w:val="single" w:color="000000" w:sz="4" w:space="0"/>
              <w:bottom w:val="nil"/>
              <w:right w:val="single" w:color="000000" w:sz="4" w:space="0"/>
            </w:tcBorders>
            <w:shd w:val="clear"/>
            <w:vAlign w:val="center"/>
          </w:tcPr>
          <w:p>
            <w:pPr>
              <w:rPr>
                <w:rFonts w:hint="eastAsia" w:ascii="宋体" w:hAnsi="宋体" w:eastAsia="宋体" w:cs="宋体"/>
                <w:b/>
                <w:bCs/>
                <w:i w:val="0"/>
                <w:iCs w:val="0"/>
                <w:color w:val="000000"/>
                <w:sz w:val="20"/>
                <w:szCs w:val="20"/>
                <w:u w:val="none"/>
              </w:rPr>
            </w:pPr>
          </w:p>
        </w:tc>
        <w:tc>
          <w:tcPr>
            <w:tcW w:w="0" w:type="auto"/>
            <w:gridSpan w:val="9"/>
            <w:tcBorders>
              <w:top w:val="nil"/>
              <w:left w:val="single" w:color="000000" w:sz="4" w:space="0"/>
              <w:bottom w:val="nil"/>
              <w:right w:val="single" w:color="000000" w:sz="4" w:space="0"/>
            </w:tcBorders>
            <w:shd w:val="clear"/>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 xml:space="preserve">  资料真实、合法，国有股东公平分享股息、股利及其他合法权益。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20" w:type="dxa"/>
            <w:tcBorders>
              <w:top w:val="nil"/>
              <w:left w:val="single" w:color="000000" w:sz="4" w:space="0"/>
              <w:bottom w:val="nil"/>
              <w:right w:val="single" w:color="000000" w:sz="4" w:space="0"/>
            </w:tcBorders>
            <w:shd w:val="clear"/>
            <w:vAlign w:val="center"/>
          </w:tcPr>
          <w:p>
            <w:pPr>
              <w:jc w:val="center"/>
              <w:rPr>
                <w:rFonts w:hint="eastAsia" w:ascii="宋体" w:hAnsi="宋体" w:eastAsia="宋体" w:cs="宋体"/>
                <w:b/>
                <w:bCs/>
                <w:i w:val="0"/>
                <w:iCs w:val="0"/>
                <w:color w:val="000000"/>
                <w:sz w:val="20"/>
                <w:szCs w:val="20"/>
                <w:u w:val="none"/>
                <w:lang w:eastAsia="zh-CN"/>
              </w:rPr>
            </w:pPr>
            <w:r>
              <w:rPr>
                <w:rFonts w:hint="eastAsia" w:ascii="宋体" w:hAnsi="宋体" w:eastAsia="宋体" w:cs="宋体"/>
                <w:b/>
                <w:bCs/>
                <w:i w:val="0"/>
                <w:iCs w:val="0"/>
                <w:color w:val="000000"/>
                <w:sz w:val="20"/>
                <w:szCs w:val="20"/>
                <w:u w:val="none"/>
                <w:lang w:eastAsia="zh-CN"/>
              </w:rPr>
              <w:t>明</w:t>
            </w:r>
          </w:p>
        </w:tc>
        <w:tc>
          <w:tcPr>
            <w:tcW w:w="0" w:type="auto"/>
            <w:tcBorders>
              <w:top w:val="nil"/>
              <w:left w:val="single" w:color="000000" w:sz="4" w:space="0"/>
              <w:bottom w:val="nil"/>
              <w:right w:val="nil"/>
            </w:tcBorders>
            <w:shd w:val="clear"/>
            <w:noWrap/>
            <w:vAlign w:val="center"/>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0"/>
                <w:szCs w:val="20"/>
                <w:u w:val="none"/>
              </w:rPr>
            </w:pPr>
          </w:p>
        </w:tc>
        <w:tc>
          <w:tcPr>
            <w:tcW w:w="0" w:type="auto"/>
            <w:gridSpan w:val="4"/>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法人代表（签章）：</w:t>
            </w:r>
          </w:p>
        </w:tc>
        <w:tc>
          <w:tcPr>
            <w:tcW w:w="0" w:type="auto"/>
            <w:tcBorders>
              <w:top w:val="nil"/>
              <w:left w:val="nil"/>
              <w:bottom w:val="nil"/>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（公章）</w:t>
            </w: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0"/>
                <w:szCs w:val="20"/>
                <w:u w:val="none"/>
              </w:rPr>
            </w:pPr>
          </w:p>
        </w:tc>
        <w:tc>
          <w:tcPr>
            <w:tcW w:w="0" w:type="auto"/>
            <w:tcBorders>
              <w:top w:val="nil"/>
              <w:left w:val="nil"/>
              <w:bottom w:val="nil"/>
              <w:right w:val="single" w:color="000000" w:sz="4" w:space="0"/>
            </w:tcBorders>
            <w:shd w:val="clear"/>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20" w:type="dxa"/>
            <w:tcBorders>
              <w:top w:val="nil"/>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0" w:type="auto"/>
            <w:tcBorders>
              <w:top w:val="nil"/>
              <w:left w:val="single" w:color="000000" w:sz="4" w:space="0"/>
              <w:bottom w:val="single" w:color="000000" w:sz="4" w:space="0"/>
              <w:right w:val="nil"/>
            </w:tcBorders>
            <w:shd w:val="clear"/>
            <w:noWrap/>
            <w:vAlign w:val="center"/>
          </w:tcPr>
          <w:p>
            <w:pP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nil"/>
            </w:tcBorders>
            <w:shd w:val="clear"/>
            <w:noWrap/>
            <w:vAlign w:val="center"/>
          </w:tcPr>
          <w:p>
            <w:pP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nil"/>
            </w:tcBorders>
            <w:shd w:val="clear"/>
            <w:noWrap/>
            <w:vAlign w:val="center"/>
          </w:tcPr>
          <w:p>
            <w:pP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nil"/>
            </w:tcBorders>
            <w:shd w:val="clear"/>
            <w:noWrap/>
            <w:vAlign w:val="center"/>
          </w:tcPr>
          <w:p>
            <w:pP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nil"/>
            </w:tcBorders>
            <w:shd w:val="clear"/>
            <w:noWrap/>
            <w:vAlign w:val="center"/>
          </w:tcPr>
          <w:p>
            <w:pP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nil"/>
            </w:tcBorders>
            <w:shd w:val="clear"/>
            <w:noWrap/>
            <w:vAlign w:val="center"/>
          </w:tcPr>
          <w:p>
            <w:pPr>
              <w:rPr>
                <w:rFonts w:hint="eastAsia" w:ascii="宋体" w:hAnsi="宋体" w:eastAsia="宋体" w:cs="宋体"/>
                <w:i w:val="0"/>
                <w:iCs w:val="0"/>
                <w:color w:val="000000"/>
                <w:sz w:val="20"/>
                <w:szCs w:val="20"/>
                <w:u w:val="none"/>
              </w:rPr>
            </w:pPr>
          </w:p>
        </w:tc>
        <w:tc>
          <w:tcPr>
            <w:tcW w:w="0" w:type="auto"/>
            <w:gridSpan w:val="3"/>
            <w:tcBorders>
              <w:top w:val="nil"/>
              <w:left w:val="nil"/>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20</w:t>
            </w:r>
            <w:r>
              <w:rPr>
                <w:rFonts w:hint="eastAsia" w:ascii="宋体" w:hAnsi="宋体" w:eastAsia="宋体" w:cs="宋体"/>
                <w:i w:val="0"/>
                <w:iCs w:val="0"/>
                <w:color w:val="000000"/>
                <w:kern w:val="0"/>
                <w:sz w:val="20"/>
                <w:szCs w:val="20"/>
                <w:u w:val="none"/>
                <w:bdr w:val="none" w:color="auto" w:sz="0" w:space="0"/>
                <w:lang w:val="en-US" w:eastAsia="zh-CN" w:bidi="ar"/>
              </w:rPr>
              <w:t xml:space="preserve">  年  月  日</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bl>
      <w:tblPr>
        <w:tblW w:w="91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20"/>
        <w:gridCol w:w="930"/>
        <w:gridCol w:w="765"/>
        <w:gridCol w:w="1080"/>
        <w:gridCol w:w="615"/>
        <w:gridCol w:w="1080"/>
        <w:gridCol w:w="2640"/>
        <w:gridCol w:w="960"/>
        <w:gridCol w:w="6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9150" w:type="dxa"/>
            <w:gridSpan w:val="9"/>
            <w:tcBorders>
              <w:top w:val="nil"/>
              <w:left w:val="nil"/>
              <w:bottom w:val="nil"/>
              <w:right w:val="nil"/>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塔城地区本级国有企业国有资本收益（国有产权转让收入）申报表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9150" w:type="dxa"/>
            <w:gridSpan w:val="9"/>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申报单位基本情况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2115"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名称</w:t>
            </w:r>
          </w:p>
        </w:tc>
        <w:tc>
          <w:tcPr>
            <w:tcW w:w="7035" w:type="dxa"/>
            <w:gridSpan w:val="6"/>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2115"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性质</w:t>
            </w:r>
          </w:p>
        </w:tc>
        <w:tc>
          <w:tcPr>
            <w:tcW w:w="7035" w:type="dxa"/>
            <w:gridSpan w:val="6"/>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2115"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联系人</w:t>
            </w:r>
          </w:p>
        </w:tc>
        <w:tc>
          <w:tcPr>
            <w:tcW w:w="7035" w:type="dxa"/>
            <w:gridSpan w:val="6"/>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2115"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联系电话</w:t>
            </w:r>
          </w:p>
        </w:tc>
        <w:tc>
          <w:tcPr>
            <w:tcW w:w="7035" w:type="dxa"/>
            <w:gridSpan w:val="6"/>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150" w:type="dxa"/>
            <w:gridSpan w:val="9"/>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企业国有产权及其交易情况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2115"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企业名称</w:t>
            </w:r>
          </w:p>
        </w:tc>
        <w:tc>
          <w:tcPr>
            <w:tcW w:w="1695"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72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组织形式（国有独资企业或国有控</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股参股企业）</w:t>
            </w:r>
          </w:p>
        </w:tc>
        <w:tc>
          <w:tcPr>
            <w:tcW w:w="162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0" w:hRule="atLeast"/>
        </w:trPr>
        <w:tc>
          <w:tcPr>
            <w:tcW w:w="2115"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695"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72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2"/>
                <w:szCs w:val="22"/>
                <w:u w:val="none"/>
              </w:rPr>
            </w:pPr>
          </w:p>
        </w:tc>
        <w:tc>
          <w:tcPr>
            <w:tcW w:w="162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2115"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注册地址</w:t>
            </w:r>
          </w:p>
        </w:tc>
        <w:tc>
          <w:tcPr>
            <w:tcW w:w="169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72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所处行业</w:t>
            </w:r>
          </w:p>
        </w:tc>
        <w:tc>
          <w:tcPr>
            <w:tcW w:w="1620"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2115"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注册资本</w:t>
            </w:r>
          </w:p>
        </w:tc>
        <w:tc>
          <w:tcPr>
            <w:tcW w:w="169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72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其中：国有股权（股份）</w:t>
            </w:r>
          </w:p>
        </w:tc>
        <w:tc>
          <w:tcPr>
            <w:tcW w:w="1620"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2115"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账面资产总额</w:t>
            </w:r>
          </w:p>
        </w:tc>
        <w:tc>
          <w:tcPr>
            <w:tcW w:w="169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72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其中：固定资产</w:t>
            </w:r>
          </w:p>
        </w:tc>
        <w:tc>
          <w:tcPr>
            <w:tcW w:w="1620"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2115"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国有净资产</w:t>
            </w:r>
          </w:p>
        </w:tc>
        <w:tc>
          <w:tcPr>
            <w:tcW w:w="169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72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资产评估值</w:t>
            </w:r>
          </w:p>
        </w:tc>
        <w:tc>
          <w:tcPr>
            <w:tcW w:w="1620"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2115"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法人代表</w:t>
            </w:r>
          </w:p>
        </w:tc>
        <w:tc>
          <w:tcPr>
            <w:tcW w:w="169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72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联系电话</w:t>
            </w:r>
          </w:p>
        </w:tc>
        <w:tc>
          <w:tcPr>
            <w:tcW w:w="1620"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2115"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交易机构名称</w:t>
            </w:r>
          </w:p>
        </w:tc>
        <w:tc>
          <w:tcPr>
            <w:tcW w:w="169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72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交易机构地址</w:t>
            </w:r>
          </w:p>
        </w:tc>
        <w:tc>
          <w:tcPr>
            <w:tcW w:w="1620"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2115"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结算银行</w:t>
            </w:r>
          </w:p>
        </w:tc>
        <w:tc>
          <w:tcPr>
            <w:tcW w:w="169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72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结算账户</w:t>
            </w:r>
          </w:p>
        </w:tc>
        <w:tc>
          <w:tcPr>
            <w:tcW w:w="1620"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2115"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财务经理</w:t>
            </w:r>
          </w:p>
        </w:tc>
        <w:tc>
          <w:tcPr>
            <w:tcW w:w="169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72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联系电话</w:t>
            </w:r>
          </w:p>
        </w:tc>
        <w:tc>
          <w:tcPr>
            <w:tcW w:w="1620"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2115"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转让标的</w:t>
            </w:r>
          </w:p>
        </w:tc>
        <w:tc>
          <w:tcPr>
            <w:tcW w:w="169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72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占国有净资产比重</w:t>
            </w:r>
          </w:p>
        </w:tc>
        <w:tc>
          <w:tcPr>
            <w:tcW w:w="1620"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2115"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转让低价</w:t>
            </w:r>
          </w:p>
        </w:tc>
        <w:tc>
          <w:tcPr>
            <w:tcW w:w="169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72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实际成交价</w:t>
            </w:r>
          </w:p>
        </w:tc>
        <w:tc>
          <w:tcPr>
            <w:tcW w:w="1620"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2115"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合同签订日</w:t>
            </w:r>
          </w:p>
        </w:tc>
        <w:tc>
          <w:tcPr>
            <w:tcW w:w="169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72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交易结算日</w:t>
            </w:r>
          </w:p>
        </w:tc>
        <w:tc>
          <w:tcPr>
            <w:tcW w:w="1620"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2115"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价款结算方式</w:t>
            </w:r>
          </w:p>
        </w:tc>
        <w:tc>
          <w:tcPr>
            <w:tcW w:w="169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72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价款结算时间</w:t>
            </w:r>
          </w:p>
        </w:tc>
        <w:tc>
          <w:tcPr>
            <w:tcW w:w="1620"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9150" w:type="dxa"/>
            <w:gridSpan w:val="9"/>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受让方有关情况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2115"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名称</w:t>
            </w:r>
          </w:p>
        </w:tc>
        <w:tc>
          <w:tcPr>
            <w:tcW w:w="1695" w:type="dxa"/>
            <w:gridSpan w:val="2"/>
            <w:tcBorders>
              <w:top w:val="single" w:color="000000" w:sz="4" w:space="0"/>
              <w:left w:val="single" w:color="000000" w:sz="4" w:space="0"/>
              <w:bottom w:val="single" w:color="000000" w:sz="4" w:space="0"/>
              <w:right w:val="nil"/>
            </w:tcBorders>
            <w:shd w:val="clear"/>
            <w:vAlign w:val="center"/>
          </w:tcPr>
          <w:p>
            <w:pPr>
              <w:jc w:val="center"/>
              <w:rPr>
                <w:rFonts w:hint="eastAsia" w:ascii="宋体" w:hAnsi="宋体" w:eastAsia="宋体" w:cs="宋体"/>
                <w:i w:val="0"/>
                <w:iCs w:val="0"/>
                <w:color w:val="000000"/>
                <w:sz w:val="22"/>
                <w:szCs w:val="22"/>
                <w:u w:val="none"/>
              </w:rPr>
            </w:pPr>
          </w:p>
        </w:tc>
        <w:tc>
          <w:tcPr>
            <w:tcW w:w="372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性质</w:t>
            </w:r>
          </w:p>
        </w:tc>
        <w:tc>
          <w:tcPr>
            <w:tcW w:w="1620" w:type="dxa"/>
            <w:gridSpan w:val="2"/>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115"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注册地（或住所）</w:t>
            </w:r>
          </w:p>
        </w:tc>
        <w:tc>
          <w:tcPr>
            <w:tcW w:w="1695" w:type="dxa"/>
            <w:gridSpan w:val="2"/>
            <w:tcBorders>
              <w:top w:val="single" w:color="000000" w:sz="4" w:space="0"/>
              <w:left w:val="single" w:color="000000" w:sz="4" w:space="0"/>
              <w:bottom w:val="single" w:color="000000" w:sz="4" w:space="0"/>
              <w:right w:val="nil"/>
            </w:tcBorders>
            <w:shd w:val="clear"/>
            <w:vAlign w:val="center"/>
          </w:tcPr>
          <w:p>
            <w:pPr>
              <w:jc w:val="center"/>
              <w:rPr>
                <w:rFonts w:hint="eastAsia" w:ascii="宋体" w:hAnsi="宋体" w:eastAsia="宋体" w:cs="宋体"/>
                <w:i w:val="0"/>
                <w:iCs w:val="0"/>
                <w:color w:val="000000"/>
                <w:sz w:val="22"/>
                <w:szCs w:val="22"/>
                <w:u w:val="none"/>
              </w:rPr>
            </w:pPr>
          </w:p>
        </w:tc>
        <w:tc>
          <w:tcPr>
            <w:tcW w:w="372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资产总额</w:t>
            </w:r>
          </w:p>
        </w:tc>
        <w:tc>
          <w:tcPr>
            <w:tcW w:w="1620" w:type="dxa"/>
            <w:gridSpan w:val="2"/>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trPr>
        <w:tc>
          <w:tcPr>
            <w:tcW w:w="2115" w:type="dxa"/>
            <w:gridSpan w:val="3"/>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法定代表人</w:t>
            </w:r>
          </w:p>
        </w:tc>
        <w:tc>
          <w:tcPr>
            <w:tcW w:w="1695" w:type="dxa"/>
            <w:gridSpan w:val="2"/>
            <w:tcBorders>
              <w:top w:val="single" w:color="000000" w:sz="4" w:space="0"/>
              <w:left w:val="single" w:color="000000" w:sz="4" w:space="0"/>
              <w:bottom w:val="single" w:color="000000" w:sz="4" w:space="0"/>
              <w:right w:val="nil"/>
            </w:tcBorders>
            <w:shd w:val="clear"/>
            <w:vAlign w:val="center"/>
          </w:tcPr>
          <w:p>
            <w:pPr>
              <w:jc w:val="center"/>
              <w:rPr>
                <w:rFonts w:hint="eastAsia" w:ascii="宋体" w:hAnsi="宋体" w:eastAsia="宋体" w:cs="宋体"/>
                <w:i w:val="0"/>
                <w:iCs w:val="0"/>
                <w:color w:val="000000"/>
                <w:sz w:val="22"/>
                <w:szCs w:val="22"/>
                <w:u w:val="none"/>
              </w:rPr>
            </w:pPr>
          </w:p>
        </w:tc>
        <w:tc>
          <w:tcPr>
            <w:tcW w:w="372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联系电话</w:t>
            </w:r>
          </w:p>
        </w:tc>
        <w:tc>
          <w:tcPr>
            <w:tcW w:w="1620" w:type="dxa"/>
            <w:gridSpan w:val="2"/>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9150" w:type="dxa"/>
            <w:gridSpan w:val="9"/>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应交国有资本收益申报情况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2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  目</w:t>
            </w:r>
          </w:p>
        </w:tc>
        <w:tc>
          <w:tcPr>
            <w:tcW w:w="169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申报数</w:t>
            </w:r>
          </w:p>
        </w:tc>
        <w:tc>
          <w:tcPr>
            <w:tcW w:w="372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国有资产监管部门审核数</w:t>
            </w:r>
          </w:p>
        </w:tc>
        <w:tc>
          <w:tcPr>
            <w:tcW w:w="162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财政局</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复核数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9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实际转让收入</w:t>
            </w:r>
          </w:p>
        </w:tc>
        <w:tc>
          <w:tcPr>
            <w:tcW w:w="169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720"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620"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695" w:type="dxa"/>
            <w:gridSpan w:val="2"/>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减：转让费用</w:t>
            </w:r>
          </w:p>
        </w:tc>
        <w:tc>
          <w:tcPr>
            <w:tcW w:w="169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720"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620"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69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转让净收入</w:t>
            </w:r>
          </w:p>
        </w:tc>
        <w:tc>
          <w:tcPr>
            <w:tcW w:w="169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720"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620"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50" w:type="dxa"/>
            <w:gridSpan w:val="9"/>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附送资料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150" w:type="dxa"/>
            <w:gridSpan w:val="9"/>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1、行署批准文件或国有资产监管部门审批文件； 2、资产评估报告； 3、交易结算单据复印件；4、转让费用清单及发票； 5、产权转让合同；  6、其他印证资料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20" w:type="dxa"/>
            <w:tcBorders>
              <w:top w:val="single" w:color="000000" w:sz="4" w:space="0"/>
              <w:left w:val="single" w:color="000000" w:sz="4" w:space="0"/>
              <w:bottom w:val="nil"/>
              <w:right w:val="single" w:color="000000" w:sz="4" w:space="0"/>
            </w:tcBorders>
            <w:shd w:val="clear"/>
            <w:vAlign w:val="center"/>
          </w:tcPr>
          <w:p>
            <w:pPr>
              <w:rPr>
                <w:rFonts w:hint="eastAsia" w:ascii="宋体" w:hAnsi="宋体" w:eastAsia="宋体" w:cs="宋体"/>
                <w:i w:val="0"/>
                <w:iCs w:val="0"/>
                <w:color w:val="000000"/>
                <w:sz w:val="22"/>
                <w:szCs w:val="22"/>
                <w:u w:val="none"/>
              </w:rPr>
            </w:pPr>
          </w:p>
        </w:tc>
        <w:tc>
          <w:tcPr>
            <w:tcW w:w="8730" w:type="dxa"/>
            <w:gridSpan w:val="8"/>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该企业按照规定程序进行交易，申报材料真实、合法，国有股东权益 没有受到损害。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0" w:type="dxa"/>
            <w:tcBorders>
              <w:top w:val="nil"/>
              <w:left w:val="single" w:color="000000" w:sz="4" w:space="0"/>
              <w:bottom w:val="nil"/>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930" w:type="dxa"/>
            <w:tcBorders>
              <w:top w:val="nil"/>
              <w:left w:val="single" w:color="000000" w:sz="4" w:space="0"/>
              <w:bottom w:val="nil"/>
              <w:right w:val="nil"/>
            </w:tcBorders>
            <w:shd w:val="clear"/>
            <w:vAlign w:val="center"/>
          </w:tcPr>
          <w:p>
            <w:pPr>
              <w:rPr>
                <w:rFonts w:hint="eastAsia" w:ascii="宋体" w:hAnsi="宋体" w:eastAsia="宋体" w:cs="宋体"/>
                <w:i w:val="0"/>
                <w:iCs w:val="0"/>
                <w:color w:val="000000"/>
                <w:sz w:val="22"/>
                <w:szCs w:val="22"/>
                <w:u w:val="none"/>
              </w:rPr>
            </w:pPr>
          </w:p>
        </w:tc>
        <w:tc>
          <w:tcPr>
            <w:tcW w:w="765" w:type="dxa"/>
            <w:tcBorders>
              <w:top w:val="nil"/>
              <w:left w:val="nil"/>
              <w:bottom w:val="nil"/>
              <w:right w:val="nil"/>
            </w:tcBorders>
            <w:shd w:val="clear"/>
            <w:vAlign w:val="center"/>
          </w:tcPr>
          <w:p>
            <w:pPr>
              <w:rPr>
                <w:rFonts w:hint="eastAsia" w:ascii="宋体" w:hAnsi="宋体" w:eastAsia="宋体" w:cs="宋体"/>
                <w:i w:val="0"/>
                <w:iCs w:val="0"/>
                <w:color w:val="000000"/>
                <w:sz w:val="22"/>
                <w:szCs w:val="22"/>
                <w:u w:val="none"/>
              </w:rPr>
            </w:pPr>
          </w:p>
        </w:tc>
        <w:tc>
          <w:tcPr>
            <w:tcW w:w="2775" w:type="dxa"/>
            <w:gridSpan w:val="3"/>
            <w:tcBorders>
              <w:top w:val="nil"/>
              <w:left w:val="nil"/>
              <w:bottom w:val="nil"/>
              <w:right w:val="nil"/>
            </w:tcBorders>
            <w:shd w:val="clear"/>
            <w:vAlign w:val="center"/>
          </w:tcPr>
          <w:p>
            <w:pPr>
              <w:jc w:val="center"/>
              <w:rPr>
                <w:rFonts w:hint="eastAsia" w:ascii="宋体" w:hAnsi="宋体" w:eastAsia="宋体" w:cs="宋体"/>
                <w:i w:val="0"/>
                <w:iCs w:val="0"/>
                <w:color w:val="000000"/>
                <w:sz w:val="22"/>
                <w:szCs w:val="22"/>
                <w:u w:val="none"/>
              </w:rPr>
            </w:pPr>
          </w:p>
        </w:tc>
        <w:tc>
          <w:tcPr>
            <w:tcW w:w="2640" w:type="dxa"/>
            <w:tcBorders>
              <w:top w:val="nil"/>
              <w:left w:val="nil"/>
              <w:bottom w:val="nil"/>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（公章）</w:t>
            </w:r>
          </w:p>
        </w:tc>
        <w:tc>
          <w:tcPr>
            <w:tcW w:w="960" w:type="dxa"/>
            <w:tcBorders>
              <w:top w:val="nil"/>
              <w:left w:val="nil"/>
              <w:bottom w:val="nil"/>
              <w:right w:val="nil"/>
            </w:tcBorders>
            <w:shd w:val="clear"/>
            <w:vAlign w:val="center"/>
          </w:tcPr>
          <w:p>
            <w:pPr>
              <w:rPr>
                <w:rFonts w:hint="eastAsia" w:ascii="宋体" w:hAnsi="宋体" w:eastAsia="宋体" w:cs="宋体"/>
                <w:i w:val="0"/>
                <w:iCs w:val="0"/>
                <w:color w:val="000000"/>
                <w:sz w:val="22"/>
                <w:szCs w:val="22"/>
                <w:u w:val="none"/>
              </w:rPr>
            </w:pPr>
          </w:p>
        </w:tc>
        <w:tc>
          <w:tcPr>
            <w:tcW w:w="660" w:type="dxa"/>
            <w:tcBorders>
              <w:top w:val="nil"/>
              <w:left w:val="nil"/>
              <w:bottom w:val="nil"/>
              <w:right w:val="single" w:color="000000" w:sz="4" w:space="0"/>
            </w:tcBorders>
            <w:shd w:val="clear"/>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0" w:type="dxa"/>
            <w:tcBorders>
              <w:top w:val="nil"/>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c>
          <w:tcPr>
            <w:tcW w:w="930" w:type="dxa"/>
            <w:tcBorders>
              <w:top w:val="nil"/>
              <w:left w:val="single" w:color="000000" w:sz="4" w:space="0"/>
              <w:bottom w:val="single" w:color="000000" w:sz="4" w:space="0"/>
              <w:right w:val="nil"/>
            </w:tcBorders>
            <w:shd w:val="clear"/>
            <w:vAlign w:val="center"/>
          </w:tcPr>
          <w:p>
            <w:pPr>
              <w:rPr>
                <w:rFonts w:hint="eastAsia" w:ascii="宋体" w:hAnsi="宋体" w:eastAsia="宋体" w:cs="宋体"/>
                <w:i w:val="0"/>
                <w:iCs w:val="0"/>
                <w:color w:val="000000"/>
                <w:sz w:val="22"/>
                <w:szCs w:val="22"/>
                <w:u w:val="none"/>
              </w:rPr>
            </w:pPr>
          </w:p>
        </w:tc>
        <w:tc>
          <w:tcPr>
            <w:tcW w:w="765" w:type="dxa"/>
            <w:tcBorders>
              <w:top w:val="nil"/>
              <w:left w:val="nil"/>
              <w:bottom w:val="single" w:color="000000" w:sz="4" w:space="0"/>
              <w:right w:val="nil"/>
            </w:tcBorders>
            <w:shd w:val="clear"/>
            <w:vAlign w:val="center"/>
          </w:tcPr>
          <w:p>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4" w:space="0"/>
              <w:right w:val="nil"/>
            </w:tcBorders>
            <w:shd w:val="clear"/>
            <w:vAlign w:val="center"/>
          </w:tcPr>
          <w:p>
            <w:pPr>
              <w:rPr>
                <w:rFonts w:hint="eastAsia" w:ascii="宋体" w:hAnsi="宋体" w:eastAsia="宋体" w:cs="宋体"/>
                <w:i w:val="0"/>
                <w:iCs w:val="0"/>
                <w:color w:val="000000"/>
                <w:sz w:val="22"/>
                <w:szCs w:val="22"/>
                <w:u w:val="none"/>
              </w:rPr>
            </w:pPr>
          </w:p>
        </w:tc>
        <w:tc>
          <w:tcPr>
            <w:tcW w:w="615" w:type="dxa"/>
            <w:tcBorders>
              <w:top w:val="nil"/>
              <w:left w:val="nil"/>
              <w:bottom w:val="single" w:color="000000" w:sz="4" w:space="0"/>
              <w:right w:val="nil"/>
            </w:tcBorders>
            <w:shd w:val="clear"/>
            <w:vAlign w:val="center"/>
          </w:tcPr>
          <w:p>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4" w:space="0"/>
              <w:right w:val="nil"/>
            </w:tcBorders>
            <w:shd w:val="clear"/>
            <w:vAlign w:val="center"/>
          </w:tcPr>
          <w:p>
            <w:pPr>
              <w:rPr>
                <w:rFonts w:hint="eastAsia" w:ascii="宋体" w:hAnsi="宋体" w:eastAsia="宋体" w:cs="宋体"/>
                <w:i w:val="0"/>
                <w:iCs w:val="0"/>
                <w:color w:val="000000"/>
                <w:sz w:val="22"/>
                <w:szCs w:val="22"/>
                <w:u w:val="none"/>
              </w:rPr>
            </w:pPr>
          </w:p>
        </w:tc>
        <w:tc>
          <w:tcPr>
            <w:tcW w:w="4260" w:type="dxa"/>
            <w:gridSpan w:val="3"/>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20</w:t>
            </w:r>
            <w:r>
              <w:rPr>
                <w:rStyle w:val="13"/>
                <w:bdr w:val="none" w:color="auto" w:sz="0" w:space="0"/>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195" w:type="dxa"/>
            <w:gridSpan w:val="4"/>
            <w:tcBorders>
              <w:top w:val="single" w:color="000000" w:sz="4" w:space="0"/>
              <w:left w:val="nil"/>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申报单位主管部门负责人：</w:t>
            </w:r>
          </w:p>
        </w:tc>
        <w:tc>
          <w:tcPr>
            <w:tcW w:w="615" w:type="dxa"/>
            <w:tcBorders>
              <w:top w:val="single" w:color="000000" w:sz="4" w:space="0"/>
              <w:left w:val="nil"/>
              <w:bottom w:val="nil"/>
              <w:right w:val="nil"/>
            </w:tcBorders>
            <w:shd w:val="clear"/>
            <w:vAlign w:val="center"/>
          </w:tcPr>
          <w:p>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vAlign w:val="center"/>
          </w:tcPr>
          <w:p>
            <w:pPr>
              <w:rPr>
                <w:rFonts w:hint="eastAsia" w:ascii="宋体" w:hAnsi="宋体" w:eastAsia="宋体" w:cs="宋体"/>
                <w:i w:val="0"/>
                <w:iCs w:val="0"/>
                <w:color w:val="000000"/>
                <w:sz w:val="22"/>
                <w:szCs w:val="22"/>
                <w:u w:val="none"/>
              </w:rPr>
            </w:pPr>
          </w:p>
        </w:tc>
        <w:tc>
          <w:tcPr>
            <w:tcW w:w="2640" w:type="dxa"/>
            <w:tcBorders>
              <w:top w:val="single" w:color="000000" w:sz="4" w:space="0"/>
              <w:left w:val="nil"/>
              <w:bottom w:val="nil"/>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经办人：</w:t>
            </w:r>
          </w:p>
        </w:tc>
        <w:tc>
          <w:tcPr>
            <w:tcW w:w="960" w:type="dxa"/>
            <w:tcBorders>
              <w:top w:val="nil"/>
              <w:left w:val="nil"/>
              <w:bottom w:val="nil"/>
              <w:right w:val="nil"/>
            </w:tcBorders>
            <w:shd w:val="clear"/>
            <w:vAlign w:val="center"/>
          </w:tcPr>
          <w:p>
            <w:pPr>
              <w:rPr>
                <w:rFonts w:hint="eastAsia" w:ascii="宋体" w:hAnsi="宋体" w:eastAsia="宋体" w:cs="宋体"/>
                <w:i w:val="0"/>
                <w:iCs w:val="0"/>
                <w:color w:val="000000"/>
                <w:sz w:val="22"/>
                <w:szCs w:val="22"/>
                <w:u w:val="none"/>
              </w:rPr>
            </w:pPr>
          </w:p>
        </w:tc>
        <w:tc>
          <w:tcPr>
            <w:tcW w:w="660" w:type="dxa"/>
            <w:tcBorders>
              <w:top w:val="nil"/>
              <w:left w:val="nil"/>
              <w:bottom w:val="nil"/>
              <w:right w:val="nil"/>
            </w:tcBorders>
            <w:shd w:val="clear"/>
            <w:vAlign w:val="center"/>
          </w:tcPr>
          <w:p>
            <w:pPr>
              <w:rPr>
                <w:rFonts w:hint="eastAsia" w:ascii="宋体" w:hAnsi="宋体" w:eastAsia="宋体" w:cs="宋体"/>
                <w:i w:val="0"/>
                <w:iCs w:val="0"/>
                <w:color w:val="000000"/>
                <w:sz w:val="22"/>
                <w:szCs w:val="22"/>
                <w:u w:val="none"/>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bl>
      <w:tblPr>
        <w:tblW w:w="91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10"/>
        <w:gridCol w:w="441"/>
        <w:gridCol w:w="3296"/>
        <w:gridCol w:w="694"/>
        <w:gridCol w:w="634"/>
        <w:gridCol w:w="1382"/>
        <w:gridCol w:w="1254"/>
        <w:gridCol w:w="16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9180" w:type="dxa"/>
            <w:gridSpan w:val="8"/>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塔城地区本级国有企业国有资本收益（企业清算收入）申报表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0" w:type="auto"/>
            <w:gridSpan w:val="8"/>
            <w:tcBorders>
              <w:top w:val="single" w:color="000000" w:sz="4" w:space="0"/>
              <w:left w:val="single" w:color="000000" w:sz="4" w:space="0"/>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申报单位（清算人或管理人）基本情况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2"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批准成立单位</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成立时间</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2"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开户银行</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银行账号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2"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财务负责人</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0" w:type="auto"/>
            <w:gridSpan w:val="8"/>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企业清算基本情况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企业名称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注册地址</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2" w:hRule="atLeast"/>
        </w:trPr>
        <w:tc>
          <w:tcPr>
            <w:tcW w:w="0" w:type="auto"/>
            <w:gridSpan w:val="3"/>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所处行业</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6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组织形式（国有独资企业或国有控股参股企业）</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2"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注册资本</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其中：国有股权（股份）</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2"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原法人代表</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原财务负责人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2"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账面资产总额</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其中：固定资产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2"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账面负债总额</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账面净资产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2"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审计机构</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法人代表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2"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资产评估机构</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法人代表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5" w:hRule="atLeast"/>
        </w:trPr>
        <w:tc>
          <w:tcPr>
            <w:tcW w:w="276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清算终结日（或法院裁定清算程序终结日</w:t>
            </w:r>
          </w:p>
        </w:tc>
        <w:tc>
          <w:tcPr>
            <w:tcW w:w="0" w:type="auto"/>
            <w:gridSpan w:val="5"/>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0" w:type="auto"/>
            <w:gridSpan w:val="5"/>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应交企业破产清算收入申报情况</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应交企业解散清算收入申报情况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trPr>
        <w:tc>
          <w:tcPr>
            <w:tcW w:w="174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 目</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申报数</w:t>
            </w: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国有资产监管部门审核数</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财政局复核数</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 目</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申报数</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国有资产监管部门审核数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0" w:hRule="atLeast"/>
        </w:trPr>
        <w:tc>
          <w:tcPr>
            <w:tcW w:w="174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清算财产变价总收入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清算财产变价总收入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174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减：清算费用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减：清算费用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174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减：共益债务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174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剩余清算收入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减：职工工资、社会保险费用和法定补偿金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174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减：拖欠职工的劳动债权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174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减：缴纳欠交税款</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减：缴纳欠交税款</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174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减：清偿普通债务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减：清偿普通债务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1740" w:type="dxa"/>
            <w:gridSpan w:val="2"/>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清算净收入</w:t>
            </w:r>
          </w:p>
        </w:tc>
        <w:tc>
          <w:tcPr>
            <w:tcW w:w="0" w:type="auto"/>
            <w:tcBorders>
              <w:top w:val="single" w:color="000000" w:sz="4" w:space="0"/>
              <w:left w:val="single" w:color="000000" w:sz="4" w:space="0"/>
              <w:bottom w:val="nil"/>
              <w:right w:val="single" w:color="000000" w:sz="4" w:space="0"/>
            </w:tcBorders>
            <w:shd w:val="clear"/>
            <w:noWrap/>
            <w:vAlign w:val="center"/>
          </w:tcPr>
          <w:p>
            <w:pP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44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清算净收入</w:t>
            </w:r>
          </w:p>
        </w:tc>
        <w:tc>
          <w:tcPr>
            <w:tcW w:w="0" w:type="auto"/>
            <w:tcBorders>
              <w:top w:val="single" w:color="000000" w:sz="4" w:space="0"/>
              <w:left w:val="single" w:color="000000" w:sz="4" w:space="0"/>
              <w:bottom w:val="nil"/>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atLeast"/>
        </w:trPr>
        <w:tc>
          <w:tcPr>
            <w:tcW w:w="1740" w:type="dxa"/>
            <w:gridSpan w:val="2"/>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国有股权（股份）所占比例</w:t>
            </w:r>
          </w:p>
        </w:tc>
        <w:tc>
          <w:tcPr>
            <w:tcW w:w="1020" w:type="dxa"/>
            <w:tcBorders>
              <w:top w:val="single" w:color="000000" w:sz="4" w:space="0"/>
              <w:left w:val="nil"/>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国有股权（股份）所占比例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174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应交企业清算收入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应交企业清算收入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trPr>
        <w:tc>
          <w:tcPr>
            <w:tcW w:w="0" w:type="auto"/>
            <w:gridSpan w:val="8"/>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附列资料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50" w:hRule="atLeast"/>
        </w:trPr>
        <w:tc>
          <w:tcPr>
            <w:tcW w:w="9180" w:type="dxa"/>
            <w:gridSpan w:val="8"/>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1、股东大会关于实施清算的决议或有关部门批准清算的文件；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xml:space="preserve">         2、清算人或管理人组织成立的文件；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xml:space="preserve">         3、清算审计报告；</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xml:space="preserve">         4、企业清算报告；</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xml:space="preserve">         5、其他资料</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5" w:hRule="atLeast"/>
        </w:trPr>
        <w:tc>
          <w:tcPr>
            <w:tcW w:w="51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声明</w:t>
            </w:r>
          </w:p>
        </w:tc>
        <w:tc>
          <w:tcPr>
            <w:tcW w:w="8670" w:type="dxa"/>
            <w:gridSpan w:val="7"/>
            <w:tcBorders>
              <w:top w:val="single" w:color="000000" w:sz="4" w:space="0"/>
              <w:left w:val="single" w:color="000000" w:sz="4" w:space="0"/>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该企业按照国家规定实施清算，申报资料真实、合法，股东合法权益没有受到损害。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trPr>
        <w:tc>
          <w:tcPr>
            <w:tcW w:w="510" w:type="dxa"/>
            <w:tcBorders>
              <w:top w:val="nil"/>
              <w:left w:val="single" w:color="000000" w:sz="4" w:space="0"/>
              <w:bottom w:val="nil"/>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0" w:type="auto"/>
            <w:tcBorders>
              <w:top w:val="nil"/>
              <w:left w:val="single" w:color="000000" w:sz="4" w:space="0"/>
              <w:bottom w:val="nil"/>
              <w:right w:val="nil"/>
            </w:tcBorders>
            <w:shd w:val="clear"/>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清算人或管理人代表（签章）：</w:t>
            </w:r>
          </w:p>
        </w:tc>
        <w:tc>
          <w:tcPr>
            <w:tcW w:w="0" w:type="auto"/>
            <w:tcBorders>
              <w:top w:val="nil"/>
              <w:left w:val="nil"/>
              <w:bottom w:val="nil"/>
              <w:right w:val="nil"/>
            </w:tcBorders>
            <w:shd w:val="clear"/>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jc w:val="left"/>
              <w:rPr>
                <w:rFonts w:hint="eastAsia" w:ascii="宋体" w:hAnsi="宋体" w:eastAsia="宋体" w:cs="宋体"/>
                <w:i w:val="0"/>
                <w:iCs w:val="0"/>
                <w:color w:val="000000"/>
                <w:sz w:val="22"/>
                <w:szCs w:val="22"/>
                <w:u w:val="none"/>
              </w:rPr>
            </w:pPr>
          </w:p>
        </w:tc>
        <w:tc>
          <w:tcPr>
            <w:tcW w:w="0" w:type="auto"/>
            <w:gridSpan w:val="2"/>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（代公章）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10" w:type="dxa"/>
            <w:tcBorders>
              <w:top w:val="nil"/>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c>
          <w:tcPr>
            <w:tcW w:w="0" w:type="auto"/>
            <w:tcBorders>
              <w:top w:val="nil"/>
              <w:left w:val="single" w:color="000000" w:sz="4" w:space="0"/>
              <w:bottom w:val="single" w:color="000000" w:sz="4" w:space="0"/>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gridSpan w:val="2"/>
            <w:tcBorders>
              <w:top w:val="nil"/>
              <w:left w:val="nil"/>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   20</w:t>
            </w:r>
            <w:r>
              <w:rPr>
                <w:rFonts w:hint="eastAsia" w:ascii="宋体" w:hAnsi="宋体" w:eastAsia="宋体" w:cs="宋体"/>
                <w:i w:val="0"/>
                <w:iCs w:val="0"/>
                <w:color w:val="000000"/>
                <w:kern w:val="0"/>
                <w:sz w:val="22"/>
                <w:szCs w:val="22"/>
                <w:u w:val="none"/>
                <w:bdr w:val="none" w:color="auto" w:sz="0" w:space="0"/>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nil"/>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经办人：</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5" w:lineRule="auto"/>
      <w:ind w:left="7859"/>
      <w:rPr>
        <w:rFonts w:ascii="宋体" w:hAnsi="宋体" w:eastAsia="宋体" w:cs="宋体"/>
        <w:sz w:val="31"/>
        <w:szCs w:val="3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577827"/>
    <w:multiLevelType w:val="singleLevel"/>
    <w:tmpl w:val="89577827"/>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E17CFC"/>
    <w:rsid w:val="0D2D33F3"/>
    <w:rsid w:val="0D87617E"/>
    <w:rsid w:val="1BD72702"/>
    <w:rsid w:val="20417A6B"/>
    <w:rsid w:val="22913A97"/>
    <w:rsid w:val="27082FA0"/>
    <w:rsid w:val="2A406970"/>
    <w:rsid w:val="30961666"/>
    <w:rsid w:val="31A10DAA"/>
    <w:rsid w:val="32371C88"/>
    <w:rsid w:val="39D10194"/>
    <w:rsid w:val="3C176A45"/>
    <w:rsid w:val="3D9F475C"/>
    <w:rsid w:val="3DE17510"/>
    <w:rsid w:val="3E5F598A"/>
    <w:rsid w:val="43A94A24"/>
    <w:rsid w:val="44E9488C"/>
    <w:rsid w:val="49A006F4"/>
    <w:rsid w:val="57DF11BC"/>
    <w:rsid w:val="5D6A7470"/>
    <w:rsid w:val="629B2A53"/>
    <w:rsid w:val="796D1843"/>
    <w:rsid w:val="7DE72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01"/>
    <w:basedOn w:val="6"/>
    <w:uiPriority w:val="0"/>
    <w:rPr>
      <w:rFonts w:hint="eastAsia" w:ascii="宋体" w:hAnsi="宋体" w:eastAsia="宋体" w:cs="宋体"/>
      <w:color w:val="000000"/>
      <w:sz w:val="24"/>
      <w:szCs w:val="24"/>
      <w:u w:val="none"/>
    </w:rPr>
  </w:style>
  <w:style w:type="character" w:customStyle="1" w:styleId="8">
    <w:name w:val="font81"/>
    <w:basedOn w:val="6"/>
    <w:uiPriority w:val="0"/>
    <w:rPr>
      <w:rFonts w:hint="eastAsia" w:ascii="宋体" w:hAnsi="宋体" w:eastAsia="宋体" w:cs="宋体"/>
      <w:color w:val="000000"/>
      <w:sz w:val="22"/>
      <w:szCs w:val="22"/>
      <w:u w:val="single"/>
    </w:rPr>
  </w:style>
  <w:style w:type="character" w:customStyle="1" w:styleId="9">
    <w:name w:val="font21"/>
    <w:basedOn w:val="6"/>
    <w:uiPriority w:val="0"/>
    <w:rPr>
      <w:rFonts w:hint="eastAsia" w:ascii="宋体" w:hAnsi="宋体" w:eastAsia="宋体" w:cs="宋体"/>
      <w:color w:val="000000"/>
      <w:sz w:val="22"/>
      <w:szCs w:val="22"/>
      <w:u w:val="none"/>
    </w:rPr>
  </w:style>
  <w:style w:type="character" w:customStyle="1" w:styleId="10">
    <w:name w:val="font91"/>
    <w:basedOn w:val="6"/>
    <w:uiPriority w:val="0"/>
    <w:rPr>
      <w:rFonts w:hint="eastAsia" w:ascii="宋体" w:hAnsi="宋体" w:eastAsia="宋体" w:cs="宋体"/>
      <w:color w:val="000000"/>
      <w:sz w:val="22"/>
      <w:szCs w:val="22"/>
      <w:u w:val="none"/>
    </w:rPr>
  </w:style>
  <w:style w:type="character" w:customStyle="1" w:styleId="11">
    <w:name w:val="font71"/>
    <w:basedOn w:val="6"/>
    <w:uiPriority w:val="0"/>
    <w:rPr>
      <w:rFonts w:hint="default" w:ascii="Arial" w:hAnsi="Arial" w:cs="Arial"/>
      <w:color w:val="000000"/>
      <w:sz w:val="22"/>
      <w:szCs w:val="22"/>
      <w:u w:val="none"/>
    </w:rPr>
  </w:style>
  <w:style w:type="character" w:customStyle="1" w:styleId="12">
    <w:name w:val="font41"/>
    <w:basedOn w:val="6"/>
    <w:uiPriority w:val="0"/>
    <w:rPr>
      <w:rFonts w:hint="eastAsia" w:ascii="宋体" w:hAnsi="宋体" w:eastAsia="宋体" w:cs="宋体"/>
      <w:color w:val="000000"/>
      <w:sz w:val="20"/>
      <w:szCs w:val="20"/>
      <w:u w:val="single"/>
    </w:rPr>
  </w:style>
  <w:style w:type="character" w:customStyle="1" w:styleId="13">
    <w:name w:val="font11"/>
    <w:basedOn w:val="6"/>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27</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2025-05-16T02:22:00Z</dcterms:created>
  <dc:creator>Administrator</dc:creator>
  <cp:lastModifiedBy>彭恭梅</cp:lastModifiedBy>
  <cp:lastPrinted>2025-10-29T02:41:00Z</cp:lastPrinted>
  <dcterms:modified xsi:type="dcterms:W3CDTF">2025-11-03T09:41:07Z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KSOTemplateDocerSaveRecord">
    <vt:lpwstr>eyJoZGlkIjoiOTNmMjg2NzI0ZTEzODI1MDdkZWUxMDM2MzlmMGI3N2IifQ==</vt:lpwstr>
  </property>
  <property fmtid="{D5CDD505-2E9C-101B-9397-08002B2CF9AE}" pid="4" name="ICV">
    <vt:lpwstr>2D1119C011594854986263436135BD72_12</vt:lpwstr>
  </property>
</Properties>
</file>