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val="en-US" w:eastAsia="zh-CN"/>
          <w14:ligatures w14:val="none"/>
        </w:rPr>
        <w:t>附件</w:t>
      </w:r>
    </w:p>
    <w:p>
      <w:pPr>
        <w:spacing w:line="560" w:lineRule="exact"/>
        <w:jc w:val="center"/>
        <w:rPr>
          <w:rFonts w:hint="eastAsia" w:ascii="方正小标宋简体" w:hAnsi="宋体" w:eastAsia="方正小标宋简体" w:cs="宋体"/>
          <w:kern w:val="0"/>
          <w:sz w:val="44"/>
          <w:szCs w:val="44"/>
          <w14:ligatures w14:val="none"/>
        </w:rPr>
      </w:pPr>
      <w:r>
        <w:rPr>
          <w:rFonts w:hint="eastAsia" w:ascii="方正小标宋简体" w:hAnsi="宋体" w:eastAsia="方正小标宋简体" w:cs="宋体"/>
          <w:kern w:val="0"/>
          <w:sz w:val="44"/>
          <w:szCs w:val="44"/>
          <w:lang w:val="en-US" w:eastAsia="zh-CN"/>
          <w14:ligatures w14:val="none"/>
        </w:rPr>
        <w:t>塔城地区应急管理局</w:t>
      </w:r>
      <w:r>
        <w:rPr>
          <w:rFonts w:hint="eastAsia" w:ascii="方正小标宋简体" w:hAnsi="宋体" w:eastAsia="方正小标宋简体" w:cs="宋体"/>
          <w:kern w:val="0"/>
          <w:sz w:val="44"/>
          <w:szCs w:val="44"/>
          <w14:ligatures w14:val="none"/>
        </w:rPr>
        <w:t>安全标准化达标公示</w:t>
      </w:r>
    </w:p>
    <w:p>
      <w:pPr>
        <w:pStyle w:val="2"/>
        <w:rPr>
          <w:rFonts w:hint="eastAsia"/>
        </w:rPr>
      </w:pPr>
    </w:p>
    <w:p>
      <w:pPr>
        <w:spacing w:line="560" w:lineRule="exact"/>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安全</w:t>
      </w:r>
      <w:r>
        <w:rPr>
          <w:rFonts w:hint="eastAsia" w:ascii="楷体_GB2312" w:hAnsi="楷体_GB2312" w:eastAsia="楷体_GB2312" w:cs="楷体_GB2312"/>
          <w:b/>
          <w:bCs/>
          <w:sz w:val="32"/>
          <w:szCs w:val="32"/>
          <w:lang w:val="en-US" w:eastAsia="zh-CN"/>
        </w:rPr>
        <w:t>生产</w:t>
      </w:r>
      <w:r>
        <w:rPr>
          <w:rFonts w:hint="eastAsia" w:ascii="楷体_GB2312" w:hAnsi="楷体_GB2312" w:eastAsia="楷体_GB2312" w:cs="楷体_GB2312"/>
          <w:b/>
          <w:bCs/>
          <w:sz w:val="32"/>
          <w:szCs w:val="32"/>
        </w:rPr>
        <w:t>标准化达标公示清单</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2025第1批</w:t>
      </w:r>
      <w:r>
        <w:rPr>
          <w:rFonts w:hint="eastAsia" w:ascii="楷体_GB2312" w:hAnsi="楷体_GB2312" w:eastAsia="楷体_GB2312" w:cs="楷体_GB2312"/>
          <w:b/>
          <w:bCs/>
          <w:sz w:val="32"/>
          <w:szCs w:val="32"/>
          <w:lang w:eastAsia="zh-CN"/>
        </w:rPr>
        <w:t>）</w:t>
      </w:r>
    </w:p>
    <w:tbl>
      <w:tblPr>
        <w:tblStyle w:val="6"/>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135"/>
        <w:gridCol w:w="153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序号</w:t>
            </w:r>
          </w:p>
        </w:tc>
        <w:tc>
          <w:tcPr>
            <w:tcW w:w="9135"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企业名称</w:t>
            </w:r>
          </w:p>
        </w:tc>
        <w:tc>
          <w:tcPr>
            <w:tcW w:w="1530"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等级标准</w:t>
            </w:r>
          </w:p>
        </w:tc>
        <w:tc>
          <w:tcPr>
            <w:tcW w:w="2488" w:type="dxa"/>
            <w:vAlign w:val="center"/>
          </w:tcPr>
          <w:p>
            <w:pPr>
              <w:jc w:val="center"/>
              <w:rPr>
                <w:rFonts w:hint="eastAsia" w:ascii="黑体" w:hAnsi="黑体" w:eastAsia="黑体" w:cs="黑体"/>
                <w:spacing w:val="-17"/>
                <w:sz w:val="36"/>
                <w:szCs w:val="36"/>
                <w:vertAlign w:val="baseline"/>
                <w:lang w:val="en-US" w:eastAsia="zh-CN"/>
              </w:rPr>
            </w:pPr>
            <w:r>
              <w:rPr>
                <w:rFonts w:hint="eastAsia" w:ascii="黑体" w:hAnsi="黑体" w:eastAsia="黑体" w:cs="黑体"/>
                <w:spacing w:val="-17"/>
                <w:sz w:val="36"/>
                <w:szCs w:val="3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w:t>
            </w:r>
          </w:p>
        </w:tc>
        <w:tc>
          <w:tcPr>
            <w:tcW w:w="9135" w:type="dxa"/>
            <w:vAlign w:val="center"/>
          </w:tcPr>
          <w:p>
            <w:pPr>
              <w:jc w:val="center"/>
              <w:rPr>
                <w:rFonts w:hint="default" w:ascii="黑体" w:hAnsi="黑体" w:eastAsia="黑体" w:cs="黑体"/>
                <w:spacing w:val="-17"/>
                <w:sz w:val="36"/>
                <w:szCs w:val="36"/>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沙湾京中新能源汽车服务有限公司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2</w:t>
            </w:r>
          </w:p>
        </w:tc>
        <w:tc>
          <w:tcPr>
            <w:tcW w:w="9135" w:type="dxa"/>
            <w:vAlign w:val="center"/>
          </w:tcPr>
          <w:p>
            <w:pPr>
              <w:jc w:val="center"/>
              <w:rPr>
                <w:rFonts w:hint="default" w:ascii="黑体" w:hAnsi="黑体" w:eastAsia="黑体" w:cs="黑体"/>
                <w:spacing w:val="-17"/>
                <w:sz w:val="36"/>
                <w:szCs w:val="36"/>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沙湾县中茂石化有限公司</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3</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沙湾创远加油站</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4</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新疆卓德能源有限责任公司（加油部分）</w:t>
            </w:r>
          </w:p>
        </w:tc>
        <w:tc>
          <w:tcPr>
            <w:tcW w:w="1530"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5</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沙湾县茂捷石化有限公司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6</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沙湾县恒硕石化有限公司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7</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沙湾县交通加油站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8</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沙湾中闽油联制品有限公司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9</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沙湾中福商贸有限公司大泉加油站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10</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沙湾中福商贸有限公司乌兰乌苏加油站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11</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中国石化销售股份有限公司新疆沙湾市北京路加油站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12</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中石化销售股份有限公司新疆疆北石油分公司托里县厚山加能站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13</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中石化销售股份有限公司新疆疆北石油分公司托里县庙尔沟加油加气站</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危化领域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14</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托里县龙盛石灰石矿</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非煤矿山领域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15</w:t>
            </w:r>
          </w:p>
        </w:tc>
        <w:tc>
          <w:tcPr>
            <w:tcW w:w="9135"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新疆兴泰纤维有限公司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eastAsia"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工贸领域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9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16</w:t>
            </w:r>
          </w:p>
        </w:tc>
        <w:tc>
          <w:tcPr>
            <w:tcW w:w="9135"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新疆天盾特种水泥有限公司</w:t>
            </w:r>
          </w:p>
        </w:tc>
        <w:tc>
          <w:tcPr>
            <w:tcW w:w="1530"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三级</w:t>
            </w:r>
          </w:p>
        </w:tc>
        <w:tc>
          <w:tcPr>
            <w:tcW w:w="2488" w:type="dxa"/>
            <w:vAlign w:val="center"/>
          </w:tcPr>
          <w:p>
            <w:pPr>
              <w:jc w:val="center"/>
              <w:rPr>
                <w:rFonts w:hint="default" w:ascii="仿宋_GB2312" w:hAnsi="仿宋_GB2312" w:eastAsia="仿宋_GB2312" w:cs="仿宋_GB2312"/>
                <w:spacing w:val="-17"/>
                <w:sz w:val="32"/>
                <w:szCs w:val="32"/>
                <w:vertAlign w:val="baseline"/>
                <w:lang w:val="en-US" w:eastAsia="zh-CN"/>
              </w:rPr>
            </w:pPr>
            <w:r>
              <w:rPr>
                <w:rFonts w:hint="eastAsia" w:ascii="仿宋_GB2312" w:hAnsi="仿宋_GB2312" w:eastAsia="仿宋_GB2312" w:cs="仿宋_GB2312"/>
                <w:spacing w:val="-17"/>
                <w:sz w:val="32"/>
                <w:szCs w:val="32"/>
                <w:vertAlign w:val="baseline"/>
                <w:lang w:val="en-US" w:eastAsia="zh-CN"/>
              </w:rPr>
              <w:t>工贸领域</w:t>
            </w:r>
          </w:p>
        </w:tc>
      </w:tr>
    </w:tbl>
    <w:p>
      <w:pPr>
        <w:rPr>
          <w:rFonts w:ascii="仿宋_GB2312" w:hAnsi="仿宋_GB2312" w:eastAsia="仿宋_GB2312" w:cs="仿宋_GB2312"/>
          <w:spacing w:val="-17"/>
          <w:sz w:val="24"/>
        </w:rPr>
      </w:pPr>
    </w:p>
    <w:p>
      <w:bookmarkStart w:id="0" w:name="_GoBack"/>
      <w:bookmarkEnd w:id="0"/>
    </w:p>
    <w:sectPr>
      <w:pgSz w:w="16783" w:h="11850" w:orient="landscape"/>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52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0"/>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2025-02-14T04:52:44Z</dcterms:created>
  <dc:creator>Administrator</dc:creator>
  <cp:lastModifiedBy>Administrator</cp:lastModifiedBy>
  <dcterms:modified xsi:type="dcterms:W3CDTF">2025-02-14T04:52:54Z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526227A6092C4C3B8020F71F5CF4966D</vt:lpwstr>
  </property>
</Properties>
</file>