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地区应急管理局行政许可公示信息</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年第</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期）</w:t>
      </w:r>
    </w:p>
    <w:p>
      <w:pPr>
        <w:spacing w:line="560" w:lineRule="exact"/>
        <w:jc w:val="center"/>
        <w:rPr>
          <w:rFonts w:hint="eastAsia" w:ascii="楷体_GB2312" w:hAnsi="楷体_GB2312" w:eastAsia="楷体_GB2312" w:cs="楷体_GB2312"/>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变更</w:t>
      </w:r>
      <w:r>
        <w:rPr>
          <w:rFonts w:hint="eastAsia" w:ascii="楷体_GB2312" w:hAnsi="楷体_GB2312" w:eastAsia="楷体_GB2312" w:cs="楷体_GB2312"/>
          <w:b/>
          <w:bCs/>
          <w:sz w:val="32"/>
          <w:szCs w:val="32"/>
        </w:rPr>
        <w:t>的危险化学品经营许可证清单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062"/>
        <w:gridCol w:w="927"/>
        <w:gridCol w:w="1407"/>
        <w:gridCol w:w="3731"/>
        <w:gridCol w:w="28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2584" w:type="dxa"/>
            <w:vAlign w:val="center"/>
          </w:tcPr>
          <w:p>
            <w:pPr>
              <w:jc w:val="center"/>
              <w:rPr>
                <w:rFonts w:hint="eastAsia" w:ascii="黑体" w:hAnsi="黑体" w:eastAsia="黑体" w:cs="黑体"/>
                <w:sz w:val="24"/>
              </w:rPr>
            </w:pPr>
            <w:r>
              <w:rPr>
                <w:rFonts w:hint="eastAsia" w:ascii="黑体" w:hAnsi="黑体" w:eastAsia="黑体" w:cs="黑体"/>
                <w:sz w:val="24"/>
              </w:rPr>
              <w:t>单位名称</w:t>
            </w:r>
          </w:p>
        </w:tc>
        <w:tc>
          <w:tcPr>
            <w:tcW w:w="2062" w:type="dxa"/>
            <w:vAlign w:val="center"/>
          </w:tcPr>
          <w:p>
            <w:pPr>
              <w:jc w:val="center"/>
              <w:rPr>
                <w:rFonts w:hint="eastAsia" w:ascii="黑体" w:hAnsi="黑体" w:eastAsia="黑体" w:cs="黑体"/>
                <w:sz w:val="24"/>
              </w:rPr>
            </w:pPr>
            <w:r>
              <w:rPr>
                <w:rFonts w:hint="eastAsia" w:ascii="黑体" w:hAnsi="黑体" w:eastAsia="黑体" w:cs="黑体"/>
                <w:sz w:val="24"/>
              </w:rPr>
              <w:t>单位地址</w:t>
            </w:r>
          </w:p>
        </w:tc>
        <w:tc>
          <w:tcPr>
            <w:tcW w:w="927" w:type="dxa"/>
            <w:vAlign w:val="center"/>
          </w:tcPr>
          <w:p>
            <w:pPr>
              <w:jc w:val="center"/>
              <w:rPr>
                <w:rFonts w:hint="eastAsia" w:ascii="黑体" w:hAnsi="黑体" w:eastAsia="黑体" w:cs="黑体"/>
                <w:sz w:val="24"/>
              </w:rPr>
            </w:pPr>
            <w:r>
              <w:rPr>
                <w:rFonts w:hint="eastAsia" w:ascii="黑体" w:hAnsi="黑体" w:eastAsia="黑体" w:cs="黑体"/>
                <w:sz w:val="24"/>
              </w:rPr>
              <w:t>负责人</w:t>
            </w:r>
          </w:p>
        </w:tc>
        <w:tc>
          <w:tcPr>
            <w:tcW w:w="1407" w:type="dxa"/>
            <w:vAlign w:val="center"/>
          </w:tcPr>
          <w:p>
            <w:pPr>
              <w:jc w:val="center"/>
              <w:rPr>
                <w:rFonts w:hint="eastAsia" w:ascii="黑体" w:hAnsi="黑体" w:eastAsia="黑体" w:cs="黑体"/>
                <w:sz w:val="24"/>
              </w:rPr>
            </w:pPr>
            <w:r>
              <w:rPr>
                <w:rFonts w:hint="eastAsia" w:ascii="黑体" w:hAnsi="黑体" w:eastAsia="黑体" w:cs="黑体"/>
                <w:sz w:val="24"/>
              </w:rPr>
              <w:t>许可范围</w:t>
            </w:r>
          </w:p>
        </w:tc>
        <w:tc>
          <w:tcPr>
            <w:tcW w:w="3731" w:type="dxa"/>
            <w:vAlign w:val="center"/>
          </w:tcPr>
          <w:p>
            <w:pPr>
              <w:jc w:val="center"/>
              <w:rPr>
                <w:rFonts w:hint="eastAsia" w:ascii="黑体" w:hAnsi="黑体" w:eastAsia="黑体" w:cs="黑体"/>
                <w:sz w:val="24"/>
              </w:rPr>
            </w:pPr>
            <w:r>
              <w:rPr>
                <w:rFonts w:hint="eastAsia" w:ascii="黑体" w:hAnsi="黑体" w:eastAsia="黑体" w:cs="黑体"/>
                <w:sz w:val="24"/>
              </w:rPr>
              <w:t>危险化学品经营许可证编号</w:t>
            </w:r>
          </w:p>
        </w:tc>
        <w:tc>
          <w:tcPr>
            <w:tcW w:w="2804" w:type="dxa"/>
            <w:vAlign w:val="center"/>
          </w:tcPr>
          <w:p>
            <w:pPr>
              <w:jc w:val="center"/>
              <w:rPr>
                <w:rFonts w:hint="eastAsia" w:ascii="黑体" w:hAnsi="黑体" w:eastAsia="黑体" w:cs="黑体"/>
                <w:sz w:val="24"/>
              </w:rPr>
            </w:pPr>
            <w:r>
              <w:rPr>
                <w:rFonts w:hint="eastAsia" w:ascii="黑体" w:hAnsi="黑体" w:eastAsia="黑体" w:cs="黑体"/>
                <w:sz w:val="24"/>
              </w:rPr>
              <w:t>许可证有效期</w:t>
            </w:r>
          </w:p>
        </w:tc>
        <w:tc>
          <w:tcPr>
            <w:tcW w:w="1549"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变更项目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7"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584"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沙湾中福商贸有限公司大泉加油站</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沙湾市中跃石油制品有限公司</w:t>
            </w:r>
          </w:p>
        </w:tc>
        <w:tc>
          <w:tcPr>
            <w:tcW w:w="2062" w:type="dxa"/>
            <w:vAlign w:val="center"/>
          </w:tcPr>
          <w:p>
            <w:pPr>
              <w:spacing w:line="400" w:lineRule="exact"/>
              <w:ind w:left="105" w:leftChars="50"/>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新疆塔城地区沙湾市大泉乡大泉路 43 号</w:t>
            </w:r>
          </w:p>
        </w:tc>
        <w:tc>
          <w:tcPr>
            <w:tcW w:w="927"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林建新</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p>
            <w:pPr>
              <w:spacing w:line="400" w:lineRule="exact"/>
              <w:ind w:left="105" w:leftChars="5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郑芳金</w:t>
            </w:r>
          </w:p>
        </w:tc>
        <w:tc>
          <w:tcPr>
            <w:tcW w:w="1407"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新塔地安经(甲)字【2022】001043</w:t>
            </w:r>
          </w:p>
        </w:tc>
        <w:tc>
          <w:tcPr>
            <w:tcW w:w="2804"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2/11/17</w:t>
            </w:r>
          </w:p>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5/11/18</w:t>
            </w:r>
          </w:p>
        </w:tc>
        <w:tc>
          <w:tcPr>
            <w:tcW w:w="1549"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rPr>
              <w:t>企业</w:t>
            </w:r>
            <w:r>
              <w:rPr>
                <w:rFonts w:hint="eastAsia" w:ascii="仿宋_GB2312" w:hAnsi="仿宋_GB2312" w:eastAsia="仿宋_GB2312" w:cs="仿宋_GB2312"/>
                <w:sz w:val="24"/>
                <w:lang w:val="en-US" w:eastAsia="zh-CN"/>
              </w:rPr>
              <w:t>名称、法人</w:t>
            </w:r>
            <w:r>
              <w:rPr>
                <w:rFonts w:hint="eastAsia" w:ascii="仿宋_GB2312" w:hAnsi="仿宋_GB2312" w:eastAsia="仿宋_GB2312" w:cs="仿宋_GB2312"/>
                <w:sz w:val="24"/>
              </w:rPr>
              <w:t>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仿宋_GB2312" w:eastAsia="仿宋_GB2312" w:cs="仿宋_GB2312"/>
                <w:lang w:eastAsia="zh-CN"/>
              </w:rPr>
            </w:pPr>
            <w:r>
              <w:rPr>
                <w:rFonts w:hint="eastAsia" w:ascii="仿宋_GB2312" w:hAnsi="仿宋_GB2312" w:eastAsia="仿宋_GB2312" w:cs="仿宋_GB2312"/>
                <w:kern w:val="2"/>
                <w:lang w:val="en-US" w:eastAsia="zh-CN"/>
              </w:rPr>
              <w:t>2</w:t>
            </w:r>
          </w:p>
        </w:tc>
        <w:tc>
          <w:tcPr>
            <w:tcW w:w="2584"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沙湾中福商贸有限公司商户地加油站</w:t>
            </w:r>
            <w:r>
              <w:rPr>
                <w:rFonts w:hint="eastAsia" w:ascii="仿宋_GB2312" w:hAnsi="仿宋_GB2312" w:eastAsia="仿宋_GB2312" w:cs="仿宋_GB2312"/>
                <w:sz w:val="24"/>
                <w:lang w:val="en-US" w:eastAsia="zh-CN"/>
              </w:rPr>
              <w:t>⬇</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沙湾市中霸石油制品有限公司</w:t>
            </w:r>
          </w:p>
        </w:tc>
        <w:tc>
          <w:tcPr>
            <w:tcW w:w="2062"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新疆塔城地区沙湾市商户地乡人民路3号</w:t>
            </w:r>
            <w:r>
              <w:rPr>
                <w:rFonts w:hint="eastAsia" w:ascii="仿宋_GB2312" w:hAnsi="仿宋_GB2312" w:eastAsia="仿宋_GB2312" w:cs="仿宋_GB2312"/>
                <w:sz w:val="24"/>
                <w:lang w:val="en-US" w:eastAsia="zh-CN"/>
              </w:rPr>
              <w:t>室)</w:t>
            </w:r>
          </w:p>
        </w:tc>
        <w:tc>
          <w:tcPr>
            <w:tcW w:w="927"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林建新</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color w:val="auto"/>
                <w:kern w:val="2"/>
                <w:sz w:val="24"/>
                <w:szCs w:val="24"/>
                <w:lang w:val="en-US" w:eastAsia="zh-CN" w:bidi="ar-SA"/>
              </w:rPr>
              <w:t>郑芳金</w:t>
            </w:r>
          </w:p>
        </w:tc>
        <w:tc>
          <w:tcPr>
            <w:tcW w:w="1407"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rPr>
              <w:t>新塔地危化经字【2023】001025</w:t>
            </w:r>
          </w:p>
        </w:tc>
        <w:tc>
          <w:tcPr>
            <w:tcW w:w="2804" w:type="dxa"/>
            <w:vAlign w:val="center"/>
          </w:tcPr>
          <w:p>
            <w:pPr>
              <w:spacing w:line="400" w:lineRule="exact"/>
              <w:ind w:left="105" w:leftChars="50"/>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3/7/24</w:t>
            </w:r>
          </w:p>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6/7/23</w:t>
            </w:r>
          </w:p>
        </w:tc>
        <w:tc>
          <w:tcPr>
            <w:tcW w:w="1549"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rPr>
              <w:t>企业</w:t>
            </w:r>
            <w:r>
              <w:rPr>
                <w:rFonts w:hint="eastAsia" w:ascii="仿宋_GB2312" w:hAnsi="仿宋_GB2312" w:eastAsia="仿宋_GB2312" w:cs="仿宋_GB2312"/>
                <w:sz w:val="24"/>
                <w:lang w:val="en-US" w:eastAsia="zh-CN"/>
              </w:rPr>
              <w:t>名称、法人</w:t>
            </w:r>
            <w:r>
              <w:rPr>
                <w:rFonts w:hint="eastAsia" w:ascii="仿宋_GB2312" w:hAnsi="仿宋_GB2312" w:eastAsia="仿宋_GB2312" w:cs="仿宋_GB2312"/>
                <w:sz w:val="24"/>
              </w:rPr>
              <w:t>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3</w:t>
            </w:r>
          </w:p>
        </w:tc>
        <w:tc>
          <w:tcPr>
            <w:tcW w:w="2584"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沙湾中福商贸有限公司乌兰乌苏加油站</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p>
            <w:pPr>
              <w:spacing w:line="400" w:lineRule="exact"/>
              <w:ind w:left="105" w:leftChars="5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沙湾市中廷石油制品有限公司</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新疆塔城地区沙湾市乌兰乌苏镇迎宾路2-26号</w:t>
            </w:r>
          </w:p>
        </w:tc>
        <w:tc>
          <w:tcPr>
            <w:tcW w:w="927" w:type="dxa"/>
            <w:vAlign w:val="center"/>
          </w:tcPr>
          <w:p>
            <w:pPr>
              <w:spacing w:line="400" w:lineRule="exact"/>
              <w:ind w:left="105" w:leftChars="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林建新</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p>
            <w:pPr>
              <w:spacing w:line="400" w:lineRule="exact"/>
              <w:ind w:left="105" w:leftChars="5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郑芳金</w:t>
            </w:r>
          </w:p>
        </w:tc>
        <w:tc>
          <w:tcPr>
            <w:tcW w:w="1407"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szCs w:val="24"/>
                <w:lang w:val="en-US" w:eastAsia="zh-CN"/>
              </w:rPr>
              <w:t>新塔地安经(甲)字【2022】001044</w:t>
            </w:r>
          </w:p>
        </w:tc>
        <w:tc>
          <w:tcPr>
            <w:tcW w:w="2804"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2/11/17</w:t>
            </w:r>
          </w:p>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5/11/18</w:t>
            </w:r>
          </w:p>
        </w:tc>
        <w:tc>
          <w:tcPr>
            <w:tcW w:w="1549"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企业</w:t>
            </w:r>
            <w:r>
              <w:rPr>
                <w:rFonts w:hint="eastAsia" w:ascii="仿宋_GB2312" w:hAnsi="仿宋_GB2312" w:eastAsia="仿宋_GB2312" w:cs="仿宋_GB2312"/>
                <w:sz w:val="24"/>
                <w:lang w:val="en-US" w:eastAsia="zh-CN"/>
              </w:rPr>
              <w:t>名称、法人</w:t>
            </w:r>
            <w:r>
              <w:rPr>
                <w:rFonts w:hint="eastAsia" w:ascii="仿宋_GB2312" w:hAnsi="仿宋_GB2312" w:eastAsia="仿宋_GB2312" w:cs="仿宋_GB2312"/>
                <w:sz w:val="24"/>
              </w:rPr>
              <w:t>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4</w:t>
            </w:r>
          </w:p>
        </w:tc>
        <w:tc>
          <w:tcPr>
            <w:tcW w:w="2584"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中国石化销售股份有限公司新疆奎屯独山子经济技术开发区石油分公司托里城区加油加气站⬇</w:t>
            </w:r>
          </w:p>
          <w:p>
            <w:pPr>
              <w:spacing w:line="400" w:lineRule="exact"/>
              <w:ind w:left="105" w:leftChars="5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塔城中石化兴塔能源销售有限责任公司托里县城区加油站</w:t>
            </w:r>
          </w:p>
        </w:tc>
        <w:tc>
          <w:tcPr>
            <w:tcW w:w="2062"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新疆塔城地区沙湾市商户地乡人民路3号</w:t>
            </w:r>
            <w:r>
              <w:rPr>
                <w:rFonts w:hint="eastAsia" w:ascii="仿宋_GB2312" w:hAnsi="仿宋_GB2312" w:eastAsia="仿宋_GB2312" w:cs="仿宋_GB2312"/>
                <w:sz w:val="24"/>
                <w:lang w:val="en-US" w:eastAsia="zh-CN"/>
              </w:rPr>
              <w:t>室)</w:t>
            </w:r>
          </w:p>
        </w:tc>
        <w:tc>
          <w:tcPr>
            <w:tcW w:w="927" w:type="dxa"/>
            <w:vAlign w:val="center"/>
          </w:tcPr>
          <w:p>
            <w:pPr>
              <w:spacing w:line="400" w:lineRule="exact"/>
              <w:ind w:left="105" w:leftChars="50"/>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kern w:val="2"/>
                <w:sz w:val="24"/>
                <w:szCs w:val="24"/>
                <w:lang w:val="en-US" w:eastAsia="zh-CN" w:bidi="ar-SA"/>
              </w:rPr>
              <w:t>孙钦柯</w:t>
            </w:r>
          </w:p>
        </w:tc>
        <w:tc>
          <w:tcPr>
            <w:tcW w:w="1407"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新塔地安经（甲）字 【2022】001002</w:t>
            </w:r>
          </w:p>
        </w:tc>
        <w:tc>
          <w:tcPr>
            <w:tcW w:w="2804" w:type="dxa"/>
            <w:vAlign w:val="center"/>
          </w:tcPr>
          <w:p>
            <w:pPr>
              <w:spacing w:line="400" w:lineRule="exact"/>
              <w:ind w:left="105" w:leftChars="50"/>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2/1/17</w:t>
            </w:r>
          </w:p>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5/1/18</w:t>
            </w:r>
          </w:p>
        </w:tc>
        <w:tc>
          <w:tcPr>
            <w:tcW w:w="1549"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企业</w:t>
            </w:r>
            <w:r>
              <w:rPr>
                <w:rFonts w:hint="eastAsia" w:ascii="仿宋_GB2312" w:hAnsi="仿宋_GB2312" w:eastAsia="仿宋_GB2312" w:cs="仿宋_GB2312"/>
                <w:sz w:val="24"/>
                <w:lang w:val="en-US" w:eastAsia="zh-CN"/>
              </w:rPr>
              <w:t>名称</w:t>
            </w:r>
            <w:r>
              <w:rPr>
                <w:rFonts w:hint="eastAsia" w:ascii="仿宋_GB2312" w:hAnsi="仿宋_GB2312" w:eastAsia="仿宋_GB2312" w:cs="仿宋_GB2312"/>
                <w:sz w:val="24"/>
              </w:rPr>
              <w:t>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5</w:t>
            </w:r>
          </w:p>
        </w:tc>
        <w:tc>
          <w:tcPr>
            <w:tcW w:w="2584"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中国石化销售股份有限公司新疆奎屯独山子经济技术开发区石油分公司托里外环路加油站</w:t>
            </w:r>
          </w:p>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p>
            <w:pPr>
              <w:spacing w:line="400" w:lineRule="exact"/>
              <w:ind w:left="105" w:leftChars="5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塔城中石化兴塔能源销售有限责任公司托里县外环路加油站</w:t>
            </w:r>
          </w:p>
        </w:tc>
        <w:tc>
          <w:tcPr>
            <w:tcW w:w="2062"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lang w:val="en-US" w:eastAsia="zh-CN"/>
              </w:rPr>
              <w:t>新疆塔城地区托里县外环路与省道S221交叉口东北侧150米处</w:t>
            </w:r>
          </w:p>
        </w:tc>
        <w:tc>
          <w:tcPr>
            <w:tcW w:w="927" w:type="dxa"/>
            <w:vAlign w:val="center"/>
          </w:tcPr>
          <w:p>
            <w:pPr>
              <w:spacing w:line="400" w:lineRule="exact"/>
              <w:ind w:left="105" w:leftChars="50"/>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kern w:val="2"/>
                <w:sz w:val="24"/>
                <w:szCs w:val="24"/>
                <w:lang w:val="en-US" w:eastAsia="zh-CN" w:bidi="ar-SA"/>
              </w:rPr>
              <w:t>孙钦柯</w:t>
            </w:r>
          </w:p>
        </w:tc>
        <w:tc>
          <w:tcPr>
            <w:tcW w:w="1407"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新塔地安经（甲）字 【2022】001001</w:t>
            </w:r>
          </w:p>
        </w:tc>
        <w:tc>
          <w:tcPr>
            <w:tcW w:w="2804" w:type="dxa"/>
            <w:vAlign w:val="center"/>
          </w:tcPr>
          <w:p>
            <w:pPr>
              <w:spacing w:line="400" w:lineRule="exact"/>
              <w:ind w:left="105" w:leftChars="50"/>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2/1/17</w:t>
            </w:r>
          </w:p>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5/1/18</w:t>
            </w:r>
          </w:p>
        </w:tc>
        <w:tc>
          <w:tcPr>
            <w:tcW w:w="1549"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企业</w:t>
            </w:r>
            <w:r>
              <w:rPr>
                <w:rFonts w:hint="eastAsia" w:ascii="仿宋_GB2312" w:hAnsi="仿宋_GB2312" w:eastAsia="仿宋_GB2312" w:cs="仿宋_GB2312"/>
                <w:sz w:val="24"/>
                <w:lang w:val="en-US" w:eastAsia="zh-CN"/>
              </w:rPr>
              <w:t>名称</w:t>
            </w:r>
            <w:r>
              <w:rPr>
                <w:rFonts w:hint="eastAsia" w:ascii="仿宋_GB2312" w:hAnsi="仿宋_GB2312" w:eastAsia="仿宋_GB2312" w:cs="仿宋_GB2312"/>
                <w:sz w:val="24"/>
              </w:rPr>
              <w:t>变更申请，通过</w:t>
            </w:r>
          </w:p>
        </w:tc>
      </w:tr>
    </w:tbl>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的危险化学品经营许可证清单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062"/>
        <w:gridCol w:w="927"/>
        <w:gridCol w:w="1407"/>
        <w:gridCol w:w="3731"/>
        <w:gridCol w:w="28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2584" w:type="dxa"/>
            <w:vAlign w:val="center"/>
          </w:tcPr>
          <w:p>
            <w:pPr>
              <w:jc w:val="center"/>
              <w:rPr>
                <w:rFonts w:hint="eastAsia" w:ascii="黑体" w:hAnsi="黑体" w:eastAsia="黑体" w:cs="黑体"/>
                <w:sz w:val="24"/>
              </w:rPr>
            </w:pPr>
            <w:r>
              <w:rPr>
                <w:rFonts w:hint="eastAsia" w:ascii="黑体" w:hAnsi="黑体" w:eastAsia="黑体" w:cs="黑体"/>
                <w:sz w:val="24"/>
              </w:rPr>
              <w:t>单位名称</w:t>
            </w:r>
          </w:p>
        </w:tc>
        <w:tc>
          <w:tcPr>
            <w:tcW w:w="2062" w:type="dxa"/>
            <w:vAlign w:val="center"/>
          </w:tcPr>
          <w:p>
            <w:pPr>
              <w:jc w:val="center"/>
              <w:rPr>
                <w:rFonts w:hint="eastAsia" w:ascii="黑体" w:hAnsi="黑体" w:eastAsia="黑体" w:cs="黑体"/>
                <w:sz w:val="24"/>
              </w:rPr>
            </w:pPr>
            <w:r>
              <w:rPr>
                <w:rFonts w:hint="eastAsia" w:ascii="黑体" w:hAnsi="黑体" w:eastAsia="黑体" w:cs="黑体"/>
                <w:sz w:val="24"/>
              </w:rPr>
              <w:t>单位地址</w:t>
            </w:r>
          </w:p>
        </w:tc>
        <w:tc>
          <w:tcPr>
            <w:tcW w:w="927" w:type="dxa"/>
            <w:vAlign w:val="center"/>
          </w:tcPr>
          <w:p>
            <w:pPr>
              <w:jc w:val="center"/>
              <w:rPr>
                <w:rFonts w:hint="eastAsia" w:ascii="黑体" w:hAnsi="黑体" w:eastAsia="黑体" w:cs="黑体"/>
                <w:sz w:val="24"/>
              </w:rPr>
            </w:pPr>
            <w:r>
              <w:rPr>
                <w:rFonts w:hint="eastAsia" w:ascii="黑体" w:hAnsi="黑体" w:eastAsia="黑体" w:cs="黑体"/>
                <w:sz w:val="24"/>
              </w:rPr>
              <w:t>负责人</w:t>
            </w:r>
          </w:p>
        </w:tc>
        <w:tc>
          <w:tcPr>
            <w:tcW w:w="1407" w:type="dxa"/>
            <w:vAlign w:val="center"/>
          </w:tcPr>
          <w:p>
            <w:pPr>
              <w:jc w:val="center"/>
              <w:rPr>
                <w:rFonts w:hint="eastAsia" w:ascii="黑体" w:hAnsi="黑体" w:eastAsia="黑体" w:cs="黑体"/>
                <w:sz w:val="24"/>
              </w:rPr>
            </w:pPr>
            <w:r>
              <w:rPr>
                <w:rFonts w:hint="eastAsia" w:ascii="黑体" w:hAnsi="黑体" w:eastAsia="黑体" w:cs="黑体"/>
                <w:sz w:val="24"/>
              </w:rPr>
              <w:t>许可范围</w:t>
            </w:r>
          </w:p>
        </w:tc>
        <w:tc>
          <w:tcPr>
            <w:tcW w:w="3731" w:type="dxa"/>
            <w:vAlign w:val="center"/>
          </w:tcPr>
          <w:p>
            <w:pPr>
              <w:jc w:val="center"/>
              <w:rPr>
                <w:rFonts w:hint="eastAsia" w:ascii="黑体" w:hAnsi="黑体" w:eastAsia="黑体" w:cs="黑体"/>
                <w:sz w:val="24"/>
              </w:rPr>
            </w:pPr>
            <w:r>
              <w:rPr>
                <w:rFonts w:hint="eastAsia" w:ascii="黑体" w:hAnsi="黑体" w:eastAsia="黑体" w:cs="黑体"/>
                <w:sz w:val="24"/>
              </w:rPr>
              <w:t>危险化学品经营许可证编号</w:t>
            </w:r>
          </w:p>
        </w:tc>
        <w:tc>
          <w:tcPr>
            <w:tcW w:w="2804" w:type="dxa"/>
            <w:vAlign w:val="center"/>
          </w:tcPr>
          <w:p>
            <w:pPr>
              <w:jc w:val="center"/>
              <w:rPr>
                <w:rFonts w:hint="eastAsia" w:ascii="黑体" w:hAnsi="黑体" w:eastAsia="黑体" w:cs="黑体"/>
                <w:sz w:val="24"/>
              </w:rPr>
            </w:pPr>
            <w:r>
              <w:rPr>
                <w:rFonts w:hint="eastAsia" w:ascii="黑体" w:hAnsi="黑体" w:eastAsia="黑体" w:cs="黑体"/>
                <w:sz w:val="24"/>
              </w:rPr>
              <w:t>许可证有效期</w:t>
            </w:r>
          </w:p>
        </w:tc>
        <w:tc>
          <w:tcPr>
            <w:tcW w:w="1549"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办结项目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塔城市中茂能源有限公司</w:t>
            </w:r>
          </w:p>
        </w:tc>
        <w:tc>
          <w:tcPr>
            <w:tcW w:w="2062" w:type="dxa"/>
            <w:vAlign w:val="center"/>
          </w:tcPr>
          <w:p>
            <w:pPr>
              <w:spacing w:line="400" w:lineRule="exact"/>
              <w:ind w:left="105" w:leftChars="50"/>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塔城市恰夏镇恰夏村委会120号</w:t>
            </w:r>
          </w:p>
        </w:tc>
        <w:tc>
          <w:tcPr>
            <w:tcW w:w="927" w:type="dxa"/>
            <w:vAlign w:val="center"/>
          </w:tcPr>
          <w:p>
            <w:pPr>
              <w:spacing w:line="400" w:lineRule="exact"/>
              <w:ind w:left="105" w:leftChars="50"/>
              <w:jc w:val="both"/>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何文琴</w:t>
            </w:r>
          </w:p>
        </w:tc>
        <w:tc>
          <w:tcPr>
            <w:tcW w:w="1407" w:type="dxa"/>
            <w:vAlign w:val="center"/>
          </w:tcPr>
          <w:p>
            <w:pPr>
              <w:spacing w:line="400" w:lineRule="exact"/>
              <w:ind w:left="105" w:leftChars="50"/>
              <w:rPr>
                <w:rFonts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新塔地危化经字【2025】001</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14</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2028</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13</w:t>
            </w:r>
          </w:p>
        </w:tc>
        <w:tc>
          <w:tcPr>
            <w:tcW w:w="1549" w:type="dxa"/>
            <w:vAlign w:val="center"/>
          </w:tcPr>
          <w:p>
            <w:pPr>
              <w:spacing w:line="400" w:lineRule="exact"/>
              <w:ind w:left="105" w:leftChars="5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2</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中石油新疆销售有限公司塔城分公司额敏工业园区南加油站</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新疆塔城地区额敏县郊区乡锡伯特G335国道南侧</w:t>
            </w:r>
          </w:p>
        </w:tc>
        <w:tc>
          <w:tcPr>
            <w:tcW w:w="927" w:type="dxa"/>
            <w:vAlign w:val="center"/>
          </w:tcPr>
          <w:p>
            <w:pPr>
              <w:spacing w:line="400" w:lineRule="exact"/>
              <w:ind w:left="105" w:leftChars="5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韩广利</w:t>
            </w:r>
          </w:p>
        </w:tc>
        <w:tc>
          <w:tcPr>
            <w:tcW w:w="1407"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新塔地危化经字【2025】002</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2025/1/9</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2028/1/8</w:t>
            </w:r>
          </w:p>
        </w:tc>
        <w:tc>
          <w:tcPr>
            <w:tcW w:w="1549"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3</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乌苏市中团加油站</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新疆塔城地区乌苏市甘河子镇杨家庄子村三组村委会001号</w:t>
            </w:r>
          </w:p>
        </w:tc>
        <w:tc>
          <w:tcPr>
            <w:tcW w:w="927"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李胜习</w:t>
            </w:r>
          </w:p>
        </w:tc>
        <w:tc>
          <w:tcPr>
            <w:tcW w:w="1407"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新塔地危化经字【2025】003</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2025/1/9</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2028/1/8</w:t>
            </w:r>
          </w:p>
        </w:tc>
        <w:tc>
          <w:tcPr>
            <w:tcW w:w="1549"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4</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沙湾赛福化工有限公司</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新疆塔城地区沙湾市塔城西路 31-221</w:t>
            </w:r>
          </w:p>
        </w:tc>
        <w:tc>
          <w:tcPr>
            <w:tcW w:w="927"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王红</w:t>
            </w:r>
          </w:p>
        </w:tc>
        <w:tc>
          <w:tcPr>
            <w:tcW w:w="1407" w:type="dxa"/>
            <w:vAlign w:val="center"/>
          </w:tcPr>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硫磺</w:t>
            </w:r>
          </w:p>
        </w:tc>
        <w:tc>
          <w:tcPr>
            <w:tcW w:w="3731"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新塔地危化经字【2025】004</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2025/1/9</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2028/1/8</w:t>
            </w:r>
          </w:p>
        </w:tc>
        <w:tc>
          <w:tcPr>
            <w:tcW w:w="1549"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5</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中国石化销售股份有限公司新疆疆北石油分公司托里县厚山加能站</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新疆塔城地区托里县准噶尔开发区惠民路 35号</w:t>
            </w:r>
          </w:p>
        </w:tc>
        <w:tc>
          <w:tcPr>
            <w:tcW w:w="927"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缪准</w:t>
            </w:r>
          </w:p>
        </w:tc>
        <w:tc>
          <w:tcPr>
            <w:tcW w:w="1407"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新塔地危化经字【2025】005</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2025/2/14</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2028/2/13</w:t>
            </w:r>
          </w:p>
        </w:tc>
        <w:tc>
          <w:tcPr>
            <w:tcW w:w="1549"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6</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中国石化销售股份有限公司新疆疆北石油分公司托里县庙尔沟加油加气站</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新疆塔城地区托里县庙尔沟新镇省道 S221路</w:t>
            </w:r>
          </w:p>
        </w:tc>
        <w:tc>
          <w:tcPr>
            <w:tcW w:w="927"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缪准</w:t>
            </w:r>
          </w:p>
        </w:tc>
        <w:tc>
          <w:tcPr>
            <w:tcW w:w="1407"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新塔地危化经字【2025】006</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2025/1/9</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2028/1/8</w:t>
            </w:r>
          </w:p>
        </w:tc>
        <w:tc>
          <w:tcPr>
            <w:tcW w:w="1549"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7</w:t>
            </w:r>
          </w:p>
        </w:tc>
        <w:tc>
          <w:tcPr>
            <w:tcW w:w="2584" w:type="dxa"/>
            <w:vAlign w:val="center"/>
          </w:tcPr>
          <w:p>
            <w:pPr>
              <w:spacing w:line="400" w:lineRule="exact"/>
              <w:ind w:left="105" w:leftChars="5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中石油新疆销售有限公司塔城沙湾沙北加油站</w:t>
            </w:r>
          </w:p>
        </w:tc>
        <w:tc>
          <w:tcPr>
            <w:tcW w:w="2062" w:type="dxa"/>
            <w:vAlign w:val="center"/>
          </w:tcPr>
          <w:p>
            <w:pPr>
              <w:spacing w:line="400" w:lineRule="exact"/>
              <w:ind w:left="105" w:leftChars="5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新疆塔城地区沙湾市沙北区呼克公路238公里处(沙湾市小拐农业开发区管委会办公楼西南方向5公里处)</w:t>
            </w:r>
          </w:p>
        </w:tc>
        <w:tc>
          <w:tcPr>
            <w:tcW w:w="927" w:type="dxa"/>
            <w:vAlign w:val="center"/>
          </w:tcPr>
          <w:p>
            <w:pPr>
              <w:spacing w:line="400" w:lineRule="exact"/>
              <w:ind w:left="105" w:leftChars="5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韩广利</w:t>
            </w:r>
          </w:p>
        </w:tc>
        <w:tc>
          <w:tcPr>
            <w:tcW w:w="1407" w:type="dxa"/>
            <w:vAlign w:val="center"/>
          </w:tcPr>
          <w:p>
            <w:pPr>
              <w:spacing w:line="400" w:lineRule="exact"/>
              <w:ind w:left="105" w:leftChars="50"/>
              <w:rPr>
                <w:rFonts w:hint="eastAsia" w:ascii="仿宋_GB2312" w:hAnsi="仿宋_GB2312" w:eastAsia="仿宋_GB2312" w:cs="仿宋_GB2312"/>
                <w:sz w:val="24"/>
              </w:rPr>
            </w:pPr>
            <w:r>
              <w:rPr>
                <w:rFonts w:hint="eastAsia" w:ascii="仿宋_GB2312" w:hAnsi="仿宋_GB2312" w:eastAsia="仿宋_GB2312" w:cs="仿宋_GB2312"/>
                <w:sz w:val="24"/>
              </w:rPr>
              <w:t>汽油、柴油</w:t>
            </w:r>
          </w:p>
        </w:tc>
        <w:tc>
          <w:tcPr>
            <w:tcW w:w="3731"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新塔地危化经字【2025】007</w:t>
            </w:r>
          </w:p>
        </w:tc>
        <w:tc>
          <w:tcPr>
            <w:tcW w:w="2804"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2025/1/9</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2028/1/8</w:t>
            </w:r>
          </w:p>
        </w:tc>
        <w:tc>
          <w:tcPr>
            <w:tcW w:w="1549" w:type="dxa"/>
            <w:vAlign w:val="center"/>
          </w:tcPr>
          <w:p>
            <w:pPr>
              <w:spacing w:line="400" w:lineRule="exact"/>
              <w:ind w:left="105" w:leftChars="5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危险化学品经营许可（新办）</w:t>
            </w:r>
          </w:p>
        </w:tc>
      </w:tr>
    </w:tbl>
    <w:p>
      <w:pPr>
        <w:spacing w:line="560" w:lineRule="exact"/>
        <w:jc w:val="center"/>
        <w:rPr>
          <w:rFonts w:hint="eastAsia" w:ascii="楷体_GB2312" w:hAnsi="楷体_GB2312" w:eastAsia="楷体_GB2312" w:cs="楷体_GB2312"/>
          <w:b/>
          <w:bCs/>
          <w:sz w:val="32"/>
          <w:szCs w:val="32"/>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w:t>
      </w:r>
      <w:r>
        <w:rPr>
          <w:rFonts w:hint="eastAsia" w:ascii="楷体_GB2312" w:hAnsi="楷体_GB2312" w:eastAsia="楷体_GB2312" w:cs="楷体_GB2312"/>
          <w:b/>
          <w:bCs/>
          <w:sz w:val="32"/>
          <w:szCs w:val="32"/>
          <w:lang w:val="en-US" w:eastAsia="zh-CN"/>
        </w:rPr>
        <w:t>建设项目</w:t>
      </w:r>
      <w:r>
        <w:rPr>
          <w:rFonts w:hint="eastAsia" w:ascii="楷体_GB2312" w:hAnsi="楷体_GB2312" w:eastAsia="楷体_GB2312" w:cs="楷体_GB2312"/>
          <w:b/>
          <w:bCs/>
          <w:sz w:val="32"/>
          <w:szCs w:val="32"/>
        </w:rPr>
        <w:t>安全设施设计审查清单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106"/>
        <w:gridCol w:w="4232"/>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2898" w:type="dxa"/>
            <w:vAlign w:val="center"/>
          </w:tcPr>
          <w:p>
            <w:pPr>
              <w:jc w:val="center"/>
              <w:rPr>
                <w:rFonts w:hint="eastAsia" w:ascii="黑体" w:hAnsi="黑体" w:eastAsia="黑体" w:cs="黑体"/>
                <w:sz w:val="24"/>
              </w:rPr>
            </w:pPr>
            <w:r>
              <w:rPr>
                <w:rFonts w:hint="eastAsia" w:ascii="黑体" w:hAnsi="黑体" w:eastAsia="黑体" w:cs="黑体"/>
                <w:sz w:val="24"/>
                <w:lang w:val="en-US" w:eastAsia="zh-CN"/>
              </w:rPr>
              <w:t>项目</w:t>
            </w:r>
            <w:r>
              <w:rPr>
                <w:rFonts w:hint="eastAsia" w:ascii="黑体" w:hAnsi="黑体" w:eastAsia="黑体" w:cs="黑体"/>
                <w:sz w:val="24"/>
              </w:rPr>
              <w:t>名称</w:t>
            </w:r>
          </w:p>
        </w:tc>
        <w:tc>
          <w:tcPr>
            <w:tcW w:w="2728" w:type="dxa"/>
            <w:vAlign w:val="center"/>
          </w:tcPr>
          <w:p>
            <w:pPr>
              <w:jc w:val="center"/>
              <w:rPr>
                <w:rFonts w:hint="eastAsia" w:ascii="黑体" w:hAnsi="黑体" w:eastAsia="黑体" w:cs="黑体"/>
                <w:sz w:val="24"/>
              </w:rPr>
            </w:pPr>
            <w:r>
              <w:rPr>
                <w:rFonts w:hint="eastAsia" w:ascii="黑体" w:hAnsi="黑体" w:eastAsia="黑体" w:cs="黑体"/>
                <w:sz w:val="24"/>
              </w:rPr>
              <w:t>单位地址</w:t>
            </w:r>
          </w:p>
        </w:tc>
        <w:tc>
          <w:tcPr>
            <w:tcW w:w="1036" w:type="dxa"/>
            <w:vAlign w:val="center"/>
          </w:tcPr>
          <w:p>
            <w:pPr>
              <w:jc w:val="center"/>
              <w:rPr>
                <w:rFonts w:hint="eastAsia" w:ascii="黑体" w:hAnsi="黑体" w:eastAsia="黑体" w:cs="黑体"/>
                <w:sz w:val="24"/>
              </w:rPr>
            </w:pPr>
            <w:r>
              <w:rPr>
                <w:rFonts w:hint="eastAsia" w:ascii="黑体" w:hAnsi="黑体" w:eastAsia="黑体" w:cs="黑体"/>
                <w:sz w:val="24"/>
              </w:rPr>
              <w:t>负责人</w:t>
            </w:r>
          </w:p>
        </w:tc>
        <w:tc>
          <w:tcPr>
            <w:tcW w:w="2106"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审查类型</w:t>
            </w:r>
          </w:p>
        </w:tc>
        <w:tc>
          <w:tcPr>
            <w:tcW w:w="4232" w:type="dxa"/>
            <w:vAlign w:val="center"/>
          </w:tcPr>
          <w:p>
            <w:pPr>
              <w:jc w:val="center"/>
              <w:rPr>
                <w:rFonts w:hint="eastAsia" w:ascii="黑体" w:hAnsi="黑体" w:eastAsia="黑体" w:cs="黑体"/>
                <w:sz w:val="24"/>
              </w:rPr>
            </w:pPr>
            <w:r>
              <w:rPr>
                <w:rFonts w:hint="eastAsia" w:ascii="黑体" w:hAnsi="黑体" w:eastAsia="黑体" w:cs="黑体"/>
                <w:sz w:val="24"/>
              </w:rPr>
              <w:t>行政许可决定文书号</w:t>
            </w:r>
          </w:p>
        </w:tc>
        <w:tc>
          <w:tcPr>
            <w:tcW w:w="2008"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898" w:type="dxa"/>
            <w:vAlign w:val="center"/>
          </w:tcPr>
          <w:p>
            <w:pPr>
              <w:spacing w:line="400" w:lineRule="exact"/>
              <w:ind w:left="105" w:leftChars="5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乌苏市兴融建设投资集团有限责任公司甘河子加油站项目</w:t>
            </w:r>
          </w:p>
        </w:tc>
        <w:tc>
          <w:tcPr>
            <w:tcW w:w="2728" w:type="dxa"/>
            <w:vAlign w:val="center"/>
          </w:tcPr>
          <w:p>
            <w:pPr>
              <w:spacing w:line="400" w:lineRule="exact"/>
              <w:ind w:left="105" w:leftChars="5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新疆塔城地区乌苏市新区兴财公司综合楼</w:t>
            </w:r>
          </w:p>
        </w:tc>
        <w:tc>
          <w:tcPr>
            <w:tcW w:w="1036" w:type="dxa"/>
            <w:vAlign w:val="center"/>
          </w:tcPr>
          <w:p>
            <w:pPr>
              <w:spacing w:line="400" w:lineRule="exact"/>
              <w:ind w:left="105" w:leftChars="5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王东平</w:t>
            </w:r>
          </w:p>
        </w:tc>
        <w:tc>
          <w:tcPr>
            <w:tcW w:w="2106" w:type="dxa"/>
            <w:vAlign w:val="center"/>
          </w:tcPr>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安全设施设计审查</w:t>
            </w:r>
          </w:p>
        </w:tc>
        <w:tc>
          <w:tcPr>
            <w:tcW w:w="4232" w:type="dxa"/>
            <w:vAlign w:val="center"/>
          </w:tcPr>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塔应急危化项目安设审字【2025】1号</w:t>
            </w:r>
          </w:p>
        </w:tc>
        <w:tc>
          <w:tcPr>
            <w:tcW w:w="2008"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通过</w:t>
            </w:r>
          </w:p>
        </w:tc>
      </w:tr>
    </w:tbl>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烟花爆竹建设项目</w:t>
      </w:r>
      <w:r>
        <w:rPr>
          <w:rFonts w:hint="eastAsia" w:ascii="楷体_GB2312" w:hAnsi="楷体_GB2312" w:eastAsia="楷体_GB2312" w:cs="楷体_GB2312"/>
          <w:b/>
          <w:bCs/>
          <w:sz w:val="32"/>
          <w:szCs w:val="32"/>
        </w:rPr>
        <w:t>安全设施设计审查清单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106"/>
        <w:gridCol w:w="48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2898" w:type="dxa"/>
            <w:vAlign w:val="center"/>
          </w:tcPr>
          <w:p>
            <w:pPr>
              <w:jc w:val="center"/>
              <w:rPr>
                <w:rFonts w:hint="eastAsia" w:ascii="黑体" w:hAnsi="黑体" w:eastAsia="黑体" w:cs="黑体"/>
                <w:sz w:val="24"/>
              </w:rPr>
            </w:pPr>
            <w:r>
              <w:rPr>
                <w:rFonts w:hint="eastAsia" w:ascii="黑体" w:hAnsi="黑体" w:eastAsia="黑体" w:cs="黑体"/>
                <w:sz w:val="24"/>
                <w:lang w:val="en-US" w:eastAsia="zh-CN"/>
              </w:rPr>
              <w:t>项目</w:t>
            </w:r>
            <w:r>
              <w:rPr>
                <w:rFonts w:hint="eastAsia" w:ascii="黑体" w:hAnsi="黑体" w:eastAsia="黑体" w:cs="黑体"/>
                <w:sz w:val="24"/>
              </w:rPr>
              <w:t>名称</w:t>
            </w:r>
          </w:p>
        </w:tc>
        <w:tc>
          <w:tcPr>
            <w:tcW w:w="2728" w:type="dxa"/>
            <w:vAlign w:val="center"/>
          </w:tcPr>
          <w:p>
            <w:pPr>
              <w:jc w:val="center"/>
              <w:rPr>
                <w:rFonts w:hint="eastAsia" w:ascii="黑体" w:hAnsi="黑体" w:eastAsia="黑体" w:cs="黑体"/>
                <w:sz w:val="24"/>
              </w:rPr>
            </w:pPr>
            <w:r>
              <w:rPr>
                <w:rFonts w:hint="eastAsia" w:ascii="黑体" w:hAnsi="黑体" w:eastAsia="黑体" w:cs="黑体"/>
                <w:sz w:val="24"/>
              </w:rPr>
              <w:t>单位地址</w:t>
            </w:r>
          </w:p>
        </w:tc>
        <w:tc>
          <w:tcPr>
            <w:tcW w:w="1036" w:type="dxa"/>
            <w:vAlign w:val="center"/>
          </w:tcPr>
          <w:p>
            <w:pPr>
              <w:jc w:val="center"/>
              <w:rPr>
                <w:rFonts w:hint="eastAsia" w:ascii="黑体" w:hAnsi="黑体" w:eastAsia="黑体" w:cs="黑体"/>
                <w:sz w:val="24"/>
              </w:rPr>
            </w:pPr>
            <w:r>
              <w:rPr>
                <w:rFonts w:hint="eastAsia" w:ascii="黑体" w:hAnsi="黑体" w:eastAsia="黑体" w:cs="黑体"/>
                <w:sz w:val="24"/>
              </w:rPr>
              <w:t>负责人</w:t>
            </w:r>
          </w:p>
        </w:tc>
        <w:tc>
          <w:tcPr>
            <w:tcW w:w="2106"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审查类型</w:t>
            </w:r>
          </w:p>
        </w:tc>
        <w:tc>
          <w:tcPr>
            <w:tcW w:w="4821" w:type="dxa"/>
            <w:vAlign w:val="center"/>
          </w:tcPr>
          <w:p>
            <w:pPr>
              <w:jc w:val="center"/>
              <w:rPr>
                <w:rFonts w:hint="eastAsia" w:ascii="黑体" w:hAnsi="黑体" w:eastAsia="黑体" w:cs="黑体"/>
                <w:sz w:val="24"/>
              </w:rPr>
            </w:pPr>
            <w:r>
              <w:rPr>
                <w:rFonts w:hint="eastAsia" w:ascii="黑体" w:hAnsi="黑体" w:eastAsia="黑体" w:cs="黑体"/>
                <w:sz w:val="24"/>
              </w:rPr>
              <w:t>行政许可决定文书号</w:t>
            </w:r>
          </w:p>
        </w:tc>
        <w:tc>
          <w:tcPr>
            <w:tcW w:w="1419"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898" w:type="dxa"/>
            <w:vAlign w:val="center"/>
          </w:tcPr>
          <w:p>
            <w:pPr>
              <w:spacing w:line="400" w:lineRule="exact"/>
              <w:ind w:left="105" w:leftChars="5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额敏县庄汇日杂棉麻有限责任公司烟花爆竹仓库建设项目</w:t>
            </w:r>
          </w:p>
        </w:tc>
        <w:tc>
          <w:tcPr>
            <w:tcW w:w="2728" w:type="dxa"/>
            <w:vAlign w:val="center"/>
          </w:tcPr>
          <w:p>
            <w:pPr>
              <w:spacing w:line="400" w:lineRule="exact"/>
              <w:ind w:left="105" w:leftChars="5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新疆塔城地区额敏县中心路39号</w:t>
            </w:r>
          </w:p>
        </w:tc>
        <w:tc>
          <w:tcPr>
            <w:tcW w:w="1036" w:type="dxa"/>
            <w:vAlign w:val="center"/>
          </w:tcPr>
          <w:p>
            <w:pPr>
              <w:spacing w:line="400" w:lineRule="exact"/>
              <w:ind w:left="105" w:leftChars="5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张晓锋</w:t>
            </w:r>
          </w:p>
        </w:tc>
        <w:tc>
          <w:tcPr>
            <w:tcW w:w="2106" w:type="dxa"/>
            <w:vAlign w:val="center"/>
          </w:tcPr>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安全设施设计审查</w:t>
            </w:r>
          </w:p>
        </w:tc>
        <w:tc>
          <w:tcPr>
            <w:tcW w:w="4821" w:type="dxa"/>
            <w:vAlign w:val="center"/>
          </w:tcPr>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塔应急烟花爆竹项目安设审字【2025】1号</w:t>
            </w:r>
          </w:p>
        </w:tc>
        <w:tc>
          <w:tcPr>
            <w:tcW w:w="1419"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通过</w:t>
            </w:r>
          </w:p>
        </w:tc>
      </w:tr>
    </w:tbl>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非药品类易制毒化学品生产（经营）备案证明</w:t>
      </w:r>
      <w:r>
        <w:rPr>
          <w:rFonts w:hint="eastAsia" w:ascii="楷体_GB2312" w:hAnsi="楷体_GB2312" w:eastAsia="楷体_GB2312" w:cs="楷体_GB2312"/>
          <w:b/>
          <w:bCs/>
          <w:sz w:val="32"/>
          <w:szCs w:val="32"/>
        </w:rPr>
        <w:t>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278"/>
        <w:gridCol w:w="3699"/>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2898"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单位名称</w:t>
            </w:r>
          </w:p>
        </w:tc>
        <w:tc>
          <w:tcPr>
            <w:tcW w:w="2728" w:type="dxa"/>
            <w:vAlign w:val="center"/>
          </w:tcPr>
          <w:p>
            <w:pPr>
              <w:jc w:val="center"/>
              <w:rPr>
                <w:rFonts w:hint="eastAsia" w:ascii="黑体" w:hAnsi="黑体" w:eastAsia="黑体" w:cs="黑体"/>
                <w:sz w:val="24"/>
              </w:rPr>
            </w:pPr>
            <w:r>
              <w:rPr>
                <w:rFonts w:hint="eastAsia" w:ascii="黑体" w:hAnsi="黑体" w:eastAsia="黑体" w:cs="黑体"/>
                <w:sz w:val="24"/>
              </w:rPr>
              <w:t>单位地址</w:t>
            </w:r>
          </w:p>
        </w:tc>
        <w:tc>
          <w:tcPr>
            <w:tcW w:w="1036" w:type="dxa"/>
            <w:vAlign w:val="center"/>
          </w:tcPr>
          <w:p>
            <w:pPr>
              <w:jc w:val="center"/>
              <w:rPr>
                <w:rFonts w:hint="eastAsia" w:ascii="黑体" w:hAnsi="黑体" w:eastAsia="黑体" w:cs="黑体"/>
                <w:sz w:val="24"/>
              </w:rPr>
            </w:pPr>
            <w:r>
              <w:rPr>
                <w:rFonts w:hint="eastAsia" w:ascii="黑体" w:hAnsi="黑体" w:eastAsia="黑体" w:cs="黑体"/>
                <w:sz w:val="24"/>
              </w:rPr>
              <w:t>负责人</w:t>
            </w:r>
          </w:p>
        </w:tc>
        <w:tc>
          <w:tcPr>
            <w:tcW w:w="2278"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备案类型</w:t>
            </w:r>
          </w:p>
        </w:tc>
        <w:tc>
          <w:tcPr>
            <w:tcW w:w="3699" w:type="dxa"/>
            <w:vAlign w:val="center"/>
          </w:tcPr>
          <w:p>
            <w:pPr>
              <w:jc w:val="center"/>
              <w:rPr>
                <w:rFonts w:hint="eastAsia" w:ascii="黑体" w:hAnsi="黑体" w:eastAsia="黑体" w:cs="黑体"/>
                <w:sz w:val="24"/>
              </w:rPr>
            </w:pPr>
            <w:r>
              <w:rPr>
                <w:rFonts w:hint="eastAsia" w:ascii="黑体" w:hAnsi="黑体" w:eastAsia="黑体" w:cs="黑体"/>
                <w:sz w:val="24"/>
              </w:rPr>
              <w:t>行政</w:t>
            </w:r>
            <w:r>
              <w:rPr>
                <w:rFonts w:hint="eastAsia" w:ascii="黑体" w:hAnsi="黑体" w:eastAsia="黑体" w:cs="黑体"/>
                <w:sz w:val="24"/>
                <w:lang w:val="en-US" w:eastAsia="zh-CN"/>
              </w:rPr>
              <w:t>备案证明</w:t>
            </w:r>
            <w:r>
              <w:rPr>
                <w:rFonts w:hint="eastAsia" w:ascii="黑体" w:hAnsi="黑体" w:eastAsia="黑体" w:cs="黑体"/>
                <w:sz w:val="24"/>
              </w:rPr>
              <w:t>号</w:t>
            </w:r>
          </w:p>
        </w:tc>
        <w:tc>
          <w:tcPr>
            <w:tcW w:w="2369"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备案内容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898" w:type="dxa"/>
            <w:vAlign w:val="center"/>
          </w:tcPr>
          <w:p>
            <w:pPr>
              <w:spacing w:line="400" w:lineRule="exact"/>
              <w:ind w:left="105" w:leftChars="5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凯赛（乌苏）生物材料有限公司</w:t>
            </w:r>
          </w:p>
        </w:tc>
        <w:tc>
          <w:tcPr>
            <w:tcW w:w="2728" w:type="dxa"/>
            <w:vAlign w:val="center"/>
          </w:tcPr>
          <w:p>
            <w:pPr>
              <w:spacing w:line="400" w:lineRule="exact"/>
              <w:ind w:left="105" w:leftChars="5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新疆塔城地区乌苏市马吉克工业园区经五路东纬八路南侧</w:t>
            </w:r>
          </w:p>
        </w:tc>
        <w:tc>
          <w:tcPr>
            <w:tcW w:w="1036" w:type="dxa"/>
            <w:vAlign w:val="center"/>
          </w:tcPr>
          <w:p>
            <w:pPr>
              <w:spacing w:line="400" w:lineRule="exact"/>
              <w:ind w:left="105" w:leftChars="5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侯本良</w:t>
            </w:r>
          </w:p>
        </w:tc>
        <w:tc>
          <w:tcPr>
            <w:tcW w:w="2278" w:type="dxa"/>
            <w:vAlign w:val="center"/>
          </w:tcPr>
          <w:p>
            <w:pPr>
              <w:spacing w:line="400" w:lineRule="exact"/>
              <w:ind w:left="105" w:leftChars="5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非药品类易制毒化学品生产备案</w:t>
            </w:r>
            <w:bookmarkStart w:id="0" w:name="_GoBack"/>
            <w:bookmarkEnd w:id="0"/>
          </w:p>
        </w:tc>
        <w:tc>
          <w:tcPr>
            <w:tcW w:w="3699" w:type="dxa"/>
            <w:vAlign w:val="center"/>
          </w:tcPr>
          <w:p>
            <w:pPr>
              <w:spacing w:line="400" w:lineRule="exact"/>
              <w:ind w:left="105" w:leftChars="50"/>
              <w:jc w:val="center"/>
              <w:rPr>
                <w:rFonts w:ascii="仿宋_GB2312" w:hAnsi="仿宋_GB2312" w:eastAsia="仿宋_GB2312" w:cs="仿宋_GB2312"/>
                <w:sz w:val="24"/>
              </w:rPr>
            </w:pPr>
            <w:r>
              <w:rPr>
                <w:rFonts w:hint="eastAsia" w:ascii="仿宋_GB2312" w:hAnsi="仿宋_GB2312" w:eastAsia="仿宋_GB2312" w:cs="仿宋_GB2312"/>
                <w:sz w:val="24"/>
                <w:szCs w:val="24"/>
                <w:lang w:val="en-US" w:eastAsia="zh-CN"/>
              </w:rPr>
              <w:t>（新）2S654200241200001</w:t>
            </w:r>
          </w:p>
        </w:tc>
        <w:tc>
          <w:tcPr>
            <w:tcW w:w="2369"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哌啶 10000吨/年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2</w:t>
            </w:r>
          </w:p>
        </w:tc>
        <w:tc>
          <w:tcPr>
            <w:tcW w:w="2898" w:type="dxa"/>
            <w:vAlign w:val="center"/>
          </w:tcPr>
          <w:p>
            <w:pPr>
              <w:spacing w:line="400" w:lineRule="exact"/>
              <w:ind w:left="105" w:leftChars="5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塔城市科兴商贸有限公司</w:t>
            </w:r>
          </w:p>
        </w:tc>
        <w:tc>
          <w:tcPr>
            <w:tcW w:w="2728" w:type="dxa"/>
            <w:vAlign w:val="center"/>
          </w:tcPr>
          <w:p>
            <w:pPr>
              <w:spacing w:line="400" w:lineRule="exact"/>
              <w:ind w:left="105" w:leftChars="5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新疆塔城地区塔城市小夜市内</w:t>
            </w:r>
          </w:p>
        </w:tc>
        <w:tc>
          <w:tcPr>
            <w:tcW w:w="1036" w:type="dxa"/>
            <w:vAlign w:val="center"/>
          </w:tcPr>
          <w:p>
            <w:pPr>
              <w:spacing w:line="400" w:lineRule="exact"/>
              <w:ind w:left="105" w:leftChars="5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张晶</w:t>
            </w:r>
          </w:p>
        </w:tc>
        <w:tc>
          <w:tcPr>
            <w:tcW w:w="2278" w:type="dxa"/>
            <w:vAlign w:val="center"/>
          </w:tcPr>
          <w:p>
            <w:pPr>
              <w:spacing w:line="400" w:lineRule="exact"/>
              <w:ind w:left="105" w:lef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非药品类易制毒化学品经营备案</w:t>
            </w:r>
          </w:p>
        </w:tc>
        <w:tc>
          <w:tcPr>
            <w:tcW w:w="3699" w:type="dxa"/>
            <w:vAlign w:val="center"/>
          </w:tcPr>
          <w:p>
            <w:pPr>
              <w:spacing w:line="400" w:lineRule="exact"/>
              <w:ind w:left="105" w:leftChars="5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（新）2J3J654200250100001</w:t>
            </w:r>
          </w:p>
        </w:tc>
        <w:tc>
          <w:tcPr>
            <w:tcW w:w="2369" w:type="dxa"/>
            <w:vAlign w:val="center"/>
          </w:tcPr>
          <w:p>
            <w:pPr>
              <w:spacing w:line="400" w:lineRule="exact"/>
              <w:ind w:left="105" w:leftChars="5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三氯甲烷0.05吨/年、乙醚0.02吨/年、丙酮0.05吨/年、高锰酸钾0.03吨/年、甲苯0.03吨/年</w:t>
            </w:r>
          </w:p>
        </w:tc>
      </w:tr>
    </w:tbl>
    <w:p>
      <w:pPr>
        <w:rPr>
          <w:rFonts w:ascii="仿宋_GB2312" w:hAnsi="仿宋_GB2312" w:eastAsia="仿宋_GB2312" w:cs="仿宋_GB2312"/>
          <w:spacing w:val="-17"/>
          <w:sz w:val="24"/>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WQ4NzU3Y2E5ZGM1M2I0NzUwYzU2MDQ1MzM5ZWUifQ=="/>
  </w:docVars>
  <w:rsids>
    <w:rsidRoot w:val="004A100D"/>
    <w:rsid w:val="00036D3E"/>
    <w:rsid w:val="000A6B24"/>
    <w:rsid w:val="000C3DE3"/>
    <w:rsid w:val="00125DEC"/>
    <w:rsid w:val="002336B5"/>
    <w:rsid w:val="002B2D77"/>
    <w:rsid w:val="002F6F08"/>
    <w:rsid w:val="00322149"/>
    <w:rsid w:val="0032395B"/>
    <w:rsid w:val="003B085C"/>
    <w:rsid w:val="003E289A"/>
    <w:rsid w:val="004A100D"/>
    <w:rsid w:val="004A53E4"/>
    <w:rsid w:val="004A60EE"/>
    <w:rsid w:val="00536E81"/>
    <w:rsid w:val="00562D32"/>
    <w:rsid w:val="00585D63"/>
    <w:rsid w:val="005D3C62"/>
    <w:rsid w:val="006905A0"/>
    <w:rsid w:val="00700CA3"/>
    <w:rsid w:val="00706F47"/>
    <w:rsid w:val="007332A6"/>
    <w:rsid w:val="00762845"/>
    <w:rsid w:val="00784339"/>
    <w:rsid w:val="00934A5B"/>
    <w:rsid w:val="00AE6932"/>
    <w:rsid w:val="00BD540C"/>
    <w:rsid w:val="00BE0A58"/>
    <w:rsid w:val="00BE3648"/>
    <w:rsid w:val="00C96EF2"/>
    <w:rsid w:val="00CA3863"/>
    <w:rsid w:val="00CC1122"/>
    <w:rsid w:val="00CD536E"/>
    <w:rsid w:val="00D31B12"/>
    <w:rsid w:val="00D756E7"/>
    <w:rsid w:val="00DC158E"/>
    <w:rsid w:val="00ED7372"/>
    <w:rsid w:val="00F66A6A"/>
    <w:rsid w:val="00FD3AD5"/>
    <w:rsid w:val="00FE45D7"/>
    <w:rsid w:val="014F25FB"/>
    <w:rsid w:val="01E41711"/>
    <w:rsid w:val="044B2AA2"/>
    <w:rsid w:val="057228FE"/>
    <w:rsid w:val="06071298"/>
    <w:rsid w:val="0AEA57DE"/>
    <w:rsid w:val="12D977EC"/>
    <w:rsid w:val="1C6C7560"/>
    <w:rsid w:val="1EF3380E"/>
    <w:rsid w:val="20211A2D"/>
    <w:rsid w:val="26A27FC4"/>
    <w:rsid w:val="27067B0F"/>
    <w:rsid w:val="27976201"/>
    <w:rsid w:val="29A20B11"/>
    <w:rsid w:val="2D3F409F"/>
    <w:rsid w:val="34504361"/>
    <w:rsid w:val="34E268A9"/>
    <w:rsid w:val="3933601D"/>
    <w:rsid w:val="3EA31E86"/>
    <w:rsid w:val="408A281C"/>
    <w:rsid w:val="4858744F"/>
    <w:rsid w:val="4AAC0569"/>
    <w:rsid w:val="4DC82B2E"/>
    <w:rsid w:val="4ED70169"/>
    <w:rsid w:val="50A96830"/>
    <w:rsid w:val="54262040"/>
    <w:rsid w:val="5EEB1452"/>
    <w:rsid w:val="62D56C68"/>
    <w:rsid w:val="64C96E1A"/>
    <w:rsid w:val="64EB59E1"/>
    <w:rsid w:val="67305EDA"/>
    <w:rsid w:val="6C173E79"/>
    <w:rsid w:val="6C956089"/>
    <w:rsid w:val="70FA6A16"/>
    <w:rsid w:val="7414130A"/>
    <w:rsid w:val="74A4561C"/>
    <w:rsid w:val="760A0204"/>
    <w:rsid w:val="789864A3"/>
    <w:rsid w:val="7A281874"/>
    <w:rsid w:val="7B191EC6"/>
    <w:rsid w:val="7CE8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link w:val="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HTML 预设格式 字符"/>
    <w:basedOn w:val="5"/>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489</Words>
  <Characters>521</Characters>
  <Lines>13</Lines>
  <Paragraphs>3</Paragraphs>
  <TotalTime>6</TotalTime>
  <ScaleCrop>false</ScaleCrop>
  <LinksUpToDate>false</LinksUpToDate>
  <CharactersWithSpaces>521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11599</dc:creator>
  <cp:lastModifiedBy>Der dämon</cp:lastModifiedBy>
  <cp:lastPrinted>2024-06-12T03:44:00Z</cp:lastPrinted>
  <dcterms:modified xsi:type="dcterms:W3CDTF">2025-01-11T11:04:56Z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1CDC2C1A6AD0471FBD4329DC8214D284</vt:lpwstr>
  </property>
</Properties>
</file>