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CESI宋体-GB2312" w:hAnsi="CESI宋体-GB2312" w:eastAsia="方正小标宋简体" w:cs="方正小标宋简体"/>
          <w:b w:val="0"/>
          <w:bCs w:val="0"/>
          <w:color w:val="000000"/>
          <w:spacing w:val="0"/>
          <w:w w:val="100"/>
          <w:kern w:val="2"/>
          <w:sz w:val="44"/>
          <w:szCs w:val="44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CESI宋体-GB2312" w:hAnsi="CESI宋体-GB2312" w:eastAsia="方正小标宋简体" w:cs="方正小标宋简体"/>
          <w:b w:val="0"/>
          <w:bCs w:val="0"/>
          <w:color w:val="000000"/>
          <w:spacing w:val="0"/>
          <w:w w:val="100"/>
          <w:kern w:val="2"/>
          <w:sz w:val="44"/>
          <w:szCs w:val="44"/>
          <w:highlight w:val="none"/>
          <w:shd w:val="clear" w:color="auto" w:fill="FFFFFF"/>
          <w:lang w:val="en-US" w:eastAsia="zh-CN"/>
        </w:rPr>
        <w:t>自治区节约型机关复验标准及实地核查单</w:t>
      </w:r>
    </w:p>
    <w:bookmarkEnd w:id="0"/>
    <w:tbl>
      <w:tblPr>
        <w:tblStyle w:val="5"/>
        <w:tblW w:w="107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59"/>
        <w:gridCol w:w="920"/>
        <w:gridCol w:w="2063"/>
        <w:gridCol w:w="284"/>
        <w:gridCol w:w="4958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序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号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单元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评分要求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highlight w:val="none"/>
              </w:rPr>
              <w:t>评分规则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核查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能耗目标管理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节约能源资源目标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管理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完成能源资源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量化指标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1）完成上一年度人均综合能耗强度指标的，得2.5分，未完成不得分。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2）完成上一年度单位建筑面积能耗强度指标的，得2.5分，未完成不得分。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完成上一年度单位建筑面积碳排放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强度指标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的，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得2.5分，未完成不得分。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4）完成人均水资源消耗强度指标的，得2.5分，未完成不得分。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标准体系建设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管理机构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明确负责节约能源资源工作的管理机构和工作职责，设置能源资源管理岗位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1）明确负责节约能源资源工作的管理机构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、工作人员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和工作职责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每明确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1项得1分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，最高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2）单位领导班子安排部署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本年度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节能相关工作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每安排部署推进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得1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分，最高得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未开展此项工作的不得分。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管理制度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制定并实施合理的节约能源资源规章制度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1）制定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年度节约能源资源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工作计划或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实施方案，并明确年度节约能源资源目标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本单位节电、节水、节气、节油、节粮、节约用纸、计量统计、垃圾分类、绿色消费、资源循环利用等节约能源资源管理制度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或实施方案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并落实的，每项1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。（实地验收中未落实的制度不得分）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3）通过规章制度或合同约定，对物业管理提出能源资源节约管理目标和服务要求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。未实行物业管理的，直接得分。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标准体系建设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能源计量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根据用能种类、用能系统合理实行能源分户、分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、分项计量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1）实现能源消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、分区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或分楼栋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在线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计量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监测的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2）实现用电分项计量，包括对中央空调用电、动力用电、照明和插座用电等主要用电分项计量，每项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最高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3）建立能源计量器具台账（包括计量器具的名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</w:rPr>
              <w:t>称、规格型号、安装使用地点、测量对象等），得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能源资源消费统计、分析公示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</w:rPr>
              <w:t>能源资源消费数据分析报告；定期报送能源资源消费状况，数据真实、完整；定期公示能源资源消费情况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eastAsia="zh-CN"/>
              </w:rPr>
              <w:t>上一年度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</w:rPr>
              <w:t>能源资源消费数据分析报告，得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）根据上级公共机构节能管理部门要求，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上一年度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定期报送能源资源消费状况，数据真实、完整，得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）每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半年或每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季度至少公示一次能源资源消费情况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推行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绿色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分）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推进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无纸化办公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使用办公自动化系统，采取节约纸张措施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1）使用办公自动化系统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采取有效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措施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落实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纸张双面打印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减少纸张使用的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1分。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（实地验收中存在未落实纸张双面打印，明显存在纸张浪费现象的，不得分）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数据资料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印证年度纸张使用数量明显减少的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采光和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照明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充分利用自然采光；使用高效节能照明灯具；公共场所合理采用智能控制措施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1）采取充分利用自然采光的措施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2）高效照明光源使用率达到100%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实地验收中每存在1处非高效照明光源的，扣0.5分，扣满1.5分为止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3）公共区域合理采用分时分区控制、声光感应控制等智能控制措施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行为节能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推行节约行为模式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设置办公设备节电、随手关灯、减少使用电梯、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空调温度设定、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节约用水等节约行为提醒标识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并落实的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，每项得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最高得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。（实地验收中应张贴提醒标识未张贴的，或者提醒标识明显有误的，或者张贴提醒标识未落实的，每存在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处扣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1.5分，扣满6分为止）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推行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绿色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分）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节水器具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使用节水型器具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1）节水型器具使用率达到100%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实地验收中每存在1处使用非节水型器具的，扣0.5分，扣满2分为止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采取有效节水管理措施，未发现跑冒滴漏现象的，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绿色出行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采取鼓励绿色出行的措施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结合实际倡导本单位干部职工践行“135”绿色出行方式，有具体措施的，得1.5分，无具体措施的不得分。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绿色采购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严格执行国家强制或优先采购节能产品的有关规定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）按照国家有关强制采购或者优先采购的规定，采购列入《“能效之星”装备产品目录》《国家通信业节能技术产品推荐目录》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等目录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内的产品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或者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优先采购秸秆环保板材等资源综合利用产品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的，得1.5分。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）限制使用一次性办公用品，停止使用不可降解一次性塑料制品的，得1.5分。（实地验收中每存在1处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一次性办公用品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或者一次性塑料制品的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，扣0.5分，扣满1.5分为止）                                                                                                                       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规范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接待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6分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财务管理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规范费用支出，降低机关运行成本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严控办公费、印刷费、会议费、培训费以及“三公经费”，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eastAsia="zh-CN"/>
              </w:rPr>
              <w:t>有</w:t>
            </w:r>
            <w:r>
              <w:rPr>
                <w:rFonts w:hint="eastAsia" w:ascii="宋体" w:hAnsi="宋体" w:cs="宋体"/>
                <w:b w:val="0"/>
                <w:bCs/>
                <w:spacing w:val="-11"/>
                <w:sz w:val="24"/>
                <w:szCs w:val="24"/>
                <w:highlight w:val="none"/>
                <w:lang w:val="en-US" w:eastAsia="zh-CN"/>
              </w:rPr>
              <w:t>数据资料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eastAsia="zh-CN"/>
              </w:rPr>
              <w:t>印证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eastAsia="zh-CN"/>
              </w:rPr>
              <w:t>取得明显成效的，得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  <w:highlight w:val="none"/>
                <w:u w:val="none"/>
                <w:lang w:val="en-US" w:eastAsia="zh-CN"/>
              </w:rPr>
              <w:t>按时准确报送年度机关运行成本统计的</w:t>
            </w:r>
            <w:r>
              <w:rPr>
                <w:rFonts w:hint="eastAsia" w:ascii="宋体" w:hAnsi="宋体" w:eastAsia="宋体" w:cs="宋体"/>
                <w:b w:val="0"/>
                <w:bCs/>
                <w:spacing w:val="-17"/>
                <w:sz w:val="24"/>
                <w:szCs w:val="24"/>
                <w:highlight w:val="none"/>
                <w:lang w:val="en-US" w:eastAsia="zh-CN"/>
              </w:rPr>
              <w:t>，得1.5分。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  <w:t>公务接待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落实公务接待用车、用餐、住宿规定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1）国内公务接待出行活动应当安排集中乘车，根据接待对象人数合理使用车型，严格控制随行车辆的，得0.5分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接待对象应当按规定标准用餐，严格控制陪餐人数，接待对象10人以内的，陪餐人数不超过3人，超过10人的，不得超过接待对象的1/3，得0.5分</w:t>
            </w:r>
            <w:r>
              <w:rPr>
                <w:rFonts w:hint="eastAsia" w:ascii="宋体" w:hAnsi="宋体" w:cs="宋体"/>
                <w:b w:val="0"/>
                <w:bCs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3）安排接待对象入住与职级对应的房型，不得超规格安排的，得0.5分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4）公务接待用餐按照标准实行自助餐，或按照人数及标准采取按需订餐、按位供应小份饭菜及分餐模式做好服务保障的，得1分。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加强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办公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用房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和公务用车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val="en-US" w:eastAsia="zh-CN"/>
              </w:rPr>
              <w:t>14分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6"/>
                <w:szCs w:val="16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办公用房管理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严格执行办公用房配备标准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、办公用房建设、维修节能改造工作要求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合理配置和节约集约使用办公用房资源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办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公用房</w:t>
            </w:r>
            <w:r>
              <w:rPr>
                <w:rFonts w:hint="eastAsia" w:ascii="宋体" w:hAnsi="宋体" w:cs="宋体"/>
                <w:b w:val="0"/>
                <w:bCs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u w:val="none"/>
                <w:lang w:val="en-US" w:eastAsia="zh-CN"/>
              </w:rPr>
              <w:t>符合《党政机关办公用房管理办法》《新疆维吾尔自治区党政机关办公用房管理办法》《党政机关办公用房建设标准》要求的，得4分。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新建及改扩建的办公用房、技术业务用房达到绿色建筑和建筑节能相关要求，得3分。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公务用车管理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严格执行公务用车配备标准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和公务用车使用管理、推广使用新能源汽车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1）严格执行《党政机关公务用车管理办法》《新疆维吾尔自治区党政机关公务用车管理办法》，按照编制和标准配备公务用车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，得2分。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2）实行单车油耗核算，建立统计台账，淘汰高耗能、高污染老旧汽车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u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，得1分。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highlight w:val="none"/>
                <w:u w:val="none"/>
                <w:lang w:val="en-US" w:eastAsia="zh-CN"/>
              </w:rPr>
              <w:t>新增公务用车中配备有新能源汽车的，得2分。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highlight w:val="none"/>
                <w:u w:val="none"/>
                <w:lang w:val="en-US" w:eastAsia="zh-CN"/>
              </w:rPr>
              <w:t>停车场建设配备新能源汽车充电基础设施的，得2分。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实行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生活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垃圾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6"/>
                <w:szCs w:val="16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-11"/>
                <w:sz w:val="24"/>
                <w:szCs w:val="24"/>
                <w:highlight w:val="none"/>
                <w:lang w:eastAsia="zh-CN"/>
              </w:rPr>
              <w:t>志愿者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活动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积极组织开展志愿者活动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积极组织开展的公共机构生活垃圾分类志愿者活动的，得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分，未开展的不得分。                                                                                                                 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分类投放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垃圾投放点张贴指南及投放准确率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1）办公区域以生活垃圾四分类为基本类型，合理配置四分类垃圾分类容器设施的，得2分。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正确张贴生活垃圾分类指南或标识的，得1分。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）干部职工正确分类投放生活垃圾的，得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分。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实地验收中每存在1处未正确投放生活垃圾的，扣0.5分，扣满3.5分为止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分类收运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垃圾分类收运规范统一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集中投放场所的</w:t>
            </w:r>
            <w:r>
              <w:rPr>
                <w:rFonts w:hint="eastAsia" w:ascii="宋体" w:hAnsi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其他垃圾、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可回收物、有害垃圾、餐厨垃圾单独存放的，得2分； 按属地要求规范处置</w:t>
            </w:r>
            <w:r>
              <w:rPr>
                <w:rFonts w:hint="eastAsia" w:ascii="宋体" w:hAnsi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，得</w:t>
            </w:r>
            <w:r>
              <w:rPr>
                <w:rFonts w:hint="eastAsia" w:ascii="宋体" w:hAnsi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分。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2）建立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生活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垃圾分类清运台账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，得1分，定期公示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生活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垃圾清运量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，得1分。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反食品浪费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6"/>
                <w:szCs w:val="16"/>
                <w:highlight w:val="none"/>
              </w:rPr>
              <w:t>分）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制止餐饮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浪费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制定有效措施减少食品浪费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年度实施机关食堂反食品浪费成效评估通报制度的，优秀得8分，良好得4分，合格得2分，其他不得分。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年度未实施机关食堂反食品浪费成效评估通报制度的，按以下标准：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/>
                <w:spacing w:val="-6"/>
                <w:sz w:val="24"/>
                <w:szCs w:val="24"/>
                <w:highlight w:val="none"/>
                <w:lang w:val="en-US" w:eastAsia="zh-CN"/>
              </w:rPr>
              <w:t>制定有效措施减少食品浪费行为的，得1.5分。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2）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采取有效措施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做到按需供餐的，得1.5分。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3）结合实际采取自助餐或者小份菜等供餐方式减少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食品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浪费的，得1.5分。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4）未存在食品浪费现象的，得3.5分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实地验收中每有1人存在食品浪费行为的，扣0.5分，扣满3.5分为止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8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开展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eastAsia="zh-CN"/>
              </w:rPr>
              <w:t>分）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宣传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实践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组织开展节约能源资源宣传活动，在新闻媒体或主管部门宣传平台报道本单位节约能源资源做法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1）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本年度结合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世界水日、中国水周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全国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节能宣传周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、低碳日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绿色出行宣传月；世界粮食日等宣传节点，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组织开展形式多样的宣传实践活动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 xml:space="preserve">分。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）近2年通过新闻媒体或主管部门宣传平台报道本单位节约能源资源做法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或者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案例，每次得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最高得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培训</w:t>
            </w:r>
          </w:p>
        </w:tc>
        <w:tc>
          <w:tcPr>
            <w:tcW w:w="20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积极参与主管部门组织的节能培训，组织开展本单位的节能知识或岗位培训</w:t>
            </w:r>
          </w:p>
        </w:tc>
        <w:tc>
          <w:tcPr>
            <w:tcW w:w="524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本年度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积极参与主管部门组织的节能培训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（含机关运行成本统计培训）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2）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将节能、节水、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生活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垃圾分类等内容纳入干部职工培训体系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定期面向干部职工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开展生态文明建设、绿色发展等方面的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知识讲座、岗位培训等教育培训活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动，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每次得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分，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eastAsia="zh-CN"/>
              </w:rPr>
              <w:t>最高得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</w:rPr>
              <w:t>分。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906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核查评分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49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宋体-GB2312" w:hAnsi="CESI宋体-GB2312" w:cs="宋体"/>
                <w:b w:val="0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/>
                <w:spacing w:val="0"/>
                <w:lang w:val="en-US" w:eastAsia="zh-CN"/>
              </w:rPr>
              <w:t>核查单位签字（盖章）确认</w:t>
            </w:r>
          </w:p>
          <w:p>
            <w:pPr>
              <w:pStyle w:val="8"/>
              <w:ind w:firstLine="2488" w:firstLineChars="1037"/>
              <w:rPr>
                <w:rFonts w:hint="eastAsia" w:ascii="CESI宋体-GB2312" w:hAnsi="CESI宋体-GB2312" w:cs="宋体"/>
                <w:b w:val="0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8"/>
              <w:ind w:firstLine="2177" w:firstLineChars="1037"/>
              <w:rPr>
                <w:rFonts w:hint="default" w:ascii="CESI宋体-GB2312" w:hAnsi="CESI宋体-GB2312" w:eastAsia="宋体" w:cs="宋体"/>
                <w:b w:val="0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宋体" w:cs="Times New Roman"/>
                <w:spacing w:val="0"/>
                <w:kern w:val="2"/>
                <w:sz w:val="21"/>
                <w:szCs w:val="24"/>
                <w:lang w:val="en-US" w:eastAsia="zh-CN" w:bidi="ar-SA"/>
              </w:rPr>
              <w:t>时间：</w:t>
            </w:r>
          </w:p>
        </w:tc>
        <w:tc>
          <w:tcPr>
            <w:tcW w:w="57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CESI宋体-GB2312" w:hAnsi="CESI宋体-GB2312" w:cs="宋体"/>
                <w:b w:val="0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/>
                <w:spacing w:val="0"/>
                <w:lang w:val="en-US" w:eastAsia="zh-CN"/>
              </w:rPr>
              <w:t>被核查单位签字（盖章）确认</w:t>
            </w:r>
          </w:p>
          <w:p>
            <w:pPr>
              <w:pStyle w:val="8"/>
              <w:ind w:firstLine="3208" w:firstLineChars="1337"/>
              <w:rPr>
                <w:rFonts w:hint="eastAsia" w:ascii="CESI宋体-GB2312" w:hAnsi="CESI宋体-GB2312" w:cs="宋体"/>
                <w:b w:val="0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8"/>
              <w:ind w:firstLine="2807" w:firstLineChars="1337"/>
              <w:rPr>
                <w:rFonts w:hint="default" w:ascii="CESI宋体-GB2312" w:hAnsi="CESI宋体-GB2312" w:eastAsia="宋体" w:cs="宋体"/>
                <w:b w:val="0"/>
                <w:bCs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宋体-GB2312" w:hAnsi="CESI宋体-GB2312" w:eastAsia="宋体" w:cs="Times New Roman"/>
                <w:spacing w:val="0"/>
                <w:kern w:val="2"/>
                <w:sz w:val="21"/>
                <w:szCs w:val="24"/>
                <w:lang w:val="en-US" w:eastAsia="zh-CN" w:bidi="ar-SA"/>
              </w:rPr>
              <w:t>时间：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B725B5"/>
    <w:multiLevelType w:val="singleLevel"/>
    <w:tmpl w:val="9FB725B5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A0169"/>
    <w:rsid w:val="521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Cs w:val="21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customStyle="1" w:styleId="6">
    <w:name w:val="列出段落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8">
    <w:name w:val="Body Text First Indent"/>
    <w:basedOn w:val="3"/>
    <w:qFormat/>
    <w:uiPriority w:val="0"/>
    <w:pPr>
      <w:spacing w:line="240" w:lineRule="auto"/>
      <w:ind w:firstLine="498"/>
    </w:pPr>
    <w:rPr>
      <w:rFonts w:hint="default"/>
      <w:kern w:val="2"/>
      <w:sz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2023-09-21T09:58:00Z</dcterms:created>
  <dc:creator>LJJ</dc:creator>
  <cp:lastModifiedBy>LJJ</cp:lastModifiedBy>
  <dcterms:modified xsi:type="dcterms:W3CDTF">2023-09-21T09:59:01Z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