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B547D">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36"/>
          <w:szCs w:val="36"/>
          <w:highlight w:val="none"/>
          <w:lang w:val="en-US" w:eastAsia="zh-CN"/>
        </w:rPr>
      </w:pPr>
    </w:p>
    <w:p w14:paraId="23537B68">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36"/>
          <w:szCs w:val="36"/>
          <w:highlight w:val="none"/>
          <w:lang w:val="en-US" w:eastAsia="zh-CN"/>
        </w:rPr>
      </w:pPr>
    </w:p>
    <w:p w14:paraId="0891EF3A">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36"/>
          <w:szCs w:val="36"/>
          <w:highlight w:val="none"/>
          <w:lang w:val="en-US" w:eastAsia="zh-CN"/>
        </w:rPr>
      </w:pPr>
    </w:p>
    <w:p w14:paraId="2377A49C">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36"/>
          <w:szCs w:val="36"/>
          <w:highlight w:val="none"/>
          <w:lang w:val="en-US" w:eastAsia="zh-CN"/>
        </w:rPr>
      </w:pPr>
    </w:p>
    <w:p w14:paraId="6513CF20">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36"/>
          <w:szCs w:val="36"/>
          <w:highlight w:val="none"/>
          <w:lang w:val="en-US" w:eastAsia="zh-CN"/>
        </w:rPr>
      </w:pPr>
    </w:p>
    <w:p w14:paraId="3223F22A">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36"/>
          <w:szCs w:val="36"/>
          <w:highlight w:val="none"/>
          <w:lang w:val="en-US" w:eastAsia="zh-CN"/>
        </w:rPr>
      </w:pPr>
    </w:p>
    <w:p w14:paraId="48A45120">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36"/>
          <w:szCs w:val="36"/>
          <w:highlight w:val="none"/>
          <w:lang w:val="en-US" w:eastAsia="zh-CN"/>
        </w:rPr>
      </w:pPr>
    </w:p>
    <w:p w14:paraId="478A234B">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40"/>
          <w:szCs w:val="40"/>
          <w:highlight w:val="none"/>
          <w:lang w:val="en-US" w:eastAsia="zh-CN"/>
        </w:rPr>
      </w:pPr>
      <w:r>
        <w:rPr>
          <w:rFonts w:hint="eastAsia" w:ascii="方正公文小标宋" w:hAnsi="方正公文小标宋" w:eastAsia="方正公文小标宋" w:cs="方正公文小标宋"/>
          <w:color w:val="0C0C0C"/>
          <w:kern w:val="21"/>
          <w:sz w:val="40"/>
          <w:szCs w:val="40"/>
          <w:highlight w:val="none"/>
          <w:lang w:val="en-US" w:eastAsia="zh-CN"/>
        </w:rPr>
        <w:t>塔城地区应急体系建设、安全生产、防灾减灾</w:t>
      </w:r>
    </w:p>
    <w:p w14:paraId="71647967">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40"/>
          <w:szCs w:val="40"/>
          <w:highlight w:val="none"/>
          <w:lang w:val="en-US" w:eastAsia="zh-CN"/>
        </w:rPr>
      </w:pPr>
      <w:r>
        <w:rPr>
          <w:rFonts w:hint="eastAsia" w:ascii="方正公文小标宋" w:hAnsi="方正公文小标宋" w:eastAsia="方正公文小标宋" w:cs="方正公文小标宋"/>
          <w:color w:val="0C0C0C"/>
          <w:kern w:val="21"/>
          <w:sz w:val="40"/>
          <w:szCs w:val="40"/>
          <w:highlight w:val="none"/>
          <w:lang w:val="en-US" w:eastAsia="zh-CN"/>
        </w:rPr>
        <w:t>“十五五”规划</w:t>
      </w:r>
    </w:p>
    <w:p w14:paraId="219B4375">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2FBEB96B">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66BD4F76">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25DD097F">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09B9C5D0">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5018BD3B">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74C5C846">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5555B5EC">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091711FA">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342474DC">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57B625C0">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6B25BC55">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0D1C5B24">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54E717F9">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公文小标宋" w:hAnsi="方正公文小标宋" w:eastAsia="方正公文小标宋" w:cs="方正公文小标宋"/>
          <w:color w:val="0C0C0C"/>
          <w:kern w:val="21"/>
          <w:sz w:val="20"/>
          <w:szCs w:val="20"/>
          <w:highlight w:val="none"/>
          <w:lang w:val="en-US" w:eastAsia="zh-CN"/>
        </w:rPr>
      </w:pPr>
    </w:p>
    <w:p w14:paraId="542B3698">
      <w:pPr>
        <w:keepNext w:val="0"/>
        <w:keepLines w:val="0"/>
        <w:pageBreakBefore w:val="0"/>
        <w:kinsoku/>
        <w:wordWrap/>
        <w:overflowPunct/>
        <w:topLinePunct w:val="0"/>
        <w:autoSpaceDE w:val="0"/>
        <w:autoSpaceDN/>
        <w:bidi w:val="0"/>
        <w:adjustRightInd/>
        <w:snapToGrid/>
        <w:spacing w:line="560" w:lineRule="exact"/>
        <w:jc w:val="center"/>
        <w:textAlignment w:val="auto"/>
        <w:rPr>
          <w:rFonts w:hint="default" w:ascii="方正公文小标宋" w:hAnsi="方正公文小标宋" w:eastAsia="方正公文小标宋" w:cs="方正公文小标宋"/>
          <w:color w:val="0C0C0C"/>
          <w:kern w:val="21"/>
          <w:sz w:val="48"/>
          <w:szCs w:val="48"/>
          <w:highlight w:val="none"/>
          <w:lang w:val="en-US" w:eastAsia="zh-CN"/>
        </w:rPr>
      </w:pPr>
      <w:r>
        <w:rPr>
          <w:rFonts w:hint="eastAsia" w:ascii="方正公文小标宋" w:hAnsi="方正公文小标宋" w:eastAsia="方正公文小标宋" w:cs="方正公文小标宋"/>
          <w:color w:val="0C0C0C"/>
          <w:kern w:val="21"/>
          <w:sz w:val="24"/>
          <w:szCs w:val="24"/>
          <w:highlight w:val="none"/>
          <w:lang w:val="en-US" w:eastAsia="zh-CN"/>
        </w:rPr>
        <w:t>塔城地区应急管理局  编</w:t>
      </w:r>
    </w:p>
    <w:p w14:paraId="5FFE2C92">
      <w:pPr>
        <w:jc w:val="center"/>
        <w:rPr>
          <w:rFonts w:hint="eastAsia" w:ascii="方正公文小标宋" w:hAnsi="方正公文小标宋" w:eastAsia="方正公文小标宋" w:cs="方正公文小标宋"/>
          <w:kern w:val="2"/>
          <w:sz w:val="44"/>
          <w:szCs w:val="40"/>
          <w:lang w:val="en-US" w:eastAsia="zh-CN" w:bidi="ar-SA"/>
        </w:rPr>
        <w:sectPr>
          <w:pgSz w:w="11906" w:h="16838"/>
          <w:pgMar w:top="1440" w:right="1800" w:bottom="1440" w:left="1800" w:header="851" w:footer="992" w:gutter="0"/>
          <w:pgNumType w:fmt="decimal"/>
          <w:cols w:space="425" w:num="1"/>
          <w:docGrid w:type="lines" w:linePitch="312" w:charSpace="0"/>
        </w:sectPr>
      </w:pPr>
    </w:p>
    <w:sdt>
      <w:sdtPr>
        <w:rPr>
          <w:rFonts w:hint="eastAsia" w:ascii="方正公文小标宋" w:hAnsi="方正公文小标宋" w:eastAsia="方正公文小标宋" w:cs="方正公文小标宋"/>
          <w:kern w:val="2"/>
          <w:sz w:val="44"/>
          <w:szCs w:val="40"/>
          <w:lang w:val="en-US" w:eastAsia="zh-CN" w:bidi="ar-SA"/>
        </w:rPr>
        <w:id w:val="147452475"/>
        <w15:color w:val="DBDBDB"/>
        <w:docPartObj>
          <w:docPartGallery w:val="Table of Contents"/>
          <w:docPartUnique/>
        </w:docPartObj>
      </w:sdtPr>
      <w:sdtEndPr>
        <w:rPr>
          <w:rFonts w:hint="eastAsia" w:ascii="方正仿宋_GB2312" w:hAnsi="方正仿宋_GB2312" w:eastAsia="方正仿宋_GB2312" w:cs="方正仿宋_GB2312"/>
          <w:bCs w:val="0"/>
          <w:color w:val="0C0C0C"/>
          <w:kern w:val="21"/>
          <w:sz w:val="32"/>
          <w:szCs w:val="32"/>
          <w:highlight w:val="none"/>
          <w:lang w:val="en-US" w:eastAsia="zh-CN" w:bidi="ar-SA"/>
        </w:rPr>
      </w:sdtEndPr>
      <w:sdtContent>
        <w:p w14:paraId="749017DB">
          <w:pPr>
            <w:jc w:val="center"/>
            <w:rPr>
              <w:rFonts w:hint="eastAsia" w:ascii="方正公文小标宋" w:hAnsi="方正公文小标宋" w:eastAsia="方正公文小标宋" w:cs="方正公文小标宋"/>
              <w:sz w:val="60"/>
              <w:szCs w:val="40"/>
            </w:rPr>
          </w:pPr>
          <w:r>
            <w:rPr>
              <w:rFonts w:hint="eastAsia" w:ascii="方正公文小标宋" w:hAnsi="方正公文小标宋" w:eastAsia="方正公文小标宋" w:cs="方正公文小标宋"/>
              <w:sz w:val="44"/>
              <w:szCs w:val="40"/>
            </w:rPr>
            <w:t>目录</w:t>
          </w:r>
        </w:p>
        <w:p w14:paraId="7ABDA669">
          <w:pPr>
            <w:pStyle w:val="6"/>
            <w:tabs>
              <w:tab w:val="right" w:leader="dot" w:pos="8306"/>
            </w:tabs>
            <w:rPr>
              <w:sz w:val="28"/>
              <w:szCs w:val="18"/>
            </w:rPr>
          </w:pPr>
          <w:r>
            <w:rPr>
              <w:rFonts w:hint="eastAsia" w:ascii="方正仿宋_GB2312" w:hAnsi="方正仿宋_GB2312" w:eastAsia="方正仿宋_GB2312" w:cs="方正仿宋_GB2312"/>
              <w:b w:val="0"/>
              <w:bCs w:val="0"/>
              <w:color w:val="0C0C0C"/>
              <w:kern w:val="21"/>
              <w:sz w:val="28"/>
              <w:szCs w:val="28"/>
              <w:highlight w:val="none"/>
              <w:lang w:val="en-US" w:eastAsia="zh-CN"/>
            </w:rPr>
            <w:fldChar w:fldCharType="begin"/>
          </w:r>
          <w:r>
            <w:rPr>
              <w:rFonts w:hint="eastAsia" w:ascii="方正仿宋_GB2312" w:hAnsi="方正仿宋_GB2312" w:eastAsia="方正仿宋_GB2312" w:cs="方正仿宋_GB2312"/>
              <w:b w:val="0"/>
              <w:bCs w:val="0"/>
              <w:color w:val="0C0C0C"/>
              <w:kern w:val="21"/>
              <w:sz w:val="28"/>
              <w:szCs w:val="28"/>
              <w:highlight w:val="none"/>
              <w:lang w:val="en-US" w:eastAsia="zh-CN"/>
            </w:rPr>
            <w:instrText xml:space="preserve">TOC \o "1-3" \h \u </w:instrText>
          </w:r>
          <w:r>
            <w:rPr>
              <w:rFonts w:hint="eastAsia" w:ascii="方正仿宋_GB2312" w:hAnsi="方正仿宋_GB2312" w:eastAsia="方正仿宋_GB2312" w:cs="方正仿宋_GB2312"/>
              <w:b w:val="0"/>
              <w:bCs w:val="0"/>
              <w:color w:val="0C0C0C"/>
              <w:kern w:val="21"/>
              <w:sz w:val="28"/>
              <w:szCs w:val="28"/>
              <w:highlight w:val="none"/>
              <w:lang w:val="en-US" w:eastAsia="zh-CN"/>
            </w:rPr>
            <w:fldChar w:fldCharType="separate"/>
          </w: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_Toc19747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ascii="黑体" w:hAnsi="黑体" w:eastAsia="黑体"/>
              <w:kern w:val="21"/>
              <w:sz w:val="28"/>
              <w:szCs w:val="28"/>
              <w:highlight w:val="none"/>
            </w:rPr>
            <w:t>一、现状和面临的形势</w:t>
          </w:r>
          <w:r>
            <w:rPr>
              <w:sz w:val="28"/>
              <w:szCs w:val="18"/>
            </w:rPr>
            <w:tab/>
          </w:r>
          <w:r>
            <w:rPr>
              <w:sz w:val="28"/>
              <w:szCs w:val="18"/>
            </w:rPr>
            <w:fldChar w:fldCharType="begin"/>
          </w:r>
          <w:r>
            <w:rPr>
              <w:sz w:val="28"/>
              <w:szCs w:val="18"/>
            </w:rPr>
            <w:instrText xml:space="preserve"> PAGEREF _Toc19747 \h </w:instrText>
          </w:r>
          <w:r>
            <w:rPr>
              <w:sz w:val="28"/>
              <w:szCs w:val="18"/>
            </w:rPr>
            <w:fldChar w:fldCharType="separate"/>
          </w:r>
          <w:r>
            <w:rPr>
              <w:sz w:val="28"/>
              <w:szCs w:val="18"/>
            </w:rPr>
            <w:t>1</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327625CD">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_Toc32463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ascii="楷体_GB2312" w:eastAsia="楷体_GB2312"/>
              <w:bCs/>
              <w:kern w:val="21"/>
              <w:sz w:val="28"/>
              <w:szCs w:val="28"/>
              <w:highlight w:val="none"/>
            </w:rPr>
            <w:t>（一）</w:t>
          </w:r>
          <w:r>
            <w:rPr>
              <w:rFonts w:hint="eastAsia" w:ascii="楷体_GB2312" w:eastAsia="楷体_GB2312"/>
              <w:bCs/>
              <w:kern w:val="21"/>
              <w:sz w:val="28"/>
              <w:szCs w:val="28"/>
              <w:highlight w:val="none"/>
            </w:rPr>
            <w:t>工作成效</w:t>
          </w:r>
          <w:r>
            <w:rPr>
              <w:sz w:val="28"/>
              <w:szCs w:val="18"/>
            </w:rPr>
            <w:tab/>
          </w:r>
          <w:r>
            <w:rPr>
              <w:sz w:val="28"/>
              <w:szCs w:val="18"/>
            </w:rPr>
            <w:fldChar w:fldCharType="begin"/>
          </w:r>
          <w:r>
            <w:rPr>
              <w:sz w:val="28"/>
              <w:szCs w:val="18"/>
            </w:rPr>
            <w:instrText xml:space="preserve"> PAGEREF _Toc32463 \h </w:instrText>
          </w:r>
          <w:r>
            <w:rPr>
              <w:sz w:val="28"/>
              <w:szCs w:val="18"/>
            </w:rPr>
            <w:fldChar w:fldCharType="separate"/>
          </w:r>
          <w:r>
            <w:rPr>
              <w:sz w:val="28"/>
              <w:szCs w:val="18"/>
            </w:rPr>
            <w:t>1</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CA66664">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_Toc28374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二</w:t>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存在的问题</w:t>
          </w:r>
          <w:r>
            <w:rPr>
              <w:sz w:val="28"/>
              <w:szCs w:val="18"/>
            </w:rPr>
            <w:tab/>
          </w:r>
          <w:r>
            <w:rPr>
              <w:sz w:val="28"/>
              <w:szCs w:val="18"/>
            </w:rPr>
            <w:fldChar w:fldCharType="begin"/>
          </w:r>
          <w:r>
            <w:rPr>
              <w:sz w:val="28"/>
              <w:szCs w:val="18"/>
            </w:rPr>
            <w:instrText xml:space="preserve"> PAGEREF _Toc28374 \h </w:instrText>
          </w:r>
          <w:r>
            <w:rPr>
              <w:sz w:val="28"/>
              <w:szCs w:val="18"/>
            </w:rPr>
            <w:fldChar w:fldCharType="separate"/>
          </w:r>
          <w:r>
            <w:rPr>
              <w:sz w:val="28"/>
              <w:szCs w:val="18"/>
            </w:rPr>
            <w:t>6</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270C05EF">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_Toc32332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三</w:t>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面临的挑战</w:t>
          </w:r>
          <w:r>
            <w:rPr>
              <w:sz w:val="28"/>
              <w:szCs w:val="18"/>
            </w:rPr>
            <w:tab/>
          </w:r>
          <w:r>
            <w:rPr>
              <w:sz w:val="28"/>
              <w:szCs w:val="18"/>
            </w:rPr>
            <w:fldChar w:fldCharType="begin"/>
          </w:r>
          <w:r>
            <w:rPr>
              <w:sz w:val="28"/>
              <w:szCs w:val="18"/>
            </w:rPr>
            <w:instrText xml:space="preserve"> PAGEREF _Toc32332 \h </w:instrText>
          </w:r>
          <w:r>
            <w:rPr>
              <w:sz w:val="28"/>
              <w:szCs w:val="18"/>
            </w:rPr>
            <w:fldChar w:fldCharType="separate"/>
          </w:r>
          <w:r>
            <w:rPr>
              <w:sz w:val="28"/>
              <w:szCs w:val="18"/>
            </w:rPr>
            <w:t>8</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1A0F1A9D">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_Toc9527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四</w:t>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发展的机遇</w:t>
          </w:r>
          <w:r>
            <w:rPr>
              <w:sz w:val="28"/>
              <w:szCs w:val="18"/>
            </w:rPr>
            <w:tab/>
          </w:r>
          <w:r>
            <w:rPr>
              <w:sz w:val="28"/>
              <w:szCs w:val="18"/>
            </w:rPr>
            <w:fldChar w:fldCharType="begin"/>
          </w:r>
          <w:r>
            <w:rPr>
              <w:sz w:val="28"/>
              <w:szCs w:val="18"/>
            </w:rPr>
            <w:instrText xml:space="preserve"> PAGEREF _Toc9527 \h </w:instrText>
          </w:r>
          <w:r>
            <w:rPr>
              <w:sz w:val="28"/>
              <w:szCs w:val="18"/>
            </w:rPr>
            <w:fldChar w:fldCharType="separate"/>
          </w:r>
          <w:r>
            <w:rPr>
              <w:sz w:val="28"/>
              <w:szCs w:val="18"/>
            </w:rPr>
            <w:t>9</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3B4FC45C">
          <w:pPr>
            <w:pStyle w:val="6"/>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_Toc5316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default" w:ascii="黑体" w:hAnsi="黑体" w:eastAsia="黑体" w:cs="Times New Roman"/>
              <w:kern w:val="21"/>
              <w:sz w:val="28"/>
              <w:szCs w:val="28"/>
              <w:highlight w:val="none"/>
              <w:lang w:val="en-US" w:eastAsia="zh-CN"/>
            </w:rPr>
            <w:t>二、指导思想、基本原则和规划目标</w:t>
          </w:r>
          <w:r>
            <w:rPr>
              <w:sz w:val="28"/>
              <w:szCs w:val="18"/>
            </w:rPr>
            <w:tab/>
          </w:r>
          <w:r>
            <w:rPr>
              <w:sz w:val="28"/>
              <w:szCs w:val="18"/>
            </w:rPr>
            <w:fldChar w:fldCharType="begin"/>
          </w:r>
          <w:r>
            <w:rPr>
              <w:sz w:val="28"/>
              <w:szCs w:val="18"/>
            </w:rPr>
            <w:instrText xml:space="preserve"> PAGEREF _Toc5316 \h </w:instrText>
          </w:r>
          <w:r>
            <w:rPr>
              <w:sz w:val="28"/>
              <w:szCs w:val="18"/>
            </w:rPr>
            <w:fldChar w:fldCharType="separate"/>
          </w:r>
          <w:r>
            <w:rPr>
              <w:sz w:val="28"/>
              <w:szCs w:val="18"/>
            </w:rPr>
            <w:t>11</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4C48223">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_Toc11427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（一）</w:t>
          </w:r>
          <w:r>
            <w:rPr>
              <w:rFonts w:hint="default" w:ascii="楷体_GB2312" w:hAnsi="Times New Roman" w:eastAsia="楷体_GB2312" w:cs="Times New Roman"/>
              <w:bCs/>
              <w:kern w:val="21"/>
              <w:sz w:val="28"/>
              <w:szCs w:val="28"/>
              <w:highlight w:val="none"/>
              <w:lang w:val="en-US" w:eastAsia="zh-CN"/>
            </w:rPr>
            <w:t>指导思想</w:t>
          </w:r>
          <w:r>
            <w:rPr>
              <w:sz w:val="28"/>
              <w:szCs w:val="18"/>
            </w:rPr>
            <w:tab/>
          </w:r>
          <w:r>
            <w:rPr>
              <w:sz w:val="28"/>
              <w:szCs w:val="18"/>
            </w:rPr>
            <w:fldChar w:fldCharType="begin"/>
          </w:r>
          <w:r>
            <w:rPr>
              <w:sz w:val="28"/>
              <w:szCs w:val="18"/>
            </w:rPr>
            <w:instrText xml:space="preserve"> PAGEREF _Toc11427 \h </w:instrText>
          </w:r>
          <w:r>
            <w:rPr>
              <w:sz w:val="28"/>
              <w:szCs w:val="18"/>
            </w:rPr>
            <w:fldChar w:fldCharType="separate"/>
          </w:r>
          <w:r>
            <w:rPr>
              <w:sz w:val="28"/>
              <w:szCs w:val="18"/>
            </w:rPr>
            <w:t>11</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5E16D7E5">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_Toc14115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（二）</w:t>
          </w:r>
          <w:r>
            <w:rPr>
              <w:rFonts w:hint="default" w:ascii="楷体_GB2312" w:hAnsi="Times New Roman" w:eastAsia="楷体_GB2312" w:cs="Times New Roman"/>
              <w:bCs/>
              <w:kern w:val="21"/>
              <w:sz w:val="28"/>
              <w:szCs w:val="28"/>
              <w:highlight w:val="none"/>
              <w:lang w:val="en-US" w:eastAsia="zh-CN"/>
            </w:rPr>
            <w:t>基本原则</w:t>
          </w:r>
          <w:r>
            <w:rPr>
              <w:sz w:val="28"/>
              <w:szCs w:val="18"/>
            </w:rPr>
            <w:tab/>
          </w:r>
          <w:r>
            <w:rPr>
              <w:sz w:val="28"/>
              <w:szCs w:val="18"/>
            </w:rPr>
            <w:fldChar w:fldCharType="begin"/>
          </w:r>
          <w:r>
            <w:rPr>
              <w:sz w:val="28"/>
              <w:szCs w:val="18"/>
            </w:rPr>
            <w:instrText xml:space="preserve"> PAGEREF _Toc14115 \h </w:instrText>
          </w:r>
          <w:r>
            <w:rPr>
              <w:sz w:val="28"/>
              <w:szCs w:val="18"/>
            </w:rPr>
            <w:fldChar w:fldCharType="separate"/>
          </w:r>
          <w:r>
            <w:rPr>
              <w:sz w:val="28"/>
              <w:szCs w:val="18"/>
            </w:rPr>
            <w:t>11</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A38E398">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_Toc20534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三</w:t>
          </w:r>
          <w:r>
            <w:rPr>
              <w:rFonts w:hint="default" w:ascii="楷体_GB2312" w:hAnsi="Times New Roman" w:eastAsia="楷体_GB2312" w:cs="Times New Roman"/>
              <w:bCs/>
              <w:kern w:val="21"/>
              <w:sz w:val="28"/>
              <w:szCs w:val="28"/>
              <w:highlight w:val="none"/>
              <w:lang w:val="en-US" w:eastAsia="zh-CN"/>
            </w:rPr>
            <w:t>）</w:t>
          </w:r>
          <w:r>
            <w:rPr>
              <w:rFonts w:hint="eastAsia" w:ascii="楷体_GB2312" w:hAnsi="Times New Roman" w:eastAsia="楷体_GB2312" w:cs="Times New Roman"/>
              <w:bCs/>
              <w:kern w:val="21"/>
              <w:sz w:val="28"/>
              <w:szCs w:val="28"/>
              <w:highlight w:val="none"/>
              <w:lang w:val="en-US" w:eastAsia="zh-CN"/>
            </w:rPr>
            <w:t>规划目标</w:t>
          </w:r>
          <w:r>
            <w:rPr>
              <w:sz w:val="28"/>
              <w:szCs w:val="18"/>
            </w:rPr>
            <w:tab/>
          </w:r>
          <w:r>
            <w:rPr>
              <w:sz w:val="28"/>
              <w:szCs w:val="18"/>
            </w:rPr>
            <w:fldChar w:fldCharType="begin"/>
          </w:r>
          <w:r>
            <w:rPr>
              <w:sz w:val="28"/>
              <w:szCs w:val="18"/>
            </w:rPr>
            <w:instrText xml:space="preserve"> PAGEREF _Toc20534 \h </w:instrText>
          </w:r>
          <w:r>
            <w:rPr>
              <w:sz w:val="28"/>
              <w:szCs w:val="18"/>
            </w:rPr>
            <w:fldChar w:fldCharType="separate"/>
          </w:r>
          <w:r>
            <w:rPr>
              <w:sz w:val="28"/>
              <w:szCs w:val="18"/>
            </w:rPr>
            <w:t>12</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741B4FDC">
          <w:pPr>
            <w:pStyle w:val="6"/>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_Toc3700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黑体" w:hAnsi="黑体" w:eastAsia="黑体" w:cs="Times New Roman"/>
              <w:kern w:val="21"/>
              <w:sz w:val="28"/>
              <w:szCs w:val="28"/>
              <w:highlight w:val="none"/>
              <w:lang w:val="en-US" w:eastAsia="zh-CN"/>
            </w:rPr>
            <w:t>三</w:t>
          </w:r>
          <w:r>
            <w:rPr>
              <w:rFonts w:hint="default" w:ascii="黑体" w:hAnsi="黑体" w:eastAsia="黑体" w:cs="Times New Roman"/>
              <w:kern w:val="21"/>
              <w:sz w:val="28"/>
              <w:szCs w:val="28"/>
              <w:highlight w:val="none"/>
              <w:lang w:val="en-US" w:eastAsia="zh-CN"/>
            </w:rPr>
            <w:t>、</w:t>
          </w:r>
          <w:r>
            <w:rPr>
              <w:rFonts w:hint="eastAsia" w:ascii="黑体" w:hAnsi="黑体" w:eastAsia="黑体" w:cs="Times New Roman"/>
              <w:kern w:val="21"/>
              <w:sz w:val="28"/>
              <w:szCs w:val="28"/>
              <w:highlight w:val="none"/>
              <w:lang w:val="en-US" w:eastAsia="zh-CN"/>
            </w:rPr>
            <w:t>主要任务</w:t>
          </w:r>
          <w:r>
            <w:rPr>
              <w:sz w:val="28"/>
              <w:szCs w:val="18"/>
            </w:rPr>
            <w:tab/>
          </w:r>
          <w:r>
            <w:rPr>
              <w:sz w:val="28"/>
              <w:szCs w:val="18"/>
            </w:rPr>
            <w:fldChar w:fldCharType="begin"/>
          </w:r>
          <w:r>
            <w:rPr>
              <w:sz w:val="28"/>
              <w:szCs w:val="18"/>
            </w:rPr>
            <w:instrText xml:space="preserve"> PAGEREF _Toc3700 \h </w:instrText>
          </w:r>
          <w:r>
            <w:rPr>
              <w:sz w:val="28"/>
              <w:szCs w:val="18"/>
            </w:rPr>
            <w:fldChar w:fldCharType="separate"/>
          </w:r>
          <w:r>
            <w:rPr>
              <w:sz w:val="28"/>
              <w:szCs w:val="18"/>
            </w:rPr>
            <w:t>13</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6A751B6F">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_Toc24005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（一）健全完善应急管理体系</w:t>
          </w:r>
          <w:r>
            <w:rPr>
              <w:sz w:val="28"/>
              <w:szCs w:val="18"/>
            </w:rPr>
            <w:tab/>
          </w:r>
          <w:r>
            <w:rPr>
              <w:sz w:val="28"/>
              <w:szCs w:val="18"/>
            </w:rPr>
            <w:fldChar w:fldCharType="begin"/>
          </w:r>
          <w:r>
            <w:rPr>
              <w:sz w:val="28"/>
              <w:szCs w:val="18"/>
            </w:rPr>
            <w:instrText xml:space="preserve"> PAGEREF _Toc24005 \h </w:instrText>
          </w:r>
          <w:r>
            <w:rPr>
              <w:sz w:val="28"/>
              <w:szCs w:val="18"/>
            </w:rPr>
            <w:fldChar w:fldCharType="separate"/>
          </w:r>
          <w:r>
            <w:rPr>
              <w:sz w:val="28"/>
              <w:szCs w:val="18"/>
            </w:rPr>
            <w:t>13</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6D71BD4">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_Toc7777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（二）严格落实应急管理责任</w:t>
          </w:r>
          <w:r>
            <w:rPr>
              <w:sz w:val="28"/>
              <w:szCs w:val="18"/>
            </w:rPr>
            <w:tab/>
          </w:r>
          <w:r>
            <w:rPr>
              <w:sz w:val="28"/>
              <w:szCs w:val="18"/>
            </w:rPr>
            <w:fldChar w:fldCharType="begin"/>
          </w:r>
          <w:r>
            <w:rPr>
              <w:sz w:val="28"/>
              <w:szCs w:val="18"/>
            </w:rPr>
            <w:instrText xml:space="preserve"> PAGEREF _Toc7777 \h </w:instrText>
          </w:r>
          <w:r>
            <w:rPr>
              <w:sz w:val="28"/>
              <w:szCs w:val="18"/>
            </w:rPr>
            <w:fldChar w:fldCharType="separate"/>
          </w:r>
          <w:r>
            <w:rPr>
              <w:sz w:val="28"/>
              <w:szCs w:val="18"/>
            </w:rPr>
            <w:t>15</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1ED39886">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_Toc10963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（三）提升事故灾害防范能力</w:t>
          </w:r>
          <w:r>
            <w:rPr>
              <w:sz w:val="28"/>
              <w:szCs w:val="18"/>
            </w:rPr>
            <w:tab/>
          </w:r>
          <w:r>
            <w:rPr>
              <w:sz w:val="28"/>
              <w:szCs w:val="18"/>
            </w:rPr>
            <w:fldChar w:fldCharType="begin"/>
          </w:r>
          <w:r>
            <w:rPr>
              <w:sz w:val="28"/>
              <w:szCs w:val="18"/>
            </w:rPr>
            <w:instrText xml:space="preserve"> PAGEREF _Toc10963 \h </w:instrText>
          </w:r>
          <w:r>
            <w:rPr>
              <w:sz w:val="28"/>
              <w:szCs w:val="18"/>
            </w:rPr>
            <w:fldChar w:fldCharType="separate"/>
          </w:r>
          <w:r>
            <w:rPr>
              <w:sz w:val="28"/>
              <w:szCs w:val="18"/>
            </w:rPr>
            <w:t>15</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7A613AB">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_Toc19674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（四）提升应急救援处置能力</w:t>
          </w:r>
          <w:r>
            <w:rPr>
              <w:sz w:val="28"/>
              <w:szCs w:val="18"/>
            </w:rPr>
            <w:tab/>
          </w:r>
          <w:r>
            <w:rPr>
              <w:sz w:val="28"/>
              <w:szCs w:val="18"/>
            </w:rPr>
            <w:fldChar w:fldCharType="begin"/>
          </w:r>
          <w:r>
            <w:rPr>
              <w:sz w:val="28"/>
              <w:szCs w:val="18"/>
            </w:rPr>
            <w:instrText xml:space="preserve"> PAGEREF _Toc19674 \h </w:instrText>
          </w:r>
          <w:r>
            <w:rPr>
              <w:sz w:val="28"/>
              <w:szCs w:val="18"/>
            </w:rPr>
            <w:fldChar w:fldCharType="separate"/>
          </w:r>
          <w:r>
            <w:rPr>
              <w:sz w:val="28"/>
              <w:szCs w:val="18"/>
            </w:rPr>
            <w:t>23</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7206A218">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_Toc14882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（五）</w:t>
          </w:r>
          <w:r>
            <w:rPr>
              <w:rFonts w:hint="default" w:ascii="楷体_GB2312" w:hAnsi="Times New Roman" w:eastAsia="楷体_GB2312" w:cs="Times New Roman"/>
              <w:bCs/>
              <w:kern w:val="21"/>
              <w:sz w:val="28"/>
              <w:szCs w:val="28"/>
              <w:highlight w:val="none"/>
              <w:lang w:val="en-US" w:eastAsia="zh-CN"/>
            </w:rPr>
            <w:t>提升基层综合治理能力</w:t>
          </w:r>
          <w:r>
            <w:rPr>
              <w:sz w:val="28"/>
              <w:szCs w:val="18"/>
            </w:rPr>
            <w:tab/>
          </w:r>
          <w:r>
            <w:rPr>
              <w:sz w:val="28"/>
              <w:szCs w:val="18"/>
            </w:rPr>
            <w:fldChar w:fldCharType="begin"/>
          </w:r>
          <w:r>
            <w:rPr>
              <w:sz w:val="28"/>
              <w:szCs w:val="18"/>
            </w:rPr>
            <w:instrText xml:space="preserve"> PAGEREF _Toc14882 \h </w:instrText>
          </w:r>
          <w:r>
            <w:rPr>
              <w:sz w:val="28"/>
              <w:szCs w:val="18"/>
            </w:rPr>
            <w:fldChar w:fldCharType="separate"/>
          </w:r>
          <w:r>
            <w:rPr>
              <w:sz w:val="28"/>
              <w:szCs w:val="18"/>
            </w:rPr>
            <w:t>26</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3D2A1985">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_Toc15330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（六）</w:t>
          </w:r>
          <w:r>
            <w:rPr>
              <w:rFonts w:hint="default" w:ascii="楷体_GB2312" w:hAnsi="Times New Roman" w:eastAsia="楷体_GB2312" w:cs="Times New Roman"/>
              <w:bCs/>
              <w:kern w:val="21"/>
              <w:sz w:val="28"/>
              <w:szCs w:val="28"/>
              <w:highlight w:val="none"/>
              <w:lang w:val="en-US" w:eastAsia="zh-CN"/>
            </w:rPr>
            <w:t>提升科技和信息化能力</w:t>
          </w:r>
          <w:r>
            <w:rPr>
              <w:sz w:val="28"/>
              <w:szCs w:val="18"/>
            </w:rPr>
            <w:tab/>
          </w:r>
          <w:r>
            <w:rPr>
              <w:sz w:val="28"/>
              <w:szCs w:val="18"/>
            </w:rPr>
            <w:fldChar w:fldCharType="begin"/>
          </w:r>
          <w:r>
            <w:rPr>
              <w:sz w:val="28"/>
              <w:szCs w:val="18"/>
            </w:rPr>
            <w:instrText xml:space="preserve"> PAGEREF _Toc15330 \h </w:instrText>
          </w:r>
          <w:r>
            <w:rPr>
              <w:sz w:val="28"/>
              <w:szCs w:val="18"/>
            </w:rPr>
            <w:fldChar w:fldCharType="separate"/>
          </w:r>
          <w:r>
            <w:rPr>
              <w:sz w:val="28"/>
              <w:szCs w:val="18"/>
            </w:rPr>
            <w:t>29</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191D4DA">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_Toc20169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（七）</w:t>
          </w:r>
          <w:r>
            <w:rPr>
              <w:rFonts w:hint="default" w:ascii="楷体_GB2312" w:hAnsi="Times New Roman" w:eastAsia="楷体_GB2312" w:cs="Times New Roman"/>
              <w:bCs/>
              <w:kern w:val="21"/>
              <w:sz w:val="28"/>
              <w:szCs w:val="28"/>
              <w:highlight w:val="none"/>
              <w:lang w:val="en-US" w:eastAsia="zh-CN"/>
            </w:rPr>
            <w:t>提升社会共治共享能力</w:t>
          </w:r>
          <w:r>
            <w:rPr>
              <w:sz w:val="28"/>
              <w:szCs w:val="18"/>
            </w:rPr>
            <w:tab/>
          </w:r>
          <w:r>
            <w:rPr>
              <w:sz w:val="28"/>
              <w:szCs w:val="18"/>
            </w:rPr>
            <w:fldChar w:fldCharType="begin"/>
          </w:r>
          <w:r>
            <w:rPr>
              <w:sz w:val="28"/>
              <w:szCs w:val="18"/>
            </w:rPr>
            <w:instrText xml:space="preserve"> PAGEREF _Toc20169 \h </w:instrText>
          </w:r>
          <w:r>
            <w:rPr>
              <w:sz w:val="28"/>
              <w:szCs w:val="18"/>
            </w:rPr>
            <w:fldChar w:fldCharType="separate"/>
          </w:r>
          <w:r>
            <w:rPr>
              <w:sz w:val="28"/>
              <w:szCs w:val="18"/>
            </w:rPr>
            <w:t>31</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212AACF9">
          <w:pPr>
            <w:pStyle w:val="6"/>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_Toc11984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黑体" w:hAnsi="黑体" w:eastAsia="黑体" w:cs="Times New Roman"/>
              <w:kern w:val="21"/>
              <w:sz w:val="28"/>
              <w:szCs w:val="28"/>
              <w:highlight w:val="none"/>
              <w:lang w:val="en-US" w:eastAsia="zh-CN"/>
            </w:rPr>
            <w:t>四、重点工程</w:t>
          </w:r>
          <w:r>
            <w:rPr>
              <w:sz w:val="28"/>
              <w:szCs w:val="18"/>
            </w:rPr>
            <w:tab/>
          </w:r>
          <w:r>
            <w:rPr>
              <w:sz w:val="28"/>
              <w:szCs w:val="18"/>
            </w:rPr>
            <w:fldChar w:fldCharType="begin"/>
          </w:r>
          <w:r>
            <w:rPr>
              <w:sz w:val="28"/>
              <w:szCs w:val="18"/>
            </w:rPr>
            <w:instrText xml:space="preserve"> PAGEREF _Toc11984 \h </w:instrText>
          </w:r>
          <w:r>
            <w:rPr>
              <w:sz w:val="28"/>
              <w:szCs w:val="18"/>
            </w:rPr>
            <w:fldChar w:fldCharType="separate"/>
          </w:r>
          <w:r>
            <w:rPr>
              <w:sz w:val="28"/>
              <w:szCs w:val="18"/>
            </w:rPr>
            <w:t>32</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E95A77C">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_Toc24821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（一）地区应急指挥体系建设工程</w:t>
          </w:r>
          <w:r>
            <w:rPr>
              <w:sz w:val="28"/>
              <w:szCs w:val="18"/>
            </w:rPr>
            <w:tab/>
          </w:r>
          <w:r>
            <w:rPr>
              <w:sz w:val="28"/>
              <w:szCs w:val="18"/>
            </w:rPr>
            <w:fldChar w:fldCharType="begin"/>
          </w:r>
          <w:r>
            <w:rPr>
              <w:sz w:val="28"/>
              <w:szCs w:val="18"/>
            </w:rPr>
            <w:instrText xml:space="preserve"> PAGEREF _Toc24821 \h </w:instrText>
          </w:r>
          <w:r>
            <w:rPr>
              <w:sz w:val="28"/>
              <w:szCs w:val="18"/>
            </w:rPr>
            <w:fldChar w:fldCharType="separate"/>
          </w:r>
          <w:r>
            <w:rPr>
              <w:sz w:val="28"/>
              <w:szCs w:val="18"/>
            </w:rPr>
            <w:t>32</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0F9BEEC3">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_Toc16007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（二）地区安全生产监测预警信息化工程</w:t>
          </w:r>
          <w:r>
            <w:rPr>
              <w:sz w:val="28"/>
              <w:szCs w:val="18"/>
            </w:rPr>
            <w:tab/>
          </w:r>
          <w:r>
            <w:rPr>
              <w:sz w:val="28"/>
              <w:szCs w:val="18"/>
            </w:rPr>
            <w:fldChar w:fldCharType="begin"/>
          </w:r>
          <w:r>
            <w:rPr>
              <w:sz w:val="28"/>
              <w:szCs w:val="18"/>
            </w:rPr>
            <w:instrText xml:space="preserve"> PAGEREF _Toc16007 \h </w:instrText>
          </w:r>
          <w:r>
            <w:rPr>
              <w:sz w:val="28"/>
              <w:szCs w:val="18"/>
            </w:rPr>
            <w:fldChar w:fldCharType="separate"/>
          </w:r>
          <w:r>
            <w:rPr>
              <w:sz w:val="28"/>
              <w:szCs w:val="18"/>
            </w:rPr>
            <w:t>33</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2D46D5D7">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_Toc18881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（三）地区自然灾害监测预警信息化工程</w:t>
          </w:r>
          <w:r>
            <w:rPr>
              <w:sz w:val="28"/>
              <w:szCs w:val="18"/>
            </w:rPr>
            <w:tab/>
          </w:r>
          <w:r>
            <w:rPr>
              <w:sz w:val="28"/>
              <w:szCs w:val="18"/>
            </w:rPr>
            <w:fldChar w:fldCharType="begin"/>
          </w:r>
          <w:r>
            <w:rPr>
              <w:sz w:val="28"/>
              <w:szCs w:val="18"/>
            </w:rPr>
            <w:instrText xml:space="preserve"> PAGEREF _Toc18881 \h </w:instrText>
          </w:r>
          <w:r>
            <w:rPr>
              <w:sz w:val="28"/>
              <w:szCs w:val="18"/>
            </w:rPr>
            <w:fldChar w:fldCharType="separate"/>
          </w:r>
          <w:r>
            <w:rPr>
              <w:sz w:val="28"/>
              <w:szCs w:val="18"/>
            </w:rPr>
            <w:t>34</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55A39058">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_Toc31853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（四）自然灾害防治重点工程</w:t>
          </w:r>
          <w:r>
            <w:rPr>
              <w:sz w:val="28"/>
              <w:szCs w:val="18"/>
            </w:rPr>
            <w:tab/>
          </w:r>
          <w:r>
            <w:rPr>
              <w:sz w:val="28"/>
              <w:szCs w:val="18"/>
            </w:rPr>
            <w:fldChar w:fldCharType="begin"/>
          </w:r>
          <w:r>
            <w:rPr>
              <w:sz w:val="28"/>
              <w:szCs w:val="18"/>
            </w:rPr>
            <w:instrText xml:space="preserve"> PAGEREF _Toc31853 \h </w:instrText>
          </w:r>
          <w:r>
            <w:rPr>
              <w:sz w:val="28"/>
              <w:szCs w:val="18"/>
            </w:rPr>
            <w:fldChar w:fldCharType="separate"/>
          </w:r>
          <w:r>
            <w:rPr>
              <w:sz w:val="28"/>
              <w:szCs w:val="18"/>
            </w:rPr>
            <w:t>34</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051808BB">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_Toc26318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（五）综合风险监测塔网资源利用工程</w:t>
          </w:r>
          <w:r>
            <w:rPr>
              <w:sz w:val="28"/>
              <w:szCs w:val="18"/>
            </w:rPr>
            <w:tab/>
          </w:r>
          <w:r>
            <w:rPr>
              <w:sz w:val="28"/>
              <w:szCs w:val="18"/>
            </w:rPr>
            <w:fldChar w:fldCharType="begin"/>
          </w:r>
          <w:r>
            <w:rPr>
              <w:sz w:val="28"/>
              <w:szCs w:val="18"/>
            </w:rPr>
            <w:instrText xml:space="preserve"> PAGEREF _Toc26318 \h </w:instrText>
          </w:r>
          <w:r>
            <w:rPr>
              <w:sz w:val="28"/>
              <w:szCs w:val="18"/>
            </w:rPr>
            <w:fldChar w:fldCharType="separate"/>
          </w:r>
          <w:r>
            <w:rPr>
              <w:sz w:val="28"/>
              <w:szCs w:val="18"/>
            </w:rPr>
            <w:t>34</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0B802CF5">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_Toc25134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（六）地区应急救援装备建设工程</w:t>
          </w:r>
          <w:r>
            <w:rPr>
              <w:sz w:val="28"/>
              <w:szCs w:val="18"/>
            </w:rPr>
            <w:tab/>
          </w:r>
          <w:r>
            <w:rPr>
              <w:sz w:val="28"/>
              <w:szCs w:val="18"/>
            </w:rPr>
            <w:fldChar w:fldCharType="begin"/>
          </w:r>
          <w:r>
            <w:rPr>
              <w:sz w:val="28"/>
              <w:szCs w:val="18"/>
            </w:rPr>
            <w:instrText xml:space="preserve"> PAGEREF _Toc25134 \h </w:instrText>
          </w:r>
          <w:r>
            <w:rPr>
              <w:sz w:val="28"/>
              <w:szCs w:val="18"/>
            </w:rPr>
            <w:fldChar w:fldCharType="separate"/>
          </w:r>
          <w:r>
            <w:rPr>
              <w:sz w:val="28"/>
              <w:szCs w:val="18"/>
            </w:rPr>
            <w:t>35</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0E44943D">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_Toc15222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（七）应急科普教育基地建设工程</w:t>
          </w:r>
          <w:r>
            <w:rPr>
              <w:sz w:val="28"/>
              <w:szCs w:val="18"/>
            </w:rPr>
            <w:tab/>
          </w:r>
          <w:r>
            <w:rPr>
              <w:sz w:val="28"/>
              <w:szCs w:val="18"/>
            </w:rPr>
            <w:fldChar w:fldCharType="begin"/>
          </w:r>
          <w:r>
            <w:rPr>
              <w:sz w:val="28"/>
              <w:szCs w:val="18"/>
            </w:rPr>
            <w:instrText xml:space="preserve"> PAGEREF _Toc15222 \h </w:instrText>
          </w:r>
          <w:r>
            <w:rPr>
              <w:sz w:val="28"/>
              <w:szCs w:val="18"/>
            </w:rPr>
            <w:fldChar w:fldCharType="separate"/>
          </w:r>
          <w:r>
            <w:rPr>
              <w:sz w:val="28"/>
              <w:szCs w:val="18"/>
            </w:rPr>
            <w:t>35</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89D6898">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_Toc7313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（八）基层应急能力建设工程</w:t>
          </w:r>
          <w:r>
            <w:rPr>
              <w:sz w:val="28"/>
              <w:szCs w:val="18"/>
            </w:rPr>
            <w:tab/>
          </w:r>
          <w:r>
            <w:rPr>
              <w:sz w:val="28"/>
              <w:szCs w:val="18"/>
            </w:rPr>
            <w:fldChar w:fldCharType="begin"/>
          </w:r>
          <w:r>
            <w:rPr>
              <w:sz w:val="28"/>
              <w:szCs w:val="18"/>
            </w:rPr>
            <w:instrText xml:space="preserve"> PAGEREF _Toc7313 \h </w:instrText>
          </w:r>
          <w:r>
            <w:rPr>
              <w:sz w:val="28"/>
              <w:szCs w:val="18"/>
            </w:rPr>
            <w:fldChar w:fldCharType="separate"/>
          </w:r>
          <w:r>
            <w:rPr>
              <w:sz w:val="28"/>
              <w:szCs w:val="18"/>
            </w:rPr>
            <w:t>36</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4E27B91">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_Toc1242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（九）应急管理科技支撑工程</w:t>
          </w:r>
          <w:r>
            <w:rPr>
              <w:sz w:val="28"/>
              <w:szCs w:val="18"/>
            </w:rPr>
            <w:tab/>
          </w:r>
          <w:r>
            <w:rPr>
              <w:sz w:val="28"/>
              <w:szCs w:val="18"/>
            </w:rPr>
            <w:fldChar w:fldCharType="begin"/>
          </w:r>
          <w:r>
            <w:rPr>
              <w:sz w:val="28"/>
              <w:szCs w:val="18"/>
            </w:rPr>
            <w:instrText xml:space="preserve"> PAGEREF _Toc1242 \h </w:instrText>
          </w:r>
          <w:r>
            <w:rPr>
              <w:sz w:val="28"/>
              <w:szCs w:val="18"/>
            </w:rPr>
            <w:fldChar w:fldCharType="separate"/>
          </w:r>
          <w:r>
            <w:rPr>
              <w:sz w:val="28"/>
              <w:szCs w:val="18"/>
            </w:rPr>
            <w:t>37</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085BB1E6">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_Toc29154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（十）综合应急救援基地建设工程</w:t>
          </w:r>
          <w:r>
            <w:rPr>
              <w:sz w:val="28"/>
              <w:szCs w:val="18"/>
            </w:rPr>
            <w:tab/>
          </w:r>
          <w:r>
            <w:rPr>
              <w:sz w:val="28"/>
              <w:szCs w:val="18"/>
            </w:rPr>
            <w:fldChar w:fldCharType="begin"/>
          </w:r>
          <w:r>
            <w:rPr>
              <w:sz w:val="28"/>
              <w:szCs w:val="18"/>
            </w:rPr>
            <w:instrText xml:space="preserve"> PAGEREF _Toc29154 \h </w:instrText>
          </w:r>
          <w:r>
            <w:rPr>
              <w:sz w:val="28"/>
              <w:szCs w:val="18"/>
            </w:rPr>
            <w:fldChar w:fldCharType="separate"/>
          </w:r>
          <w:r>
            <w:rPr>
              <w:sz w:val="28"/>
              <w:szCs w:val="18"/>
            </w:rPr>
            <w:t>37</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542A2895">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_Toc7959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（十一）地震灾害风险防范能力提升工程</w:t>
          </w:r>
          <w:r>
            <w:rPr>
              <w:sz w:val="28"/>
              <w:szCs w:val="18"/>
            </w:rPr>
            <w:tab/>
          </w:r>
          <w:r>
            <w:rPr>
              <w:sz w:val="28"/>
              <w:szCs w:val="18"/>
            </w:rPr>
            <w:fldChar w:fldCharType="begin"/>
          </w:r>
          <w:r>
            <w:rPr>
              <w:sz w:val="28"/>
              <w:szCs w:val="18"/>
            </w:rPr>
            <w:instrText xml:space="preserve"> PAGEREF _Toc7959 \h </w:instrText>
          </w:r>
          <w:r>
            <w:rPr>
              <w:sz w:val="28"/>
              <w:szCs w:val="18"/>
            </w:rPr>
            <w:fldChar w:fldCharType="separate"/>
          </w:r>
          <w:r>
            <w:rPr>
              <w:sz w:val="28"/>
              <w:szCs w:val="18"/>
            </w:rPr>
            <w:t>37</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2E079947">
          <w:pPr>
            <w:pStyle w:val="6"/>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_Toc18622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黑体" w:hAnsi="黑体" w:eastAsia="黑体" w:cs="Times New Roman"/>
              <w:kern w:val="21"/>
              <w:sz w:val="28"/>
              <w:szCs w:val="28"/>
              <w:highlight w:val="none"/>
              <w:lang w:val="en-US" w:eastAsia="zh-CN"/>
            </w:rPr>
            <w:t>五、保障措施</w:t>
          </w:r>
          <w:r>
            <w:rPr>
              <w:sz w:val="28"/>
              <w:szCs w:val="18"/>
            </w:rPr>
            <w:tab/>
          </w:r>
          <w:r>
            <w:rPr>
              <w:sz w:val="28"/>
              <w:szCs w:val="18"/>
            </w:rPr>
            <w:fldChar w:fldCharType="begin"/>
          </w:r>
          <w:r>
            <w:rPr>
              <w:sz w:val="28"/>
              <w:szCs w:val="18"/>
            </w:rPr>
            <w:instrText xml:space="preserve"> PAGEREF _Toc18622 \h </w:instrText>
          </w:r>
          <w:r>
            <w:rPr>
              <w:sz w:val="28"/>
              <w:szCs w:val="18"/>
            </w:rPr>
            <w:fldChar w:fldCharType="separate"/>
          </w:r>
          <w:r>
            <w:rPr>
              <w:sz w:val="28"/>
              <w:szCs w:val="18"/>
            </w:rPr>
            <w:t>38</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20BCF4FA">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_Toc19812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（一）加强组织领导</w:t>
          </w:r>
          <w:r>
            <w:rPr>
              <w:sz w:val="28"/>
              <w:szCs w:val="18"/>
            </w:rPr>
            <w:tab/>
          </w:r>
          <w:r>
            <w:rPr>
              <w:sz w:val="28"/>
              <w:szCs w:val="18"/>
            </w:rPr>
            <w:fldChar w:fldCharType="begin"/>
          </w:r>
          <w:r>
            <w:rPr>
              <w:sz w:val="28"/>
              <w:szCs w:val="18"/>
            </w:rPr>
            <w:instrText xml:space="preserve"> PAGEREF _Toc19812 \h </w:instrText>
          </w:r>
          <w:r>
            <w:rPr>
              <w:sz w:val="28"/>
              <w:szCs w:val="18"/>
            </w:rPr>
            <w:fldChar w:fldCharType="separate"/>
          </w:r>
          <w:r>
            <w:rPr>
              <w:sz w:val="28"/>
              <w:szCs w:val="18"/>
            </w:rPr>
            <w:t>38</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698DE1F3">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_Toc14926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（二）加大资金保障</w:t>
          </w:r>
          <w:r>
            <w:rPr>
              <w:sz w:val="28"/>
              <w:szCs w:val="18"/>
            </w:rPr>
            <w:tab/>
          </w:r>
          <w:r>
            <w:rPr>
              <w:sz w:val="28"/>
              <w:szCs w:val="18"/>
            </w:rPr>
            <w:fldChar w:fldCharType="begin"/>
          </w:r>
          <w:r>
            <w:rPr>
              <w:sz w:val="28"/>
              <w:szCs w:val="18"/>
            </w:rPr>
            <w:instrText xml:space="preserve"> PAGEREF _Toc14926 \h </w:instrText>
          </w:r>
          <w:r>
            <w:rPr>
              <w:sz w:val="28"/>
              <w:szCs w:val="18"/>
            </w:rPr>
            <w:fldChar w:fldCharType="separate"/>
          </w:r>
          <w:r>
            <w:rPr>
              <w:sz w:val="28"/>
              <w:szCs w:val="18"/>
            </w:rPr>
            <w:t>38</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7BD3BDB">
          <w:pPr>
            <w:pStyle w:val="8"/>
            <w:tabs>
              <w:tab w:val="right" w:leader="dot" w:pos="8306"/>
            </w:tabs>
            <w:rPr>
              <w:sz w:val="28"/>
              <w:szCs w:val="18"/>
            </w:rPr>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_Toc17389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（三）强化人才培养</w:t>
          </w:r>
          <w:r>
            <w:rPr>
              <w:sz w:val="28"/>
              <w:szCs w:val="18"/>
            </w:rPr>
            <w:tab/>
          </w:r>
          <w:r>
            <w:rPr>
              <w:sz w:val="28"/>
              <w:szCs w:val="18"/>
            </w:rPr>
            <w:fldChar w:fldCharType="begin"/>
          </w:r>
          <w:r>
            <w:rPr>
              <w:sz w:val="28"/>
              <w:szCs w:val="18"/>
            </w:rPr>
            <w:instrText xml:space="preserve"> PAGEREF _Toc17389 \h </w:instrText>
          </w:r>
          <w:r>
            <w:rPr>
              <w:sz w:val="28"/>
              <w:szCs w:val="18"/>
            </w:rPr>
            <w:fldChar w:fldCharType="separate"/>
          </w:r>
          <w:r>
            <w:rPr>
              <w:sz w:val="28"/>
              <w:szCs w:val="18"/>
            </w:rPr>
            <w:t>38</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39C9D95">
          <w:pPr>
            <w:pStyle w:val="8"/>
            <w:tabs>
              <w:tab w:val="right" w:leader="dot" w:pos="8306"/>
            </w:tabs>
          </w:pPr>
          <w:r>
            <w:rPr>
              <w:rFonts w:hint="eastAsia" w:ascii="方正仿宋_GB2312" w:hAnsi="方正仿宋_GB2312" w:eastAsia="方正仿宋_GB2312" w:cs="方正仿宋_GB2312"/>
              <w:bCs w:val="0"/>
              <w:color w:val="0C0C0C"/>
              <w:kern w:val="21"/>
              <w:sz w:val="28"/>
              <w:szCs w:val="24"/>
              <w:highlight w:val="none"/>
              <w:lang w:val="en-US" w:eastAsia="zh-CN"/>
            </w:rPr>
            <w:fldChar w:fldCharType="begin"/>
          </w:r>
          <w:r>
            <w:rPr>
              <w:rFonts w:hint="eastAsia" w:ascii="方正仿宋_GB2312" w:hAnsi="方正仿宋_GB2312" w:eastAsia="方正仿宋_GB2312" w:cs="方正仿宋_GB2312"/>
              <w:bCs w:val="0"/>
              <w:kern w:val="21"/>
              <w:sz w:val="28"/>
              <w:szCs w:val="24"/>
              <w:highlight w:val="none"/>
              <w:lang w:val="en-US" w:eastAsia="zh-CN"/>
            </w:rPr>
            <w:instrText xml:space="preserve"> HYPERLINK \l _Toc13098 </w:instrText>
          </w:r>
          <w:r>
            <w:rPr>
              <w:rFonts w:hint="eastAsia" w:ascii="方正仿宋_GB2312" w:hAnsi="方正仿宋_GB2312" w:eastAsia="方正仿宋_GB2312" w:cs="方正仿宋_GB2312"/>
              <w:bCs w:val="0"/>
              <w:kern w:val="21"/>
              <w:sz w:val="28"/>
              <w:szCs w:val="24"/>
              <w:highlight w:val="none"/>
              <w:lang w:val="en-US" w:eastAsia="zh-CN"/>
            </w:rPr>
            <w:fldChar w:fldCharType="separate"/>
          </w:r>
          <w:r>
            <w:rPr>
              <w:rFonts w:hint="eastAsia" w:ascii="楷体_GB2312" w:hAnsi="Times New Roman" w:eastAsia="楷体_GB2312" w:cs="Times New Roman"/>
              <w:bCs/>
              <w:kern w:val="21"/>
              <w:sz w:val="28"/>
              <w:szCs w:val="28"/>
              <w:highlight w:val="none"/>
              <w:lang w:val="en-US" w:eastAsia="zh-CN"/>
            </w:rPr>
            <w:t>（四）严格考核评估</w:t>
          </w:r>
          <w:r>
            <w:rPr>
              <w:sz w:val="28"/>
              <w:szCs w:val="18"/>
            </w:rPr>
            <w:tab/>
          </w:r>
          <w:r>
            <w:rPr>
              <w:sz w:val="28"/>
              <w:szCs w:val="18"/>
            </w:rPr>
            <w:fldChar w:fldCharType="begin"/>
          </w:r>
          <w:r>
            <w:rPr>
              <w:sz w:val="28"/>
              <w:szCs w:val="18"/>
            </w:rPr>
            <w:instrText xml:space="preserve"> PAGEREF _Toc13098 \h </w:instrText>
          </w:r>
          <w:r>
            <w:rPr>
              <w:sz w:val="28"/>
              <w:szCs w:val="18"/>
            </w:rPr>
            <w:fldChar w:fldCharType="separate"/>
          </w:r>
          <w:r>
            <w:rPr>
              <w:sz w:val="28"/>
              <w:szCs w:val="18"/>
            </w:rPr>
            <w:t>39</w:t>
          </w:r>
          <w:r>
            <w:rPr>
              <w:sz w:val="28"/>
              <w:szCs w:val="18"/>
            </w:rPr>
            <w:fldChar w:fldCharType="end"/>
          </w:r>
          <w:r>
            <w:rPr>
              <w:rFonts w:hint="eastAsia" w:ascii="方正仿宋_GB2312" w:hAnsi="方正仿宋_GB2312" w:eastAsia="方正仿宋_GB2312" w:cs="方正仿宋_GB2312"/>
              <w:bCs w:val="0"/>
              <w:color w:val="0C0C0C"/>
              <w:kern w:val="21"/>
              <w:sz w:val="28"/>
              <w:szCs w:val="24"/>
              <w:highlight w:val="none"/>
              <w:lang w:val="en-US" w:eastAsia="zh-CN"/>
            </w:rPr>
            <w:fldChar w:fldCharType="end"/>
          </w:r>
        </w:p>
        <w:p w14:paraId="44FAA647">
          <w:pPr>
            <w:rPr>
              <w:rFonts w:hint="eastAsia" w:ascii="方正仿宋_GB2312" w:hAnsi="方正仿宋_GB2312" w:eastAsia="方正仿宋_GB2312" w:cs="方正仿宋_GB2312"/>
              <w:bCs w:val="0"/>
              <w:color w:val="0C0C0C"/>
              <w:kern w:val="21"/>
              <w:sz w:val="32"/>
              <w:szCs w:val="32"/>
              <w:highlight w:val="none"/>
              <w:lang w:val="en-US" w:eastAsia="zh-CN" w:bidi="ar-SA"/>
            </w:rPr>
          </w:pPr>
          <w:r>
            <w:rPr>
              <w:rFonts w:hint="eastAsia" w:ascii="方正仿宋_GB2312" w:hAnsi="方正仿宋_GB2312" w:eastAsia="方正仿宋_GB2312" w:cs="方正仿宋_GB2312"/>
              <w:bCs w:val="0"/>
              <w:color w:val="0C0C0C"/>
              <w:kern w:val="21"/>
              <w:szCs w:val="28"/>
              <w:highlight w:val="none"/>
              <w:lang w:val="en-US" w:eastAsia="zh-CN"/>
            </w:rPr>
            <w:fldChar w:fldCharType="end"/>
          </w:r>
        </w:p>
      </w:sdtContent>
    </w:sdt>
    <w:p w14:paraId="40053A2E">
      <w:pPr>
        <w:rPr>
          <w:rFonts w:hint="eastAsia" w:ascii="方正仿宋_GB2312" w:hAnsi="方正仿宋_GB2312" w:eastAsia="方正仿宋_GB2312" w:cs="方正仿宋_GB2312"/>
          <w:bCs w:val="0"/>
          <w:color w:val="0C0C0C"/>
          <w:kern w:val="21"/>
          <w:sz w:val="32"/>
          <w:szCs w:val="32"/>
          <w:highlight w:val="none"/>
          <w:lang w:val="en-US" w:eastAsia="zh-CN" w:bidi="ar-SA"/>
        </w:rPr>
      </w:pPr>
    </w:p>
    <w:p w14:paraId="174414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b w:val="0"/>
          <w:bCs w:val="0"/>
          <w:color w:val="0C0C0C"/>
          <w:kern w:val="21"/>
          <w:sz w:val="32"/>
          <w:szCs w:val="32"/>
          <w:highlight w:val="none"/>
          <w:lang w:val="en-US" w:eastAsia="zh-CN"/>
        </w:rPr>
        <w:sectPr>
          <w:footerReference r:id="rId3" w:type="default"/>
          <w:pgSz w:w="11906" w:h="16838"/>
          <w:pgMar w:top="1440" w:right="1800" w:bottom="1440" w:left="1800" w:header="851" w:footer="992" w:gutter="0"/>
          <w:pgNumType w:fmt="upperRoman" w:start="1"/>
          <w:cols w:space="425" w:num="1"/>
          <w:docGrid w:type="lines" w:linePitch="312" w:charSpace="0"/>
        </w:sectPr>
      </w:pPr>
    </w:p>
    <w:p w14:paraId="1F4AD6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b w:val="0"/>
          <w:bCs w:val="0"/>
          <w:color w:val="0C0C0C"/>
          <w:kern w:val="21"/>
          <w:sz w:val="32"/>
          <w:szCs w:val="32"/>
          <w:highlight w:val="none"/>
          <w:lang w:val="en-US" w:eastAsia="zh-CN"/>
        </w:rPr>
      </w:pPr>
      <w:r>
        <w:rPr>
          <w:rFonts w:hint="eastAsia" w:ascii="方正仿宋_GB2312" w:hAnsi="方正仿宋_GB2312" w:eastAsia="方正仿宋_GB2312" w:cs="方正仿宋_GB2312"/>
          <w:b w:val="0"/>
          <w:bCs w:val="0"/>
          <w:color w:val="0C0C0C"/>
          <w:kern w:val="21"/>
          <w:sz w:val="32"/>
          <w:szCs w:val="32"/>
          <w:highlight w:val="none"/>
          <w:lang w:val="en-US" w:eastAsia="zh-CN"/>
        </w:rPr>
        <w:t>为贯彻落实党中央、国务院和自治区党委、人民政府关于应急管理工作的重大决策部署，统筹推进全地区应急管理事业改革发展，全面加强塔城地区“十五五”时期应急体系建设，不断提高全地区应急管理水平，进一步提升事故灾害处置能力，为经济高质量发展和社会稳定提供坚强保障，根据《中华人民共和国突发事件应对法》《新疆维吾尔自治区应急体系“十五五”规划》，结合《塔城地区国民经济和社会发展第十五个五年规划纲要》精神，制定本规划。</w:t>
      </w:r>
    </w:p>
    <w:p w14:paraId="0898448B">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eastAsia="仿宋_GB2312"/>
          <w:color w:val="0C0C0C"/>
          <w:kern w:val="21"/>
          <w:sz w:val="32"/>
          <w:szCs w:val="32"/>
          <w:highlight w:val="none"/>
        </w:rPr>
      </w:pPr>
      <w:bookmarkStart w:id="0" w:name="_Toc19747"/>
      <w:r>
        <w:rPr>
          <w:rFonts w:ascii="黑体" w:hAnsi="黑体" w:eastAsia="黑体"/>
          <w:color w:val="0C0C0C"/>
          <w:kern w:val="21"/>
          <w:sz w:val="32"/>
          <w:szCs w:val="32"/>
          <w:highlight w:val="none"/>
        </w:rPr>
        <w:t>一、现状和面临的形势</w:t>
      </w:r>
      <w:bookmarkEnd w:id="0"/>
    </w:p>
    <w:p w14:paraId="3C467FEF">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eastAsia" w:ascii="楷体_GB2312" w:eastAsia="楷体_GB2312"/>
          <w:b/>
          <w:bCs/>
          <w:color w:val="0C0C0C"/>
          <w:kern w:val="21"/>
          <w:sz w:val="32"/>
          <w:szCs w:val="32"/>
          <w:highlight w:val="none"/>
        </w:rPr>
      </w:pPr>
      <w:bookmarkStart w:id="1" w:name="_Toc32463"/>
      <w:r>
        <w:rPr>
          <w:rFonts w:ascii="楷体_GB2312" w:eastAsia="楷体_GB2312"/>
          <w:b/>
          <w:bCs/>
          <w:color w:val="0C0C0C"/>
          <w:kern w:val="21"/>
          <w:sz w:val="32"/>
          <w:szCs w:val="32"/>
          <w:highlight w:val="none"/>
        </w:rPr>
        <w:t>（一）</w:t>
      </w:r>
      <w:r>
        <w:rPr>
          <w:rFonts w:hint="eastAsia" w:ascii="楷体_GB2312" w:eastAsia="楷体_GB2312"/>
          <w:b/>
          <w:bCs/>
          <w:color w:val="0C0C0C"/>
          <w:kern w:val="21"/>
          <w:sz w:val="32"/>
          <w:szCs w:val="32"/>
          <w:highlight w:val="none"/>
        </w:rPr>
        <w:t>工作成效</w:t>
      </w:r>
      <w:bookmarkEnd w:id="1"/>
    </w:p>
    <w:p w14:paraId="514A92C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0C0C0C"/>
          <w:kern w:val="21"/>
          <w:sz w:val="32"/>
          <w:szCs w:val="32"/>
          <w:highlight w:val="none"/>
          <w:lang w:val="en-US" w:eastAsia="zh-CN"/>
        </w:rPr>
      </w:pPr>
      <w:r>
        <w:rPr>
          <w:rFonts w:hint="eastAsia" w:ascii="方正仿宋_GB2312" w:hAnsi="方正仿宋_GB2312" w:eastAsia="方正仿宋_GB2312" w:cs="方正仿宋_GB2312"/>
          <w:b w:val="0"/>
          <w:bCs w:val="0"/>
          <w:color w:val="0C0C0C"/>
          <w:kern w:val="21"/>
          <w:sz w:val="32"/>
          <w:szCs w:val="32"/>
          <w:highlight w:val="none"/>
          <w:lang w:eastAsia="zh-CN"/>
        </w:rPr>
        <w:t>“</w:t>
      </w:r>
      <w:r>
        <w:rPr>
          <w:rFonts w:hint="eastAsia" w:ascii="方正仿宋_GB2312" w:hAnsi="方正仿宋_GB2312" w:eastAsia="方正仿宋_GB2312" w:cs="方正仿宋_GB2312"/>
          <w:b w:val="0"/>
          <w:bCs w:val="0"/>
          <w:color w:val="0C0C0C"/>
          <w:kern w:val="21"/>
          <w:sz w:val="32"/>
          <w:szCs w:val="32"/>
          <w:highlight w:val="none"/>
          <w:lang w:val="en-US" w:eastAsia="zh-CN"/>
        </w:rPr>
        <w:t>十四五</w:t>
      </w:r>
      <w:r>
        <w:rPr>
          <w:rFonts w:hint="eastAsia" w:ascii="方正仿宋_GB2312" w:hAnsi="方正仿宋_GB2312" w:eastAsia="方正仿宋_GB2312" w:cs="方正仿宋_GB2312"/>
          <w:b w:val="0"/>
          <w:bCs w:val="0"/>
          <w:color w:val="0C0C0C"/>
          <w:kern w:val="21"/>
          <w:sz w:val="32"/>
          <w:szCs w:val="32"/>
          <w:highlight w:val="none"/>
          <w:lang w:eastAsia="zh-CN"/>
        </w:rPr>
        <w:t>”</w:t>
      </w:r>
      <w:r>
        <w:rPr>
          <w:rFonts w:hint="eastAsia" w:ascii="方正仿宋_GB2312" w:hAnsi="方正仿宋_GB2312" w:eastAsia="方正仿宋_GB2312" w:cs="方正仿宋_GB2312"/>
          <w:b w:val="0"/>
          <w:bCs w:val="0"/>
          <w:color w:val="0C0C0C"/>
          <w:kern w:val="21"/>
          <w:sz w:val="32"/>
          <w:szCs w:val="32"/>
          <w:highlight w:val="none"/>
          <w:lang w:val="en-US" w:eastAsia="zh-CN"/>
        </w:rPr>
        <w:t>期间，塔城地区以习近平新时代中国特色社会主义思想为指导，深入贯彻习近平总书记系列重要讲话精神和党的十九大、二十大精神，贯彻落实习近平总书记关于应急管理、安全生产和防灾减灾救灾重要论述和重要指示批示精神，贯彻落实习近平总书记关于新疆工作的重要讲话精神，紧紧围绕社会稳定和长治久安总目标，坚持以人民为中心的发展思想，坚持安全发展和综合防灾减灾理念，结合国家应急体系建设发展战略，整体谋划新时代地区应急体系建设发展格局，着力补齐短板、堵塞漏洞、消除隐患，抓重点、抓关键、抓薄弱环节，全面加强应急管理体制机制建设、法治体系建设、基础能力建设、科技支撑建设、人才队伍建设，全面提高防范化解重大安全风险、抵御处置各类重大灾害事故的能力，切实保障广大社会公众的生命财产安全。</w:t>
      </w:r>
    </w:p>
    <w:p w14:paraId="0D703267">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bCs/>
          <w:color w:val="0C0C0C"/>
          <w:kern w:val="21"/>
          <w:sz w:val="32"/>
          <w:szCs w:val="32"/>
          <w:highlight w:val="none"/>
          <w:lang w:val="en-US" w:eastAsia="zh-CN"/>
        </w:rPr>
      </w:pPr>
      <w:r>
        <w:rPr>
          <w:rFonts w:hint="eastAsia" w:ascii="方正楷体_GB2312" w:hAnsi="方正楷体_GB2312" w:eastAsia="方正楷体_GB2312" w:cs="方正楷体_GB2312"/>
          <w:b/>
          <w:bCs/>
          <w:color w:val="0C0C0C"/>
          <w:kern w:val="21"/>
          <w:sz w:val="32"/>
          <w:szCs w:val="32"/>
          <w:highlight w:val="none"/>
          <w:lang w:val="en-US" w:eastAsia="zh-CN"/>
        </w:rPr>
        <w:t>1.有序推进机制体制建设与改革</w:t>
      </w:r>
    </w:p>
    <w:p w14:paraId="78809660">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b w:val="0"/>
          <w:bCs w:val="0"/>
          <w:color w:val="0C0C0C"/>
          <w:kern w:val="21"/>
          <w:sz w:val="32"/>
          <w:szCs w:val="32"/>
          <w:highlight w:val="none"/>
          <w:lang w:val="en-US" w:eastAsia="zh-CN"/>
        </w:rPr>
      </w:pPr>
      <w:r>
        <w:rPr>
          <w:rFonts w:hint="eastAsia" w:ascii="方正仿宋_GB2312" w:hAnsi="方正仿宋_GB2312" w:eastAsia="方正仿宋_GB2312" w:cs="方正仿宋_GB2312"/>
          <w:b w:val="0"/>
          <w:bCs w:val="0"/>
          <w:color w:val="0C0C0C"/>
          <w:kern w:val="21"/>
          <w:sz w:val="32"/>
          <w:szCs w:val="32"/>
          <w:highlight w:val="none"/>
          <w:lang w:val="en-US" w:eastAsia="zh-CN"/>
        </w:rPr>
        <w:t>在国家、自治区对煤矿安全监管体制划转要求提出后，地委、行署主要领导高位推动，将地区发展和改革委员会承担的地区煤矿监管职责划转至地区应急管理局，在地区应急管理局加挂“地区矿山安全监督管理局”牌子，内设机构增设至5个，进一步完善了地区应急监管的格局。同时，</w:t>
      </w:r>
      <w:r>
        <w:rPr>
          <w:rFonts w:hint="default" w:ascii="方正仿宋_GB2312" w:hAnsi="方正仿宋_GB2312" w:eastAsia="方正仿宋_GB2312" w:cs="方正仿宋_GB2312"/>
          <w:b w:val="0"/>
          <w:bCs w:val="0"/>
          <w:color w:val="0C0C0C"/>
          <w:kern w:val="21"/>
          <w:sz w:val="32"/>
          <w:szCs w:val="32"/>
          <w:highlight w:val="none"/>
          <w:lang w:val="en-US" w:eastAsia="zh-CN"/>
        </w:rPr>
        <w:t>与地委编办对接，将塔城地区安全生产执法监察支队更名为“塔城地区应急管理综合行政执法支队”，机构规格暂时不变，人员编制按照自治区要求执行，确保综合执法改革工作顺利完成。</w:t>
      </w:r>
    </w:p>
    <w:p w14:paraId="6937D7D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b w:val="0"/>
          <w:bCs w:val="0"/>
          <w:color w:val="0C0C0C"/>
          <w:kern w:val="21"/>
          <w:sz w:val="32"/>
          <w:szCs w:val="32"/>
          <w:highlight w:val="none"/>
          <w:lang w:val="en-US" w:eastAsia="zh-CN"/>
        </w:rPr>
      </w:pPr>
      <w:r>
        <w:rPr>
          <w:rFonts w:hint="eastAsia" w:ascii="方正仿宋_GB2312" w:hAnsi="方正仿宋_GB2312" w:eastAsia="方正仿宋_GB2312" w:cs="方正仿宋_GB2312"/>
          <w:b w:val="0"/>
          <w:bCs w:val="0"/>
          <w:color w:val="0C0C0C"/>
          <w:kern w:val="21"/>
          <w:sz w:val="32"/>
          <w:szCs w:val="32"/>
          <w:highlight w:val="none"/>
          <w:lang w:val="en-US" w:eastAsia="zh-CN"/>
        </w:rPr>
        <w:t>“十四五”以来，</w:t>
      </w:r>
      <w:r>
        <w:rPr>
          <w:rFonts w:hint="default" w:ascii="方正仿宋_GB2312" w:hAnsi="方正仿宋_GB2312" w:eastAsia="方正仿宋_GB2312" w:cs="方正仿宋_GB2312"/>
          <w:b w:val="0"/>
          <w:bCs w:val="0"/>
          <w:color w:val="0C0C0C"/>
          <w:kern w:val="21"/>
          <w:sz w:val="32"/>
          <w:szCs w:val="32"/>
          <w:highlight w:val="none"/>
          <w:lang w:val="en-US" w:eastAsia="zh-CN"/>
        </w:rPr>
        <w:t>在地区和7个县（市）建立应急指挥中心。按照处置应急突发事件的要求，建设完善指挥决策区、会商研判区、办公区等区域。同时，将防汛抗旱、天眼等预警系统部署在应急指挥中心，纵向贯通自治区、县（市）指挥中心、重点企业安全生产调度中心，横向与消防救援指挥中心、维稳指挥部互联互通，构建横向到边、纵向到底的应急管理体制机制。</w:t>
      </w:r>
    </w:p>
    <w:p w14:paraId="03608DF8">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方正楷体_GB2312" w:hAnsi="方正楷体_GB2312" w:eastAsia="方正楷体_GB2312" w:cs="方正楷体_GB2312"/>
          <w:b/>
          <w:bCs/>
          <w:color w:val="0C0C0C"/>
          <w:kern w:val="21"/>
          <w:sz w:val="32"/>
          <w:szCs w:val="32"/>
          <w:highlight w:val="none"/>
          <w:lang w:val="en-US" w:eastAsia="zh-CN"/>
        </w:rPr>
      </w:pPr>
      <w:r>
        <w:rPr>
          <w:rFonts w:hint="eastAsia" w:ascii="方正楷体_GB2312" w:hAnsi="方正楷体_GB2312" w:eastAsia="方正楷体_GB2312" w:cs="方正楷体_GB2312"/>
          <w:b/>
          <w:bCs/>
          <w:color w:val="0C0C0C"/>
          <w:kern w:val="21"/>
          <w:sz w:val="32"/>
          <w:szCs w:val="32"/>
          <w:highlight w:val="none"/>
          <w:lang w:val="en-US" w:eastAsia="zh-CN"/>
        </w:rPr>
        <w:t>2.</w:t>
      </w:r>
      <w:r>
        <w:rPr>
          <w:rFonts w:hint="default" w:ascii="方正楷体_GB2312" w:hAnsi="方正楷体_GB2312" w:eastAsia="方正楷体_GB2312" w:cs="方正楷体_GB2312"/>
          <w:b/>
          <w:bCs/>
          <w:color w:val="0C0C0C"/>
          <w:kern w:val="21"/>
          <w:sz w:val="32"/>
          <w:szCs w:val="32"/>
          <w:highlight w:val="none"/>
          <w:lang w:val="en-US" w:eastAsia="zh-CN"/>
        </w:rPr>
        <w:t>推动安全治理模式向事前预防转型</w:t>
      </w:r>
    </w:p>
    <w:p w14:paraId="006533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塔城地区坚持把制度建设作为抓好安全生产工作的“先手棋”，成立地区安全生产和防灾减灾救灾委员会，调整成立</w:t>
      </w:r>
      <w:r>
        <w:rPr>
          <w:rFonts w:hint="default" w:ascii="Times New Roman" w:hAnsi="Times New Roman" w:eastAsia="仿宋_GB2312" w:cs="Times New Roman"/>
          <w:sz w:val="32"/>
          <w:szCs w:val="32"/>
          <w:highlight w:val="none"/>
          <w:lang w:val="en-US" w:eastAsia="zh-CN"/>
        </w:rPr>
        <w:t>9个安全生产专业委员会，</w:t>
      </w:r>
      <w:r>
        <w:rPr>
          <w:rFonts w:hint="default" w:ascii="Times New Roman" w:hAnsi="Times New Roman" w:eastAsia="仿宋_GB2312" w:cs="Times New Roman"/>
          <w:sz w:val="32"/>
          <w:szCs w:val="32"/>
          <w:highlight w:val="none"/>
          <w:lang w:eastAsia="zh-CN"/>
        </w:rPr>
        <w:t>细化分解各成员单位工作职责，强化体制机制建设，做到安全生产管理重源头、强遏制。</w:t>
      </w:r>
    </w:p>
    <w:p w14:paraId="73FFBD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eastAsia" w:ascii="方正仿宋_GB2312" w:hAnsi="方正仿宋_GB2312" w:eastAsia="方正仿宋_GB2312" w:cs="方正仿宋_GB2312"/>
          <w:b/>
          <w:bCs/>
          <w:sz w:val="32"/>
          <w:szCs w:val="32"/>
          <w:highlight w:val="none"/>
          <w:lang w:eastAsia="zh-CN"/>
        </w:rPr>
        <w:t>（</w:t>
      </w:r>
      <w:r>
        <w:rPr>
          <w:rFonts w:hint="eastAsia" w:ascii="方正仿宋_GB2312" w:hAnsi="方正仿宋_GB2312" w:eastAsia="方正仿宋_GB2312" w:cs="方正仿宋_GB2312"/>
          <w:b/>
          <w:bCs/>
          <w:sz w:val="32"/>
          <w:szCs w:val="32"/>
          <w:highlight w:val="none"/>
          <w:lang w:val="en-US" w:eastAsia="zh-CN"/>
        </w:rPr>
        <w:t>1</w:t>
      </w:r>
      <w:r>
        <w:rPr>
          <w:rFonts w:hint="eastAsia" w:ascii="方正仿宋_GB2312" w:hAnsi="方正仿宋_GB2312" w:eastAsia="方正仿宋_GB2312" w:cs="方正仿宋_GB2312"/>
          <w:b/>
          <w:bCs/>
          <w:sz w:val="32"/>
          <w:szCs w:val="32"/>
          <w:highlight w:val="none"/>
          <w:lang w:eastAsia="zh-CN"/>
        </w:rPr>
        <w:t>）</w:t>
      </w:r>
      <w:r>
        <w:rPr>
          <w:rFonts w:hint="eastAsia" w:ascii="方正仿宋_GB2312" w:hAnsi="方正仿宋_GB2312" w:eastAsia="方正仿宋_GB2312" w:cs="方正仿宋_GB2312"/>
          <w:b/>
          <w:bCs/>
          <w:sz w:val="32"/>
          <w:szCs w:val="32"/>
          <w:highlight w:val="none"/>
          <w:lang w:val="en-US" w:eastAsia="zh-CN"/>
        </w:rPr>
        <w:t>强化安全风险分析研判，切实增强灾害事故前端感知。</w:t>
      </w:r>
      <w:r>
        <w:rPr>
          <w:rFonts w:hint="default" w:ascii="Times New Roman" w:hAnsi="Times New Roman" w:eastAsia="仿宋_GB2312" w:cs="Times New Roman"/>
          <w:sz w:val="32"/>
          <w:szCs w:val="32"/>
          <w:highlight w:val="none"/>
        </w:rPr>
        <w:t>坚持关口前移，加强源头管控，</w:t>
      </w:r>
      <w:r>
        <w:rPr>
          <w:rFonts w:hint="default" w:ascii="Times New Roman" w:hAnsi="Times New Roman" w:eastAsia="仿宋_GB2312" w:cs="Times New Roman"/>
          <w:sz w:val="32"/>
          <w:szCs w:val="32"/>
          <w:highlight w:val="none"/>
          <w:lang w:eastAsia="zh-CN"/>
        </w:rPr>
        <w:t>每月开展</w:t>
      </w:r>
      <w:r>
        <w:rPr>
          <w:rFonts w:hint="default" w:ascii="Times New Roman" w:hAnsi="Times New Roman" w:eastAsia="仿宋_GB2312" w:cs="Times New Roman"/>
          <w:sz w:val="32"/>
          <w:szCs w:val="32"/>
          <w:highlight w:val="none"/>
          <w:lang w:val="en-US" w:eastAsia="zh-CN"/>
        </w:rPr>
        <w:t>1次安全风险综合分析研判，“元旦</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春节”等重要节假日和</w:t>
      </w:r>
      <w:r>
        <w:rPr>
          <w:rFonts w:hint="eastAsia" w:eastAsia="仿宋_GB2312" w:cs="Times New Roman"/>
          <w:sz w:val="32"/>
          <w:szCs w:val="32"/>
          <w:highlight w:val="none"/>
          <w:lang w:val="en-US" w:eastAsia="zh-CN"/>
        </w:rPr>
        <w:t>全国两会</w:t>
      </w:r>
      <w:r>
        <w:rPr>
          <w:rFonts w:hint="default" w:ascii="Times New Roman" w:hAnsi="Times New Roman" w:eastAsia="仿宋_GB2312" w:cs="Times New Roman"/>
          <w:sz w:val="32"/>
          <w:szCs w:val="32"/>
          <w:highlight w:val="none"/>
          <w:lang w:val="en-US" w:eastAsia="zh-CN"/>
        </w:rPr>
        <w:t>等重大活动节点适时开展安全风险专项分析研判</w:t>
      </w:r>
      <w:r>
        <w:rPr>
          <w:rFonts w:hint="default" w:ascii="Times New Roman" w:hAnsi="Times New Roman" w:eastAsia="仿宋_GB2312" w:cs="Times New Roman"/>
          <w:sz w:val="32"/>
          <w:szCs w:val="32"/>
          <w:highlight w:val="none"/>
        </w:rPr>
        <w:t>，专题研究</w:t>
      </w:r>
      <w:r>
        <w:rPr>
          <w:rFonts w:hint="default" w:ascii="Times New Roman" w:hAnsi="Times New Roman" w:eastAsia="仿宋_GB2312" w:cs="Times New Roman"/>
          <w:sz w:val="32"/>
          <w:szCs w:val="32"/>
          <w:highlight w:val="none"/>
          <w:lang w:eastAsia="zh-CN"/>
        </w:rPr>
        <w:t>安全生产、</w:t>
      </w:r>
      <w:r>
        <w:rPr>
          <w:rFonts w:hint="default" w:ascii="Times New Roman" w:hAnsi="Times New Roman" w:eastAsia="仿宋_GB2312" w:cs="Times New Roman"/>
          <w:sz w:val="32"/>
          <w:szCs w:val="32"/>
          <w:highlight w:val="none"/>
        </w:rPr>
        <w:t>森林草原</w:t>
      </w:r>
      <w:r>
        <w:rPr>
          <w:rFonts w:hint="default" w:ascii="Times New Roman" w:hAnsi="Times New Roman" w:eastAsia="仿宋_GB2312" w:cs="Times New Roman"/>
          <w:sz w:val="32"/>
          <w:szCs w:val="32"/>
          <w:highlight w:val="none"/>
          <w:lang w:val="en-US" w:eastAsia="zh-CN"/>
        </w:rPr>
        <w:t>火灾、地震</w:t>
      </w:r>
      <w:r>
        <w:rPr>
          <w:rFonts w:hint="default" w:ascii="Times New Roman" w:hAnsi="Times New Roman" w:eastAsia="仿宋_GB2312" w:cs="Times New Roman"/>
          <w:sz w:val="32"/>
          <w:szCs w:val="32"/>
          <w:highlight w:val="none"/>
        </w:rPr>
        <w:t>和融雪型洪水</w:t>
      </w:r>
      <w:r>
        <w:rPr>
          <w:rFonts w:hint="default" w:ascii="Times New Roman" w:hAnsi="Times New Roman" w:eastAsia="仿宋_GB2312" w:cs="Times New Roman"/>
          <w:sz w:val="32"/>
          <w:szCs w:val="32"/>
          <w:highlight w:val="none"/>
          <w:lang w:eastAsia="zh-CN"/>
        </w:rPr>
        <w:t>风险</w:t>
      </w:r>
      <w:r>
        <w:rPr>
          <w:rFonts w:hint="default" w:ascii="Times New Roman" w:hAnsi="Times New Roman" w:eastAsia="仿宋_GB2312" w:cs="Times New Roman"/>
          <w:sz w:val="32"/>
          <w:szCs w:val="32"/>
          <w:highlight w:val="none"/>
        </w:rPr>
        <w:t>形势</w:t>
      </w:r>
      <w:r>
        <w:rPr>
          <w:rFonts w:hint="default" w:ascii="Times New Roman" w:hAnsi="Times New Roman" w:eastAsia="仿宋_GB2312" w:cs="Times New Roman"/>
          <w:sz w:val="32"/>
          <w:szCs w:val="32"/>
          <w:highlight w:val="none"/>
          <w:lang w:eastAsia="zh-CN"/>
        </w:rPr>
        <w:t>及应对措施</w:t>
      </w:r>
      <w:r>
        <w:rPr>
          <w:rFonts w:hint="default" w:ascii="Times New Roman" w:hAnsi="Times New Roman" w:eastAsia="仿宋_GB2312" w:cs="Times New Roman"/>
          <w:sz w:val="32"/>
          <w:szCs w:val="32"/>
          <w:highlight w:val="none"/>
        </w:rPr>
        <w:t>，牢牢掌握</w:t>
      </w:r>
      <w:r>
        <w:rPr>
          <w:rFonts w:hint="default" w:ascii="Times New Roman" w:hAnsi="Times New Roman" w:eastAsia="仿宋_GB2312" w:cs="Times New Roman"/>
          <w:sz w:val="32"/>
          <w:szCs w:val="32"/>
          <w:highlight w:val="none"/>
          <w:lang w:eastAsia="zh-CN"/>
        </w:rPr>
        <w:t>风险管控</w:t>
      </w:r>
      <w:r>
        <w:rPr>
          <w:rFonts w:hint="default" w:ascii="Times New Roman" w:hAnsi="Times New Roman" w:eastAsia="仿宋_GB2312" w:cs="Times New Roman"/>
          <w:sz w:val="32"/>
          <w:szCs w:val="32"/>
          <w:highlight w:val="none"/>
        </w:rPr>
        <w:t>的主动权。</w:t>
      </w:r>
      <w:r>
        <w:rPr>
          <w:rFonts w:hint="default" w:ascii="Times New Roman" w:hAnsi="Times New Roman" w:eastAsia="仿宋_GB2312" w:cs="Times New Roman"/>
          <w:sz w:val="32"/>
          <w:szCs w:val="32"/>
          <w:highlight w:val="none"/>
          <w:lang w:eastAsia="zh-CN"/>
        </w:rPr>
        <w:t>此外，每月开展生产安全事故统计分析，复盘事故经过，查找事故原因，总结事故教训，有针对性的提出生产安全事故防范措施。</w:t>
      </w:r>
    </w:p>
    <w:p w14:paraId="02F3E3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（2）</w:t>
      </w:r>
      <w:r>
        <w:rPr>
          <w:rFonts w:hint="eastAsia" w:ascii="方正仿宋_GB2312" w:hAnsi="方正仿宋_GB2312" w:eastAsia="方正仿宋_GB2312" w:cs="方正仿宋_GB2312"/>
          <w:b/>
          <w:bCs/>
          <w:sz w:val="32"/>
          <w:szCs w:val="32"/>
          <w:highlight w:val="none"/>
          <w:lang w:eastAsia="zh-CN"/>
        </w:rPr>
        <w:t>强化多部门沟通协调，切实提高</w:t>
      </w:r>
      <w:r>
        <w:rPr>
          <w:rFonts w:hint="eastAsia" w:ascii="方正仿宋_GB2312" w:hAnsi="方正仿宋_GB2312" w:eastAsia="方正仿宋_GB2312" w:cs="方正仿宋_GB2312"/>
          <w:b/>
          <w:bCs/>
          <w:sz w:val="32"/>
          <w:szCs w:val="32"/>
          <w:highlight w:val="none"/>
          <w:lang w:val="en-US" w:eastAsia="zh-CN"/>
        </w:rPr>
        <w:t>预报预警的及时性和准确性。</w:t>
      </w:r>
      <w:r>
        <w:rPr>
          <w:rFonts w:hint="default" w:ascii="Times New Roman" w:hAnsi="Times New Roman" w:eastAsia="仿宋_GB2312" w:cs="Times New Roman"/>
          <w:sz w:val="32"/>
          <w:szCs w:val="32"/>
          <w:highlight w:val="none"/>
          <w:lang w:eastAsia="zh-CN"/>
        </w:rPr>
        <w:t>密切关注天气变化，强化多部门协调沟通，组织召开自然灾害综合风险分析研判，发布自然灾害综合预警响应提示，</w:t>
      </w:r>
      <w:r>
        <w:rPr>
          <w:rFonts w:hint="default" w:ascii="Times New Roman" w:hAnsi="Times New Roman" w:eastAsia="仿宋_GB2312" w:cs="Times New Roman"/>
          <w:sz w:val="32"/>
          <w:szCs w:val="32"/>
          <w:highlight w:val="none"/>
          <w:lang w:val="en-US" w:eastAsia="zh-CN"/>
        </w:rPr>
        <w:t>创建“地区应急管理局”微信公众平台，</w:t>
      </w:r>
      <w:r>
        <w:rPr>
          <w:rFonts w:hint="default" w:ascii="Times New Roman" w:hAnsi="Times New Roman" w:eastAsia="仿宋_GB2312" w:cs="Times New Roman"/>
          <w:sz w:val="32"/>
          <w:szCs w:val="32"/>
          <w:highlight w:val="none"/>
          <w:lang w:eastAsia="zh-CN"/>
        </w:rPr>
        <w:t>充分利用抖音、微信公众号、微博等网络媒体便捷灵活、用户活跃的优势，在塔城零距离、</w:t>
      </w:r>
      <w:r>
        <w:rPr>
          <w:rFonts w:hint="default" w:ascii="Times New Roman" w:hAnsi="Times New Roman" w:eastAsia="仿宋_GB2312" w:cs="Times New Roman"/>
          <w:sz w:val="32"/>
          <w:szCs w:val="32"/>
          <w:highlight w:val="none"/>
          <w:lang w:val="en-US" w:eastAsia="zh-CN"/>
        </w:rPr>
        <w:t>地区应急管理局微信公众号</w:t>
      </w:r>
      <w:r>
        <w:rPr>
          <w:rFonts w:hint="default" w:ascii="Times New Roman" w:hAnsi="Times New Roman" w:eastAsia="仿宋_GB2312" w:cs="Times New Roman"/>
          <w:sz w:val="32"/>
          <w:szCs w:val="32"/>
          <w:highlight w:val="none"/>
          <w:lang w:eastAsia="zh-CN"/>
        </w:rPr>
        <w:t>等平台先后发布防范一氧化碳中毒、加强森林草原火灾防范、</w:t>
      </w:r>
      <w:r>
        <w:rPr>
          <w:rFonts w:hint="default" w:ascii="Times New Roman" w:hAnsi="Times New Roman" w:eastAsia="仿宋_GB2312" w:cs="Times New Roman"/>
          <w:sz w:val="32"/>
          <w:szCs w:val="32"/>
          <w:highlight w:val="none"/>
          <w:lang w:val="en-US" w:eastAsia="zh-CN"/>
        </w:rPr>
        <w:t>加强复工复产安全生产</w:t>
      </w:r>
      <w:r>
        <w:rPr>
          <w:rFonts w:hint="default" w:ascii="Times New Roman" w:hAnsi="Times New Roman" w:eastAsia="仿宋_GB2312" w:cs="Times New Roman"/>
          <w:sz w:val="32"/>
          <w:szCs w:val="32"/>
          <w:highlight w:val="none"/>
          <w:lang w:eastAsia="zh-CN"/>
        </w:rPr>
        <w:t>等温馨提示，</w:t>
      </w:r>
      <w:r>
        <w:rPr>
          <w:rFonts w:hint="default" w:ascii="Times New Roman" w:hAnsi="Times New Roman" w:eastAsia="仿宋_GB2312" w:cs="Times New Roman"/>
          <w:sz w:val="32"/>
          <w:szCs w:val="32"/>
          <w:highlight w:val="none"/>
        </w:rPr>
        <w:t>确保预警信息及时发送到相关单位、企业和</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边</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散</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区域人员，打通</w:t>
      </w:r>
      <w:r>
        <w:rPr>
          <w:rFonts w:hint="default" w:ascii="Times New Roman" w:hAnsi="Times New Roman" w:eastAsia="仿宋_GB2312" w:cs="Times New Roman"/>
          <w:sz w:val="32"/>
          <w:szCs w:val="32"/>
          <w:highlight w:val="none"/>
          <w:lang w:eastAsia="zh-CN"/>
        </w:rPr>
        <w:t>预报预警</w:t>
      </w:r>
      <w:r>
        <w:rPr>
          <w:rFonts w:hint="eastAsia" w:eastAsia="仿宋_GB2312" w:cs="Times New Roman"/>
          <w:sz w:val="32"/>
          <w:szCs w:val="32"/>
          <w:highlight w:val="none"/>
          <w:lang w:eastAsia="zh-CN"/>
        </w:rPr>
        <w:t>“最后一公里”</w:t>
      </w:r>
      <w:r>
        <w:rPr>
          <w:rFonts w:hint="default" w:ascii="Times New Roman" w:hAnsi="Times New Roman" w:eastAsia="仿宋_GB2312" w:cs="Times New Roman"/>
          <w:sz w:val="32"/>
          <w:szCs w:val="32"/>
          <w:highlight w:val="none"/>
        </w:rPr>
        <w:t>，提前做好自然灾害防范应对</w:t>
      </w:r>
      <w:r>
        <w:rPr>
          <w:rFonts w:hint="default" w:ascii="Times New Roman" w:hAnsi="Times New Roman" w:eastAsia="仿宋_GB2312" w:cs="Times New Roman"/>
          <w:sz w:val="32"/>
          <w:szCs w:val="32"/>
          <w:highlight w:val="none"/>
          <w:lang w:eastAsia="zh-CN"/>
        </w:rPr>
        <w:t>工作。</w:t>
      </w:r>
    </w:p>
    <w:p w14:paraId="43A5BCC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（3）全面开展隐患排查整治，快速处置各类事故隐患。</w:t>
      </w:r>
      <w:r>
        <w:rPr>
          <w:rFonts w:hint="default" w:ascii="Times New Roman" w:hAnsi="Times New Roman" w:eastAsia="仿宋_GB2312" w:cs="Times New Roman"/>
          <w:sz w:val="32"/>
          <w:szCs w:val="32"/>
          <w:highlight w:val="none"/>
          <w:lang w:eastAsia="zh-CN"/>
        </w:rPr>
        <w:t>坚持全面排查与重点整治相结合、企业自查与政府部门督导检查相结合、监督检查与严格执法相结合，“元旦”“春节”期间，成立综合帮扶指导组，聘请专家成立专家帮扶指导组，对各县（市）重点</w:t>
      </w:r>
      <w:r>
        <w:rPr>
          <w:rFonts w:hint="default" w:ascii="Times New Roman" w:hAnsi="Times New Roman" w:eastAsia="仿宋_GB2312" w:cs="Times New Roman"/>
          <w:sz w:val="32"/>
          <w:szCs w:val="32"/>
          <w:highlight w:val="none"/>
          <w:lang w:val="en-US" w:eastAsia="zh-CN"/>
        </w:rPr>
        <w:t>行业领域</w:t>
      </w:r>
      <w:r>
        <w:rPr>
          <w:rFonts w:hint="default" w:ascii="Times New Roman" w:hAnsi="Times New Roman" w:eastAsia="仿宋_GB2312" w:cs="Times New Roman"/>
          <w:sz w:val="32"/>
          <w:szCs w:val="32"/>
          <w:highlight w:val="none"/>
          <w:lang w:eastAsia="zh-CN"/>
        </w:rPr>
        <w:t>开展帮扶指导，切实提高本质安全水平。</w:t>
      </w:r>
    </w:p>
    <w:p w14:paraId="55BDF0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（4）</w:t>
      </w:r>
      <w:r>
        <w:rPr>
          <w:rFonts w:hint="eastAsia" w:ascii="方正仿宋_GB2312" w:hAnsi="方正仿宋_GB2312" w:eastAsia="方正仿宋_GB2312" w:cs="方正仿宋_GB2312"/>
          <w:b/>
          <w:bCs/>
          <w:sz w:val="32"/>
          <w:szCs w:val="32"/>
          <w:highlight w:val="none"/>
          <w:lang w:eastAsia="zh-CN"/>
        </w:rPr>
        <w:t>探索建立跨区域联防联控机制，形成安全生产和应急救援合力。</w:t>
      </w:r>
      <w:r>
        <w:rPr>
          <w:rFonts w:hint="default" w:ascii="Times New Roman" w:hAnsi="Times New Roman" w:eastAsia="仿宋_GB2312" w:cs="Times New Roman"/>
          <w:sz w:val="32"/>
          <w:szCs w:val="32"/>
          <w:highlight w:val="none"/>
        </w:rPr>
        <w:t>积极构建多方协作、多元共治新安全格局，</w:t>
      </w:r>
      <w:r>
        <w:rPr>
          <w:rFonts w:hint="default" w:ascii="Times New Roman" w:hAnsi="Times New Roman" w:eastAsia="仿宋_GB2312" w:cs="Times New Roman"/>
          <w:sz w:val="32"/>
          <w:szCs w:val="32"/>
          <w:highlight w:val="none"/>
          <w:lang w:eastAsia="zh-CN"/>
        </w:rPr>
        <w:t>与兵团第七师、第八师召开兵地融合交流座谈会，与兵团第九师、塔城军分区开展森林草原防灭火联席会议和现场会议。先后</w:t>
      </w:r>
      <w:r>
        <w:rPr>
          <w:rFonts w:hint="default" w:ascii="Times New Roman" w:hAnsi="Times New Roman" w:eastAsia="仿宋_GB2312" w:cs="Times New Roman"/>
          <w:sz w:val="32"/>
          <w:szCs w:val="32"/>
          <w:highlight w:val="none"/>
        </w:rPr>
        <w:t>与阿勒泰地区、克拉玛依市、博尔塔拉蒙古自治州和兵团第七师、第八师、第九师、第十师</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3个地州市4个师</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签订安全生产</w:t>
      </w:r>
      <w:r>
        <w:rPr>
          <w:rFonts w:hint="default" w:ascii="Times New Roman" w:hAnsi="Times New Roman" w:eastAsia="仿宋_GB2312" w:cs="Times New Roman"/>
          <w:sz w:val="32"/>
          <w:szCs w:val="32"/>
          <w:highlight w:val="none"/>
          <w:lang w:eastAsia="zh-CN"/>
        </w:rPr>
        <w:t>和</w:t>
      </w:r>
      <w:r>
        <w:rPr>
          <w:rFonts w:hint="default" w:ascii="Times New Roman" w:hAnsi="Times New Roman" w:eastAsia="仿宋_GB2312" w:cs="Times New Roman"/>
          <w:sz w:val="32"/>
          <w:szCs w:val="32"/>
          <w:highlight w:val="none"/>
        </w:rPr>
        <w:t>应急救援联动协议</w:t>
      </w:r>
      <w:r>
        <w:rPr>
          <w:rFonts w:hint="default" w:ascii="Times New Roman" w:hAnsi="Times New Roman" w:eastAsia="仿宋_GB2312" w:cs="Times New Roman"/>
          <w:sz w:val="32"/>
          <w:szCs w:val="32"/>
          <w:highlight w:val="none"/>
          <w:lang w:val="en-US" w:eastAsia="zh-CN"/>
        </w:rPr>
        <w:t>，实现信息互通、救援协同、互查共检、专家共用等工作机制。</w:t>
      </w:r>
    </w:p>
    <w:p w14:paraId="7CA512D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（5）逐级压实安全生产责任，全力推动安全生产治本攻坚三年行动取得实效。</w:t>
      </w:r>
      <w:r>
        <w:rPr>
          <w:rFonts w:hint="default" w:ascii="Times New Roman" w:hAnsi="Times New Roman" w:eastAsia="仿宋_GB2312" w:cs="Times New Roman"/>
          <w:b w:val="0"/>
          <w:bCs w:val="0"/>
          <w:sz w:val="32"/>
          <w:szCs w:val="32"/>
          <w:highlight w:val="none"/>
        </w:rPr>
        <w:t>围绕2025年重点任务，建立形成治本攻坚三年行动“每季度一通报、每月一汇总”机制，统筹各县（市）、各重点行业领域逐项完成工作任务，严格按照时间节点，有序推动工作落实落地。目前自治区人民政府挂牌督办塔城市第四中学重大火灾隐患已整改完毕，</w:t>
      </w:r>
      <w:r>
        <w:rPr>
          <w:rFonts w:hint="default" w:ascii="Times New Roman" w:hAnsi="Times New Roman" w:eastAsia="仿宋_GB2312" w:cs="Times New Roman"/>
          <w:b w:val="0"/>
          <w:bCs w:val="0"/>
          <w:sz w:val="32"/>
          <w:szCs w:val="32"/>
          <w:highlight w:val="none"/>
          <w:lang w:val="en-US" w:eastAsia="zh-CN"/>
        </w:rPr>
        <w:t>已由行署向自治区人民政府提出验收销号请示</w:t>
      </w:r>
      <w:r>
        <w:rPr>
          <w:rFonts w:hint="default" w:ascii="Times New Roman" w:hAnsi="Times New Roman" w:eastAsia="仿宋_GB2312" w:cs="Times New Roman"/>
          <w:b w:val="0"/>
          <w:bCs w:val="0"/>
          <w:sz w:val="32"/>
          <w:szCs w:val="32"/>
          <w:highlight w:val="none"/>
        </w:rPr>
        <w:t>。自安全生产治本攻坚三年行动开展以来，地区共排查各类重大事故隐患</w:t>
      </w:r>
      <w:r>
        <w:rPr>
          <w:rFonts w:hint="default" w:ascii="Times New Roman" w:hAnsi="Times New Roman" w:eastAsia="仿宋_GB2312" w:cs="Times New Roman"/>
          <w:b w:val="0"/>
          <w:bCs w:val="0"/>
          <w:sz w:val="32"/>
          <w:szCs w:val="32"/>
          <w:highlight w:val="none"/>
          <w:lang w:val="en-US" w:eastAsia="zh-CN"/>
        </w:rPr>
        <w:t>321项</w:t>
      </w:r>
      <w:r>
        <w:rPr>
          <w:rFonts w:hint="default" w:ascii="Times New Roman" w:hAnsi="Times New Roman" w:eastAsia="仿宋_GB2312" w:cs="Times New Roman"/>
          <w:b w:val="0"/>
          <w:bCs w:val="0"/>
          <w:sz w:val="32"/>
          <w:szCs w:val="32"/>
          <w:highlight w:val="none"/>
        </w:rPr>
        <w:t>，已整改完毕</w:t>
      </w:r>
      <w:r>
        <w:rPr>
          <w:rFonts w:hint="default" w:ascii="Times New Roman" w:hAnsi="Times New Roman" w:eastAsia="仿宋_GB2312" w:cs="Times New Roman"/>
          <w:b w:val="0"/>
          <w:bCs w:val="0"/>
          <w:sz w:val="32"/>
          <w:szCs w:val="32"/>
          <w:highlight w:val="none"/>
          <w:lang w:val="en-US" w:eastAsia="zh-CN"/>
        </w:rPr>
        <w:t>317项</w:t>
      </w:r>
      <w:r>
        <w:rPr>
          <w:rFonts w:hint="default" w:ascii="Times New Roman" w:hAnsi="Times New Roman" w:eastAsia="仿宋_GB2312" w:cs="Times New Roman"/>
          <w:b w:val="0"/>
          <w:bCs w:val="0"/>
          <w:sz w:val="32"/>
          <w:szCs w:val="32"/>
          <w:highlight w:val="none"/>
        </w:rPr>
        <w:t>，整改率98.7</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安全生产治本攻坚三年行动取得初步成效。</w:t>
      </w:r>
    </w:p>
    <w:p w14:paraId="561465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3.加强应急预案体系建设</w:t>
      </w:r>
    </w:p>
    <w:p w14:paraId="279132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十四五</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以来，先后多次</w:t>
      </w:r>
      <w:r>
        <w:rPr>
          <w:rFonts w:hint="eastAsia" w:ascii="仿宋_GB2312" w:hAnsi="仿宋_GB2312" w:eastAsia="仿宋_GB2312" w:cs="仿宋_GB2312"/>
          <w:color w:val="auto"/>
          <w:sz w:val="32"/>
          <w:szCs w:val="32"/>
          <w:highlight w:val="none"/>
          <w:lang w:val="en-US" w:eastAsia="zh-CN"/>
        </w:rPr>
        <w:t>召开地区应急预案修订推进会，规范应急预案修编程序。持续完善突发公共事件总体预案，自2021年8月21日召开地区应急预案推进会后，各预案牵头部门积极推进预案编制工作，全地区政府总体预案1个已编制完成，行署已印发。政府专项预案共29个，其中已完成17个（行署已印发16个，地委已印发1个）。</w:t>
      </w:r>
    </w:p>
    <w:p w14:paraId="07F5B8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塔城地区不断强化应急预案编制工作，7个县（市）地震应急预案均已编制完成并发布，地区地震应急准备专项预案、救援力量准备方案和应急物资保障方案修订完成，地区地震局、民政局、卫健委、城管局、住建局等33个重点单位同步开展地震应急预案、地震重点危险区应急准备等专项预案修订完善工作。各县（市）、各部门（单位）严格按照预案要求,有序</w:t>
      </w:r>
      <w:r>
        <w:rPr>
          <w:rFonts w:hint="eastAsia" w:ascii="仿宋_GB2312" w:hAnsi="仿宋_GB2312" w:eastAsia="仿宋_GB2312" w:cs="仿宋_GB2312"/>
          <w:color w:val="auto"/>
          <w:sz w:val="32"/>
          <w:szCs w:val="32"/>
          <w:highlight w:val="none"/>
          <w:lang w:val="zh-CN" w:eastAsia="zh-CN"/>
        </w:rPr>
        <w:t>组织开展应急演练工作，时刻</w:t>
      </w:r>
      <w:r>
        <w:rPr>
          <w:rFonts w:hint="eastAsia" w:ascii="仿宋_GB2312" w:hAnsi="仿宋_GB2312" w:eastAsia="仿宋_GB2312" w:cs="仿宋_GB2312"/>
          <w:color w:val="auto"/>
          <w:sz w:val="32"/>
          <w:szCs w:val="32"/>
          <w:highlight w:val="none"/>
          <w:lang w:val="en-US" w:eastAsia="zh-CN"/>
        </w:rPr>
        <w:t>做好突发事件应对防范。</w:t>
      </w:r>
    </w:p>
    <w:p w14:paraId="51959BC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4.应急救援队伍稳步推进建设</w:t>
      </w:r>
    </w:p>
    <w:p w14:paraId="590436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“十四五”期间，地区</w:t>
      </w:r>
      <w:r>
        <w:rPr>
          <w:rFonts w:hint="default" w:ascii="仿宋_GB2312" w:hAnsi="仿宋_GB2312" w:eastAsia="仿宋_GB2312" w:cs="仿宋_GB2312"/>
          <w:color w:val="auto"/>
          <w:kern w:val="2"/>
          <w:sz w:val="32"/>
          <w:szCs w:val="32"/>
          <w:highlight w:val="none"/>
          <w:lang w:val="en-US" w:eastAsia="zh-CN" w:bidi="ar-SA"/>
        </w:rPr>
        <w:t>以综合消防救援队伍为主，加快推进应急救援队伍建设，全地区共有综合性救援队伍8支，共计274人；专业救援队伍共6支，其中：4支煤矿专业救护队共计123人，2支非煤矿山专业救护队共计62人；社会（民间）救援队伍5支，共计287人；兼职救援队伍148支，共计3583人。初步建成以地区消防救援支队为主力、专业应急救援力量为协同、社会应急力量为辅助的应急救援体系</w:t>
      </w:r>
      <w:r>
        <w:rPr>
          <w:rFonts w:hint="eastAsia" w:ascii="仿宋_GB2312" w:hAnsi="仿宋_GB2312" w:eastAsia="仿宋_GB2312" w:cs="仿宋_GB2312"/>
          <w:color w:val="auto"/>
          <w:kern w:val="2"/>
          <w:sz w:val="32"/>
          <w:szCs w:val="32"/>
          <w:highlight w:val="none"/>
          <w:lang w:val="en-US" w:eastAsia="zh-CN" w:bidi="ar-SA"/>
        </w:rPr>
        <w:t>进一步</w:t>
      </w:r>
      <w:r>
        <w:rPr>
          <w:rFonts w:hint="default" w:ascii="仿宋_GB2312" w:hAnsi="仿宋_GB2312" w:eastAsia="仿宋_GB2312" w:cs="仿宋_GB2312"/>
          <w:color w:val="auto"/>
          <w:kern w:val="2"/>
          <w:sz w:val="32"/>
          <w:szCs w:val="32"/>
          <w:highlight w:val="none"/>
          <w:lang w:val="en-US" w:eastAsia="zh-CN" w:bidi="ar-SA"/>
        </w:rPr>
        <w:t>提高应对事故灾难的反应能力。</w:t>
      </w:r>
      <w:r>
        <w:rPr>
          <w:rFonts w:hint="eastAsia" w:ascii="仿宋_GB2312" w:hAnsi="仿宋_GB2312" w:eastAsia="仿宋_GB2312" w:cs="仿宋_GB2312"/>
          <w:color w:val="auto"/>
          <w:kern w:val="2"/>
          <w:sz w:val="32"/>
          <w:szCs w:val="32"/>
          <w:highlight w:val="none"/>
          <w:lang w:val="en-US" w:eastAsia="zh-CN" w:bidi="ar-SA"/>
        </w:rPr>
        <w:t>完善应急物资储备库物资储备建设</w:t>
      </w:r>
      <w:r>
        <w:rPr>
          <w:rFonts w:hint="default" w:ascii="仿宋_GB2312" w:hAnsi="仿宋_GB2312" w:eastAsia="仿宋_GB2312" w:cs="仿宋_GB2312"/>
          <w:color w:val="auto"/>
          <w:kern w:val="2"/>
          <w:sz w:val="32"/>
          <w:szCs w:val="32"/>
          <w:highlight w:val="none"/>
          <w:lang w:val="en-US" w:eastAsia="zh-CN" w:bidi="ar-SA"/>
        </w:rPr>
        <w:t>，物资储备品种和数量全面增加，有效提高了全地区减灾和应急救灾装备保障水平。</w:t>
      </w:r>
    </w:p>
    <w:p w14:paraId="425AC66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5</w:t>
      </w:r>
      <w:r>
        <w:rPr>
          <w:rFonts w:hint="default" w:ascii="楷体_GB2312" w:hAnsi="楷体_GB2312" w:eastAsia="楷体_GB2312" w:cs="楷体_GB2312"/>
          <w:b/>
          <w:bCs/>
          <w:color w:val="auto"/>
          <w:sz w:val="32"/>
          <w:szCs w:val="32"/>
          <w:highlight w:val="none"/>
          <w:lang w:val="en-US" w:eastAsia="zh-CN"/>
        </w:rPr>
        <w:t>.</w:t>
      </w:r>
      <w:r>
        <w:rPr>
          <w:rFonts w:hint="eastAsia" w:ascii="楷体_GB2312" w:hAnsi="楷体_GB2312" w:eastAsia="楷体_GB2312" w:cs="楷体_GB2312"/>
          <w:b/>
          <w:bCs/>
          <w:color w:val="auto"/>
          <w:sz w:val="32"/>
          <w:szCs w:val="32"/>
          <w:highlight w:val="none"/>
          <w:lang w:val="en-US" w:eastAsia="zh-CN"/>
        </w:rPr>
        <w:t>基层应急意识稳步提升</w:t>
      </w:r>
    </w:p>
    <w:p w14:paraId="23D8DB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坚持“安全第一、预防为主、综合治理”的工作方针，紧紧围绕“防灾减灾日”和“安全生产月”活动主体，通过以线上为主、线上线下相结合的方式，集中开展一系列深入基层、贴近群众、面向社会的安全生产和防灾减灾公益宣传教育活动，广泛开展安全生产和防灾减灾宣传，引导社会各方科学理性认识灾害事故，增强忧患意识、风险意识、安全意识和责任意识，切实提高各族群众的风险防范、隐患排查、应急处置和自救互救能力。</w:t>
      </w:r>
    </w:p>
    <w:p w14:paraId="45295B67">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 w:name="_Toc28374"/>
      <w:r>
        <w:rPr>
          <w:rFonts w:hint="default" w:ascii="楷体_GB2312" w:hAnsi="Times New Roman" w:eastAsia="楷体_GB2312" w:cs="Times New Roman"/>
          <w:b/>
          <w:bCs/>
          <w:color w:val="0C0C0C"/>
          <w:kern w:val="21"/>
          <w:sz w:val="32"/>
          <w:szCs w:val="32"/>
          <w:highlight w:val="none"/>
          <w:lang w:val="en-US" w:eastAsia="zh-CN"/>
        </w:rPr>
        <w:t>（</w:t>
      </w:r>
      <w:r>
        <w:rPr>
          <w:rFonts w:hint="eastAsia" w:ascii="楷体_GB2312" w:hAnsi="Times New Roman" w:eastAsia="楷体_GB2312" w:cs="Times New Roman"/>
          <w:b/>
          <w:bCs/>
          <w:color w:val="0C0C0C"/>
          <w:kern w:val="21"/>
          <w:sz w:val="32"/>
          <w:szCs w:val="32"/>
          <w:highlight w:val="none"/>
          <w:lang w:val="en-US" w:eastAsia="zh-CN"/>
        </w:rPr>
        <w:t>二</w:t>
      </w:r>
      <w:r>
        <w:rPr>
          <w:rFonts w:hint="default" w:ascii="楷体_GB2312" w:hAnsi="Times New Roman" w:eastAsia="楷体_GB2312" w:cs="Times New Roman"/>
          <w:b/>
          <w:bCs/>
          <w:color w:val="0C0C0C"/>
          <w:kern w:val="21"/>
          <w:sz w:val="32"/>
          <w:szCs w:val="32"/>
          <w:highlight w:val="none"/>
          <w:lang w:val="en-US" w:eastAsia="zh-CN"/>
        </w:rPr>
        <w:t>）</w:t>
      </w:r>
      <w:r>
        <w:rPr>
          <w:rFonts w:hint="eastAsia" w:ascii="楷体_GB2312" w:hAnsi="Times New Roman" w:eastAsia="楷体_GB2312" w:cs="Times New Roman"/>
          <w:b/>
          <w:bCs/>
          <w:color w:val="0C0C0C"/>
          <w:kern w:val="21"/>
          <w:sz w:val="32"/>
          <w:szCs w:val="32"/>
          <w:highlight w:val="none"/>
          <w:lang w:val="en-US" w:eastAsia="zh-CN"/>
        </w:rPr>
        <w:t>存在的问题</w:t>
      </w:r>
      <w:bookmarkEnd w:id="2"/>
    </w:p>
    <w:p w14:paraId="394CDDA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1.应急管理体系还不适应高质量发展</w:t>
      </w:r>
    </w:p>
    <w:p w14:paraId="4A244F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在推进地区治理体系和治理能力现代化大局中，应急管理组织指挥体系需进一步完善。应急管理改革时间不长，地区应急管理机构改革基本完成整体谋划和顶层设计，应急管理工作基本成型，但对于“全灾种，大应急”的转型发展目标尚未完全适应，对“抢大险，救大灾”应急准备工作尚不完善，在解决体制性障碍、机制性梗阻方面还存在制度空白，特别是在基层县（市）中，“两委三部”协同应对处置效率仍有提升空间。在事故预防灾害防治、抢险救援、物资保障、恢复重建、维护稳定等方面都还存在不少难点和痛点，需要加强改进提高。应急管理综合行政执法能力和水平还有待提升，执法装备配备有待加强。建立了区域联动机制，但是还缺实际磨合，针对人民群众常态化普法教育还需加强。</w:t>
      </w:r>
    </w:p>
    <w:p w14:paraId="1762C13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楷体_GB2312" w:hAnsi="楷体_GB2312" w:eastAsia="楷体_GB2312" w:cs="楷体_GB2312"/>
          <w:b/>
          <w:bCs/>
          <w:color w:val="auto"/>
          <w:sz w:val="32"/>
          <w:szCs w:val="32"/>
          <w:highlight w:val="none"/>
          <w:lang w:val="en-US" w:eastAsia="zh-CN"/>
        </w:rPr>
      </w:pPr>
      <w:r>
        <w:rPr>
          <w:rFonts w:hint="default" w:ascii="楷体_GB2312" w:hAnsi="楷体_GB2312" w:eastAsia="楷体_GB2312" w:cs="楷体_GB2312"/>
          <w:b/>
          <w:bCs/>
          <w:color w:val="auto"/>
          <w:sz w:val="32"/>
          <w:szCs w:val="32"/>
          <w:highlight w:val="none"/>
          <w:lang w:val="en-US" w:eastAsia="zh-CN"/>
        </w:rPr>
        <w:t>2</w:t>
      </w:r>
      <w:r>
        <w:rPr>
          <w:rFonts w:hint="eastAsia" w:ascii="楷体_GB2312" w:hAnsi="楷体_GB2312" w:eastAsia="楷体_GB2312" w:cs="楷体_GB2312"/>
          <w:b/>
          <w:bCs/>
          <w:color w:val="auto"/>
          <w:sz w:val="32"/>
          <w:szCs w:val="32"/>
          <w:highlight w:val="none"/>
          <w:lang w:val="en-US" w:eastAsia="zh-CN"/>
        </w:rPr>
        <w:t>.</w:t>
      </w:r>
      <w:r>
        <w:rPr>
          <w:rFonts w:hint="default" w:ascii="楷体_GB2312" w:hAnsi="楷体_GB2312" w:eastAsia="楷体_GB2312" w:cs="楷体_GB2312"/>
          <w:b/>
          <w:bCs/>
          <w:color w:val="auto"/>
          <w:sz w:val="32"/>
          <w:szCs w:val="32"/>
          <w:highlight w:val="none"/>
          <w:lang w:val="en-US" w:eastAsia="zh-CN"/>
        </w:rPr>
        <w:t>风险防控能力还不适应高质量发展</w:t>
      </w:r>
    </w:p>
    <w:p w14:paraId="2BFDFD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灾害风险管理能力还不强。风险管控的体制机制还不健全地区、行业领域间进展仍不平衡。灾害立体化、精细化监测能力还有差距，智能网格预报预警精准性需进一步提高。预警信息共享共用的发布机制尚不完善，预警信息精准发布的能力不足，预警信息覆盖面还</w:t>
      </w:r>
      <w:r>
        <w:rPr>
          <w:rFonts w:hint="eastAsia" w:ascii="仿宋_GB2312" w:hAnsi="仿宋_GB2312" w:eastAsia="仿宋_GB2312" w:cs="仿宋_GB2312"/>
          <w:color w:val="auto"/>
          <w:kern w:val="2"/>
          <w:sz w:val="32"/>
          <w:szCs w:val="32"/>
          <w:highlight w:val="none"/>
          <w:lang w:val="en-US" w:eastAsia="zh-CN" w:bidi="ar-SA"/>
        </w:rPr>
        <w:t>有待</w:t>
      </w:r>
      <w:r>
        <w:rPr>
          <w:rFonts w:hint="default" w:ascii="仿宋_GB2312" w:hAnsi="仿宋_GB2312" w:eastAsia="仿宋_GB2312" w:cs="仿宋_GB2312"/>
          <w:color w:val="auto"/>
          <w:kern w:val="2"/>
          <w:sz w:val="32"/>
          <w:szCs w:val="32"/>
          <w:highlight w:val="none"/>
          <w:lang w:val="en-US" w:eastAsia="zh-CN" w:bidi="ar-SA"/>
        </w:rPr>
        <w:t>拓展，应急广播体系有待建设完善。自然灾害风险普查成果有待在风险防控中转化应用，自然灾害防治重点工程还需持续推进。一些灾害高风险区域公共农业畜牧业等基础设施薄弱，抵御自然灾害能力较弱。新能源新材料、高风险运动项目等新兴行业、领域，相应的安全监管措施亟待跟进。</w:t>
      </w:r>
    </w:p>
    <w:p w14:paraId="1EC862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安全生产责任还需进一步压实。统筹发展和安全还有差距在落实安全生产“党政同责、一岗双责、齐抓共管、失职追责</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和“管行业必须管安全、管业务必须管安全、管生产经营必须管安全”上还有不足，落实安全生产工作还不够扎实、不够到位。一些</w:t>
      </w:r>
      <w:r>
        <w:rPr>
          <w:rFonts w:hint="eastAsia" w:ascii="仿宋_GB2312" w:hAnsi="仿宋_GB2312" w:eastAsia="仿宋_GB2312" w:cs="仿宋_GB2312"/>
          <w:color w:val="auto"/>
          <w:kern w:val="2"/>
          <w:sz w:val="32"/>
          <w:szCs w:val="32"/>
          <w:highlight w:val="none"/>
          <w:lang w:val="en-US" w:eastAsia="zh-CN" w:bidi="ar-SA"/>
        </w:rPr>
        <w:t>县（市）</w:t>
      </w:r>
      <w:r>
        <w:rPr>
          <w:rFonts w:hint="default" w:ascii="仿宋_GB2312" w:hAnsi="仿宋_GB2312" w:eastAsia="仿宋_GB2312" w:cs="仿宋_GB2312"/>
          <w:color w:val="auto"/>
          <w:kern w:val="2"/>
          <w:sz w:val="32"/>
          <w:szCs w:val="32"/>
          <w:highlight w:val="none"/>
          <w:lang w:val="en-US" w:eastAsia="zh-CN" w:bidi="ar-SA"/>
        </w:rPr>
        <w:t>党委、政府安全生产这根弦绷得不紧，统筹发展和安全的能力不强，重发展轻安全、重救灾轻预防、重排查轻整治，未将安全与经济社会发展统筹部署、一体推进、同步落实。一些部门没有正确认识和严格执行“三管三必须”要求日常安全监管浮于表面，对职责交叉特别是新业态新领域监管推诿扯皮、出现盲区失管。一些企业安全意识不足，依法落实安全生产主体责任不到位，各项安全规章制度不完善或形同虚设，安全管理制度有漏洞，警示教育抓得不严不深，安全培训走过场，隐患排查治理流于形式，特别是一些小微企业违法经营、违规作业时有发生，企业本质安全水平较低，</w:t>
      </w:r>
      <w:r>
        <w:rPr>
          <w:rFonts w:hint="eastAsia" w:ascii="仿宋_GB2312" w:hAnsi="仿宋_GB2312" w:eastAsia="仿宋_GB2312" w:cs="仿宋_GB2312"/>
          <w:color w:val="auto"/>
          <w:kern w:val="2"/>
          <w:sz w:val="32"/>
          <w:szCs w:val="32"/>
          <w:highlight w:val="none"/>
          <w:lang w:val="en-US" w:eastAsia="zh-CN" w:bidi="ar-SA"/>
        </w:rPr>
        <w:t>事故发生的风险依然居高不下。</w:t>
      </w:r>
    </w:p>
    <w:p w14:paraId="2F9C93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w:t>
      </w:r>
      <w:r>
        <w:rPr>
          <w:rFonts w:hint="default" w:ascii="仿宋_GB2312" w:hAnsi="仿宋_GB2312" w:eastAsia="仿宋_GB2312" w:cs="仿宋_GB2312"/>
          <w:color w:val="auto"/>
          <w:kern w:val="2"/>
          <w:sz w:val="32"/>
          <w:szCs w:val="32"/>
          <w:highlight w:val="none"/>
          <w:lang w:val="en-US" w:eastAsia="zh-CN" w:bidi="ar-SA"/>
        </w:rPr>
        <w:t>基层基础能力还不适应高质量发展</w:t>
      </w:r>
    </w:p>
    <w:p w14:paraId="0D151D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安全监管力量薄弱，</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地广物博人稀、企业点多面广距远，监管成本高、难度大，繁重的监管任务与现有监管力量之间的矛盾突出。特别是基层应急管理部门力量配备不足、专业结构不合理，基层任务重、压力大，履职专业能力有待提升。专业能力水平不高，特别</w:t>
      </w:r>
      <w:r>
        <w:rPr>
          <w:rFonts w:hint="eastAsia" w:ascii="仿宋_GB2312" w:hAnsi="仿宋_GB2312" w:eastAsia="仿宋_GB2312" w:cs="仿宋_GB2312"/>
          <w:color w:val="auto"/>
          <w:kern w:val="2"/>
          <w:sz w:val="32"/>
          <w:szCs w:val="32"/>
          <w:highlight w:val="none"/>
          <w:lang w:val="en-US" w:eastAsia="zh-CN" w:bidi="ar-SA"/>
        </w:rPr>
        <w:t>是一些</w:t>
      </w:r>
      <w:r>
        <w:rPr>
          <w:rFonts w:hint="default" w:ascii="仿宋_GB2312" w:hAnsi="仿宋_GB2312" w:eastAsia="仿宋_GB2312" w:cs="仿宋_GB2312"/>
          <w:color w:val="auto"/>
          <w:kern w:val="2"/>
          <w:sz w:val="32"/>
          <w:szCs w:val="32"/>
          <w:highlight w:val="none"/>
          <w:lang w:val="en-US" w:eastAsia="zh-CN" w:bidi="ar-SA"/>
        </w:rPr>
        <w:t>重点行业领域专、精尖复合型人才十分短缺，发现问题、解决问题的专业能力欠缺安全发展意识尚不牢固，全民应急素质教育体系不完善，灾害事故科普宣传和安全体验基地建设投入不足，</w:t>
      </w:r>
      <w:r>
        <w:rPr>
          <w:rFonts w:hint="eastAsia" w:ascii="仿宋_GB2312" w:hAnsi="仿宋_GB2312" w:eastAsia="仿宋_GB2312" w:cs="仿宋_GB2312"/>
          <w:color w:val="auto"/>
          <w:kern w:val="2"/>
          <w:sz w:val="32"/>
          <w:szCs w:val="32"/>
          <w:highlight w:val="none"/>
          <w:lang w:val="en-US" w:eastAsia="zh-CN" w:bidi="ar-SA"/>
        </w:rPr>
        <w:t>一些县（市）的</w:t>
      </w:r>
      <w:r>
        <w:rPr>
          <w:rFonts w:hint="default" w:ascii="仿宋_GB2312" w:hAnsi="仿宋_GB2312" w:eastAsia="仿宋_GB2312" w:cs="仿宋_GB2312"/>
          <w:color w:val="auto"/>
          <w:kern w:val="2"/>
          <w:sz w:val="32"/>
          <w:szCs w:val="32"/>
          <w:highlight w:val="none"/>
          <w:lang w:val="en-US" w:eastAsia="zh-CN" w:bidi="ar-SA"/>
        </w:rPr>
        <w:t>应急避难场所建设和管理还需进一步规范，常态化大众应急疏散演练尚未实现全覆盖，公众风险防范意识较差，自救互救能力偏弱</w:t>
      </w:r>
      <w:r>
        <w:rPr>
          <w:rFonts w:hint="eastAsia" w:ascii="仿宋_GB2312" w:hAnsi="仿宋_GB2312" w:eastAsia="仿宋_GB2312" w:cs="仿宋_GB2312"/>
          <w:color w:val="auto"/>
          <w:kern w:val="2"/>
          <w:sz w:val="32"/>
          <w:szCs w:val="32"/>
          <w:highlight w:val="none"/>
          <w:lang w:val="en-US" w:eastAsia="zh-CN" w:bidi="ar-SA"/>
        </w:rPr>
        <w:t>。</w:t>
      </w:r>
    </w:p>
    <w:p w14:paraId="59D3CCE3">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default" w:ascii="楷体_GB2312" w:hAnsi="Times New Roman" w:eastAsia="楷体_GB2312" w:cs="Times New Roman"/>
          <w:b/>
          <w:bCs/>
          <w:color w:val="0C0C0C"/>
          <w:kern w:val="21"/>
          <w:sz w:val="32"/>
          <w:szCs w:val="32"/>
          <w:highlight w:val="none"/>
          <w:lang w:val="en-US" w:eastAsia="zh-CN"/>
        </w:rPr>
      </w:pPr>
      <w:bookmarkStart w:id="3" w:name="_Toc32332"/>
      <w:r>
        <w:rPr>
          <w:rFonts w:hint="default" w:ascii="楷体_GB2312" w:hAnsi="Times New Roman" w:eastAsia="楷体_GB2312" w:cs="Times New Roman"/>
          <w:b/>
          <w:bCs/>
          <w:color w:val="0C0C0C"/>
          <w:kern w:val="21"/>
          <w:sz w:val="32"/>
          <w:szCs w:val="32"/>
          <w:highlight w:val="none"/>
          <w:lang w:val="en-US" w:eastAsia="zh-CN"/>
        </w:rPr>
        <w:t>（</w:t>
      </w:r>
      <w:r>
        <w:rPr>
          <w:rFonts w:hint="eastAsia" w:ascii="楷体_GB2312" w:hAnsi="Times New Roman" w:eastAsia="楷体_GB2312" w:cs="Times New Roman"/>
          <w:b/>
          <w:bCs/>
          <w:color w:val="0C0C0C"/>
          <w:kern w:val="21"/>
          <w:sz w:val="32"/>
          <w:szCs w:val="32"/>
          <w:highlight w:val="none"/>
          <w:lang w:val="en-US" w:eastAsia="zh-CN"/>
        </w:rPr>
        <w:t>三</w:t>
      </w:r>
      <w:r>
        <w:rPr>
          <w:rFonts w:hint="default" w:ascii="楷体_GB2312" w:hAnsi="Times New Roman" w:eastAsia="楷体_GB2312" w:cs="Times New Roman"/>
          <w:b/>
          <w:bCs/>
          <w:color w:val="0C0C0C"/>
          <w:kern w:val="21"/>
          <w:sz w:val="32"/>
          <w:szCs w:val="32"/>
          <w:highlight w:val="none"/>
          <w:lang w:val="en-US" w:eastAsia="zh-CN"/>
        </w:rPr>
        <w:t>）</w:t>
      </w:r>
      <w:r>
        <w:rPr>
          <w:rFonts w:hint="eastAsia" w:ascii="楷体_GB2312" w:hAnsi="Times New Roman" w:eastAsia="楷体_GB2312" w:cs="Times New Roman"/>
          <w:b/>
          <w:bCs/>
          <w:color w:val="0C0C0C"/>
          <w:kern w:val="21"/>
          <w:sz w:val="32"/>
          <w:szCs w:val="32"/>
          <w:highlight w:val="none"/>
          <w:lang w:val="en-US" w:eastAsia="zh-CN"/>
        </w:rPr>
        <w:t>面临的挑战</w:t>
      </w:r>
      <w:bookmarkEnd w:id="3"/>
    </w:p>
    <w:p w14:paraId="7CFF95C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b/>
          <w:bCs/>
          <w:color w:val="auto"/>
          <w:kern w:val="2"/>
          <w:sz w:val="32"/>
          <w:szCs w:val="32"/>
          <w:highlight w:val="none"/>
          <w:lang w:val="en-US" w:eastAsia="zh-CN" w:bidi="ar-SA"/>
        </w:rPr>
        <w:t>安全治理体系和能力现代化建设任重道远。</w:t>
      </w:r>
      <w:r>
        <w:rPr>
          <w:rFonts w:hint="eastAsia" w:ascii="仿宋_GB2312" w:hAnsi="仿宋_GB2312" w:eastAsia="仿宋_GB2312" w:cs="仿宋_GB2312"/>
          <w:b w:val="0"/>
          <w:bCs w:val="0"/>
          <w:color w:val="auto"/>
          <w:kern w:val="2"/>
          <w:sz w:val="32"/>
          <w:szCs w:val="32"/>
          <w:highlight w:val="none"/>
          <w:lang w:val="en-US" w:eastAsia="zh-CN" w:bidi="ar-SA"/>
        </w:rPr>
        <w:t>塔城地区地广人稀</w:t>
      </w:r>
      <w:r>
        <w:rPr>
          <w:rFonts w:hint="default" w:ascii="仿宋_GB2312" w:hAnsi="仿宋_GB2312" w:eastAsia="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中小型企业较多</w:t>
      </w:r>
      <w:r>
        <w:rPr>
          <w:rFonts w:hint="default" w:ascii="仿宋_GB2312" w:hAnsi="仿宋_GB2312" w:eastAsia="仿宋_GB2312" w:cs="仿宋_GB2312"/>
          <w:color w:val="auto"/>
          <w:kern w:val="2"/>
          <w:sz w:val="32"/>
          <w:szCs w:val="32"/>
          <w:highlight w:val="none"/>
          <w:lang w:val="en-US" w:eastAsia="zh-CN" w:bidi="ar-SA"/>
        </w:rPr>
        <w:t>，公路通车里程长，油气管网密集，固有安全风险程度高安全防范压力大。新质生产力的发展，新技术、新动能、新基建、新业态的出现，新兴风险不断涌现。外向型经济特点导致中小企业受外部环境影响较大，新旧产业更迭加速，企业经营压力增大，主动加强安全管理和投入的动力不足，员工流动性加大，生产装置复工停产频繁，安全基础保障能力有削弱态势</w:t>
      </w:r>
      <w:r>
        <w:rPr>
          <w:rFonts w:hint="eastAsia" w:ascii="仿宋_GB2312" w:hAnsi="仿宋_GB2312" w:eastAsia="仿宋_GB2312" w:cs="仿宋_GB2312"/>
          <w:color w:val="auto"/>
          <w:kern w:val="2"/>
          <w:sz w:val="32"/>
          <w:szCs w:val="32"/>
          <w:highlight w:val="none"/>
          <w:lang w:val="en-US" w:eastAsia="zh-CN" w:bidi="ar-SA"/>
        </w:rPr>
        <w:t>。</w:t>
      </w:r>
    </w:p>
    <w:p w14:paraId="78D7AA2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b/>
          <w:bCs/>
          <w:color w:val="auto"/>
          <w:kern w:val="2"/>
          <w:sz w:val="32"/>
          <w:szCs w:val="32"/>
          <w:highlight w:val="none"/>
          <w:lang w:val="en-US" w:eastAsia="zh-CN" w:bidi="ar-SA"/>
        </w:rPr>
        <w:t>自然灾害风险防范压力依然巨大。</w:t>
      </w:r>
      <w:r>
        <w:rPr>
          <w:rFonts w:hint="default" w:ascii="仿宋_GB2312" w:hAnsi="仿宋_GB2312" w:eastAsia="仿宋_GB2312" w:cs="仿宋_GB2312"/>
          <w:color w:val="auto"/>
          <w:kern w:val="2"/>
          <w:sz w:val="32"/>
          <w:szCs w:val="32"/>
          <w:highlight w:val="none"/>
          <w:lang w:val="en-US" w:eastAsia="zh-CN" w:bidi="ar-SA"/>
        </w:rPr>
        <w:t>随着全球气候变暖，极端天气趋多趋强，多灾种集聚和灾害链特征日益突出，灾害风险系统性、复杂性持续加剧。新疆地域辽阔，旱灾、洪灾、地震、风灾、雪灾、霜灾、泥石流等各类自然灾害频发，尤其是地震灾害背景突出，自然灾害及其衍生灾害分布广、种类多、强度大、损失重的情况没有改变，多灾并发和灾害链发特征日益突出。自然灾害对道路、电力等公共设施设施以及牧区生产破坏力大，极端天气变化对城市基础设施防灾抗灾能力提出了更高要求。受人类活动对自然环境的影响，原有的生态系统已经超出了其承载能力，人与自然共同作用诱发自然灾害可能性进一步增加。</w:t>
      </w:r>
    </w:p>
    <w:p w14:paraId="2158289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b/>
          <w:bCs/>
          <w:color w:val="auto"/>
          <w:kern w:val="2"/>
          <w:sz w:val="32"/>
          <w:szCs w:val="32"/>
          <w:highlight w:val="none"/>
          <w:lang w:val="en-US" w:eastAsia="zh-CN" w:bidi="ar-SA"/>
        </w:rPr>
        <w:t>应急管理体制机制改革仍需深化。</w:t>
      </w:r>
      <w:r>
        <w:rPr>
          <w:rFonts w:hint="default" w:ascii="仿宋_GB2312" w:hAnsi="仿宋_GB2312" w:eastAsia="仿宋_GB2312" w:cs="仿宋_GB2312"/>
          <w:color w:val="auto"/>
          <w:kern w:val="2"/>
          <w:sz w:val="32"/>
          <w:szCs w:val="32"/>
          <w:highlight w:val="none"/>
          <w:lang w:val="en-US" w:eastAsia="zh-CN" w:bidi="ar-SA"/>
        </w:rPr>
        <w:t>“十五五”规划要对标2035年基本实现社会主义现代化的远景目标。党的二十大报告提出了“以新安全格局保障新发展格局”的战略部署，为新时代应急管理工作提供了前进方向和根本遵循。党的二十届三中全会指出:“当前，世界百年未有之大变局加速演进，进入新的动荡变革期，我国发展面临的外部环境日益严峻”，外部环境不断变化，各类风险隐患交织叠加，对应急管理体系和能力建设提出了新要求。应急管理改革进度与质量参差不齐，部门“防</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与“救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统”与“分</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平”与“战”责任链条有待衔接</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应急办、安委办实体化还没有破题，大安全大应急框架的合力有待进一步形成。</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一盘棋”应急响应和“四个一”应急处置机制还需健全，大面积转移安置群众与巨灾防范要求还不相适应。基层应急管理履职效能仍需提升，职责边界不清、专业能力不足、监管任务繁重、财政保障力度不够等问题仍然存在。</w:t>
      </w:r>
      <w:r>
        <w:rPr>
          <w:rFonts w:hint="eastAsia" w:ascii="仿宋_GB2312" w:hAnsi="仿宋_GB2312" w:eastAsia="仿宋_GB2312" w:cs="仿宋_GB2312"/>
          <w:color w:val="auto"/>
          <w:kern w:val="2"/>
          <w:sz w:val="32"/>
          <w:szCs w:val="32"/>
          <w:highlight w:val="none"/>
          <w:lang w:val="en-US" w:eastAsia="zh-CN" w:bidi="ar-SA"/>
        </w:rPr>
        <w:t>县（市）</w:t>
      </w:r>
      <w:r>
        <w:rPr>
          <w:rFonts w:hint="default" w:ascii="仿宋_GB2312" w:hAnsi="仿宋_GB2312" w:eastAsia="仿宋_GB2312" w:cs="仿宋_GB2312"/>
          <w:color w:val="auto"/>
          <w:kern w:val="2"/>
          <w:sz w:val="32"/>
          <w:szCs w:val="32"/>
          <w:highlight w:val="none"/>
          <w:lang w:val="en-US" w:eastAsia="zh-CN" w:bidi="ar-SA"/>
        </w:rPr>
        <w:t>间、行业间执法不平衡，特别是基层应急管理监管执法存在“缺腿”“短腿”以及“末端乏力”等问题</w:t>
      </w:r>
      <w:r>
        <w:rPr>
          <w:rFonts w:hint="eastAsia" w:ascii="仿宋_GB2312" w:hAnsi="仿宋_GB2312" w:eastAsia="仿宋_GB2312" w:cs="仿宋_GB2312"/>
          <w:color w:val="auto"/>
          <w:kern w:val="2"/>
          <w:sz w:val="32"/>
          <w:szCs w:val="32"/>
          <w:highlight w:val="none"/>
          <w:lang w:val="en-US" w:eastAsia="zh-CN" w:bidi="ar-SA"/>
        </w:rPr>
        <w:t>。</w:t>
      </w:r>
    </w:p>
    <w:p w14:paraId="02B7CB1B">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4" w:name="_Toc9527"/>
      <w:r>
        <w:rPr>
          <w:rFonts w:hint="default" w:ascii="楷体_GB2312" w:hAnsi="Times New Roman" w:eastAsia="楷体_GB2312" w:cs="Times New Roman"/>
          <w:b/>
          <w:bCs/>
          <w:color w:val="0C0C0C"/>
          <w:kern w:val="21"/>
          <w:sz w:val="32"/>
          <w:szCs w:val="32"/>
          <w:highlight w:val="none"/>
          <w:lang w:val="en-US" w:eastAsia="zh-CN"/>
        </w:rPr>
        <w:t>（</w:t>
      </w:r>
      <w:r>
        <w:rPr>
          <w:rFonts w:hint="eastAsia" w:ascii="楷体_GB2312" w:hAnsi="Times New Roman" w:eastAsia="楷体_GB2312" w:cs="Times New Roman"/>
          <w:b/>
          <w:bCs/>
          <w:color w:val="0C0C0C"/>
          <w:kern w:val="21"/>
          <w:sz w:val="32"/>
          <w:szCs w:val="32"/>
          <w:highlight w:val="none"/>
          <w:lang w:val="en-US" w:eastAsia="zh-CN"/>
        </w:rPr>
        <w:t>四</w:t>
      </w:r>
      <w:r>
        <w:rPr>
          <w:rFonts w:hint="default" w:ascii="楷体_GB2312" w:hAnsi="Times New Roman" w:eastAsia="楷体_GB2312" w:cs="Times New Roman"/>
          <w:b/>
          <w:bCs/>
          <w:color w:val="0C0C0C"/>
          <w:kern w:val="21"/>
          <w:sz w:val="32"/>
          <w:szCs w:val="32"/>
          <w:highlight w:val="none"/>
          <w:lang w:val="en-US" w:eastAsia="zh-CN"/>
        </w:rPr>
        <w:t>）</w:t>
      </w:r>
      <w:r>
        <w:rPr>
          <w:rFonts w:hint="eastAsia" w:ascii="楷体_GB2312" w:hAnsi="Times New Roman" w:eastAsia="楷体_GB2312" w:cs="Times New Roman"/>
          <w:b/>
          <w:bCs/>
          <w:color w:val="0C0C0C"/>
          <w:kern w:val="21"/>
          <w:sz w:val="32"/>
          <w:szCs w:val="32"/>
          <w:highlight w:val="none"/>
          <w:lang w:val="en-US" w:eastAsia="zh-CN"/>
        </w:rPr>
        <w:t>发展的机遇</w:t>
      </w:r>
      <w:bookmarkEnd w:id="4"/>
    </w:p>
    <w:p w14:paraId="57D545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习近平总书记高度重视发展“第一要务”和安全“头等大事”强调“坚持统筹发展和安全，坚持发展和安全并重，实现高质量发展和高水平安全的良性互动”。发展是安全的根本保障，安全是发展的基本前提。高质量发展对发展高水平安全提出了新任务和新要求，必须坚持高质量发展和高水平安全良性互动，统筹高质量发展和高水平安全，以高质量发展促进高水平安全，以高水平安全保障高质量发展。应急管理事业责任重大、任务艰巨、使命光荣。目前，国家把安全摆到了前所未有的高度，这为解决应急管理工作存在的突出问题提供了历史机遇。</w:t>
      </w:r>
    </w:p>
    <w:p w14:paraId="52BF39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党的二十届三中全会围绕推进中国式现代化这个主题，擘画了进一步全面深化改革战略举措和宏伟蓝图，对以中国式现代化全面推进强国建设、民族复兴伟业具有重大而深远的意义全会通过的《中共中央关于进一步全面深化改革、推进中国式现代化的决定》</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以下简称《决定》</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用专章部署推进国家安全体系和能力现代化，对公共安全治理机制作出了战略安排，为进一步深化应急管理改革，守正创新走好中国特色应急管理之路指明了前进方向、提供了根本遵循。《决定》综合考虑当前和今后一个时期改革开放和推进中国式现代化的形势任务，明确了到2035年的阶段性改革目标，从经济、政治、文化、社会生态文明、国家安全和党的建设等“七个聚焦”，全面系统地提出了分领域改革目标，为新时代新征程应急管理更好发挥防风险、保安全、护稳定、促发展关键作用提出了新的更高要求同时，中国式现代化建设的不断推进，现代产业、数字经济等新质生产力加速建设，也为应急管理事业发展带来积极因素。习近平总书记强调，新疆工作在党和国家全局中具有特殊重要的地位，事关强国建设、民族复兴大局。</w:t>
      </w:r>
      <w:r>
        <w:rPr>
          <w:rFonts w:hint="eastAsia" w:ascii="仿宋_GB2312" w:hAnsi="仿宋_GB2312" w:eastAsia="仿宋_GB2312" w:cs="仿宋_GB2312"/>
          <w:color w:val="auto"/>
          <w:kern w:val="2"/>
          <w:sz w:val="32"/>
          <w:szCs w:val="32"/>
          <w:highlight w:val="none"/>
          <w:lang w:val="en-US" w:eastAsia="zh-CN" w:bidi="ar-SA"/>
        </w:rPr>
        <w:t>塔城地区</w:t>
      </w:r>
      <w:r>
        <w:rPr>
          <w:rFonts w:hint="default" w:ascii="仿宋_GB2312" w:hAnsi="仿宋_GB2312" w:eastAsia="仿宋_GB2312" w:cs="仿宋_GB2312"/>
          <w:color w:val="auto"/>
          <w:kern w:val="2"/>
          <w:sz w:val="32"/>
          <w:szCs w:val="32"/>
          <w:highlight w:val="none"/>
          <w:lang w:val="en-US" w:eastAsia="zh-CN" w:bidi="ar-SA"/>
        </w:rPr>
        <w:t>正锚定在</w:t>
      </w:r>
      <w:r>
        <w:rPr>
          <w:rFonts w:hint="eastAsia" w:ascii="仿宋_GB2312" w:hAnsi="仿宋_GB2312" w:eastAsia="仿宋_GB2312" w:cs="仿宋_GB2312"/>
          <w:color w:val="auto"/>
          <w:kern w:val="2"/>
          <w:sz w:val="32"/>
          <w:szCs w:val="32"/>
          <w:highlight w:val="none"/>
          <w:lang w:val="en-US" w:eastAsia="zh-CN" w:bidi="ar-SA"/>
        </w:rPr>
        <w:t>新疆工作</w:t>
      </w:r>
      <w:r>
        <w:rPr>
          <w:rFonts w:hint="default" w:ascii="仿宋_GB2312" w:hAnsi="仿宋_GB2312" w:eastAsia="仿宋_GB2312" w:cs="仿宋_GB2312"/>
          <w:color w:val="auto"/>
          <w:kern w:val="2"/>
          <w:sz w:val="32"/>
          <w:szCs w:val="32"/>
          <w:highlight w:val="none"/>
          <w:lang w:val="en-US" w:eastAsia="zh-CN" w:bidi="ar-SA"/>
        </w:rPr>
        <w:t>中的“</w:t>
      </w:r>
      <w:r>
        <w:rPr>
          <w:rFonts w:hint="eastAsia" w:ascii="仿宋_GB2312" w:hAnsi="仿宋_GB2312" w:eastAsia="仿宋_GB2312" w:cs="仿宋_GB2312"/>
          <w:color w:val="auto"/>
          <w:kern w:val="2"/>
          <w:sz w:val="32"/>
          <w:szCs w:val="32"/>
          <w:highlight w:val="none"/>
          <w:lang w:val="en-US" w:eastAsia="zh-CN" w:bidi="ar-SA"/>
        </w:rPr>
        <w:t>八大产业集群</w:t>
      </w:r>
      <w:r>
        <w:rPr>
          <w:rFonts w:hint="default" w:ascii="仿宋_GB2312" w:hAnsi="仿宋_GB2312" w:eastAsia="仿宋_GB2312" w:cs="仿宋_GB2312"/>
          <w:color w:val="auto"/>
          <w:kern w:val="2"/>
          <w:sz w:val="32"/>
          <w:szCs w:val="32"/>
          <w:highlight w:val="none"/>
          <w:lang w:val="en-US" w:eastAsia="zh-CN" w:bidi="ar-SA"/>
        </w:rPr>
        <w:t>”，立足资源禀赋、区位优势和产业基础，充分发挥重点资源和产业在全</w:t>
      </w:r>
      <w:r>
        <w:rPr>
          <w:rFonts w:hint="eastAsia" w:ascii="仿宋_GB2312" w:hAnsi="仿宋_GB2312" w:eastAsia="仿宋_GB2312" w:cs="仿宋_GB2312"/>
          <w:color w:val="auto"/>
          <w:kern w:val="2"/>
          <w:sz w:val="32"/>
          <w:szCs w:val="32"/>
          <w:highlight w:val="none"/>
          <w:lang w:val="en-US" w:eastAsia="zh-CN" w:bidi="ar-SA"/>
        </w:rPr>
        <w:t>疆</w:t>
      </w:r>
      <w:r>
        <w:rPr>
          <w:rFonts w:hint="default" w:ascii="仿宋_GB2312" w:hAnsi="仿宋_GB2312" w:eastAsia="仿宋_GB2312" w:cs="仿宋_GB2312"/>
          <w:color w:val="auto"/>
          <w:kern w:val="2"/>
          <w:sz w:val="32"/>
          <w:szCs w:val="32"/>
          <w:highlight w:val="none"/>
          <w:lang w:val="en-US" w:eastAsia="zh-CN" w:bidi="ar-SA"/>
        </w:rPr>
        <w:t>经济大局中的重要作用，以高水平安全服务经济社会高质量发展，为</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加快推进应急管理体系和能力现代化提供广阔空间，将不断推进科技和信息化建设，加大大数据支撑体系建设和大数据智能化应用，加快先进装备体系建设，为</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提高灾害事故防范水平、加强监测预警体系建设、提升应急救援能力提供</w:t>
      </w:r>
      <w:r>
        <w:rPr>
          <w:rFonts w:hint="eastAsia" w:ascii="仿宋_GB2312" w:hAnsi="仿宋_GB2312" w:eastAsia="仿宋_GB2312" w:cs="仿宋_GB2312"/>
          <w:color w:val="auto"/>
          <w:kern w:val="2"/>
          <w:sz w:val="32"/>
          <w:szCs w:val="32"/>
          <w:highlight w:val="none"/>
          <w:lang w:val="en-US" w:eastAsia="zh-CN" w:bidi="ar-SA"/>
        </w:rPr>
        <w:t>有利</w:t>
      </w:r>
      <w:r>
        <w:rPr>
          <w:rFonts w:hint="default" w:ascii="仿宋_GB2312" w:hAnsi="仿宋_GB2312" w:eastAsia="仿宋_GB2312" w:cs="仿宋_GB2312"/>
          <w:color w:val="auto"/>
          <w:kern w:val="2"/>
          <w:sz w:val="32"/>
          <w:szCs w:val="32"/>
          <w:highlight w:val="none"/>
          <w:lang w:val="en-US" w:eastAsia="zh-CN" w:bidi="ar-SA"/>
        </w:rPr>
        <w:t>机遇</w:t>
      </w:r>
      <w:r>
        <w:rPr>
          <w:rFonts w:hint="eastAsia" w:ascii="仿宋_GB2312" w:hAnsi="仿宋_GB2312" w:eastAsia="仿宋_GB2312" w:cs="仿宋_GB2312"/>
          <w:color w:val="auto"/>
          <w:kern w:val="2"/>
          <w:sz w:val="32"/>
          <w:szCs w:val="32"/>
          <w:highlight w:val="none"/>
          <w:lang w:val="en-US" w:eastAsia="zh-CN" w:bidi="ar-SA"/>
        </w:rPr>
        <w:t>。</w:t>
      </w:r>
    </w:p>
    <w:p w14:paraId="0D9F2B53">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default" w:ascii="黑体" w:hAnsi="黑体" w:eastAsia="黑体" w:cs="Times New Roman"/>
          <w:color w:val="0C0C0C"/>
          <w:kern w:val="21"/>
          <w:sz w:val="32"/>
          <w:szCs w:val="32"/>
          <w:highlight w:val="none"/>
          <w:lang w:val="en-US" w:eastAsia="zh-CN"/>
        </w:rPr>
      </w:pPr>
      <w:bookmarkStart w:id="5" w:name="_Toc5316"/>
      <w:r>
        <w:rPr>
          <w:rFonts w:hint="default" w:ascii="黑体" w:hAnsi="黑体" w:eastAsia="黑体" w:cs="Times New Roman"/>
          <w:color w:val="0C0C0C"/>
          <w:kern w:val="21"/>
          <w:sz w:val="32"/>
          <w:szCs w:val="32"/>
          <w:highlight w:val="none"/>
          <w:lang w:val="en-US" w:eastAsia="zh-CN"/>
        </w:rPr>
        <w:t>二、指导思想、基本原则和规划目标</w:t>
      </w:r>
      <w:bookmarkEnd w:id="5"/>
    </w:p>
    <w:p w14:paraId="74BF863E">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default" w:ascii="楷体_GB2312" w:hAnsi="Times New Roman" w:eastAsia="楷体_GB2312" w:cs="Times New Roman"/>
          <w:b/>
          <w:bCs/>
          <w:color w:val="0C0C0C"/>
          <w:kern w:val="21"/>
          <w:sz w:val="32"/>
          <w:szCs w:val="32"/>
          <w:highlight w:val="none"/>
          <w:lang w:val="en-US" w:eastAsia="zh-CN"/>
        </w:rPr>
      </w:pPr>
      <w:bookmarkStart w:id="6" w:name="_Toc11427"/>
      <w:r>
        <w:rPr>
          <w:rFonts w:hint="eastAsia" w:ascii="楷体_GB2312" w:hAnsi="Times New Roman" w:eastAsia="楷体_GB2312" w:cs="Times New Roman"/>
          <w:b/>
          <w:bCs/>
          <w:color w:val="0C0C0C"/>
          <w:kern w:val="21"/>
          <w:sz w:val="32"/>
          <w:szCs w:val="32"/>
          <w:highlight w:val="none"/>
          <w:lang w:val="en-US" w:eastAsia="zh-CN"/>
        </w:rPr>
        <w:t>（一）</w:t>
      </w:r>
      <w:r>
        <w:rPr>
          <w:rFonts w:hint="default" w:ascii="楷体_GB2312" w:hAnsi="Times New Roman" w:eastAsia="楷体_GB2312" w:cs="Times New Roman"/>
          <w:b/>
          <w:bCs/>
          <w:color w:val="0C0C0C"/>
          <w:kern w:val="21"/>
          <w:sz w:val="32"/>
          <w:szCs w:val="32"/>
          <w:highlight w:val="none"/>
          <w:lang w:val="en-US" w:eastAsia="zh-CN"/>
        </w:rPr>
        <w:t>指导思想</w:t>
      </w:r>
      <w:bookmarkEnd w:id="6"/>
    </w:p>
    <w:p w14:paraId="5AEBD1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以习近平新时代中国特色社会主义思想为指导，全面贯彻落实党的二十大和二十届二中、三中全会精神，全面贯彻落实习近平总书记关于应急管理重要论述，完整准确全面贯彻新时代党的治疆方略，坚持以人民为中心的发展思想，统筹好发展和安全，全面贯彻总体国家安全观，完善公共安全治理机制，提高公共安全治理水平,深入推进应急管理体系和能力现代化，守正创新走好新时代中国特色应急管理之路，坚决遏制重特大事故，有效降低各类灾害事故损失，切实维护人民群众生命财产安全，以高水平安全服务保障经济社会高质量发展，努力实现高质量发展和高水平安全良性互动，以新安全格局保障新发展格局，为推动实现中国式现代化新疆实践做出积极贡献</w:t>
      </w:r>
      <w:r>
        <w:rPr>
          <w:rFonts w:hint="eastAsia" w:ascii="仿宋_GB2312" w:hAnsi="仿宋_GB2312" w:eastAsia="仿宋_GB2312" w:cs="仿宋_GB2312"/>
          <w:color w:val="auto"/>
          <w:kern w:val="2"/>
          <w:sz w:val="32"/>
          <w:szCs w:val="32"/>
          <w:highlight w:val="none"/>
          <w:lang w:val="en-US" w:eastAsia="zh-CN" w:bidi="ar-SA"/>
        </w:rPr>
        <w:t>。</w:t>
      </w:r>
    </w:p>
    <w:p w14:paraId="2F97937A">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default" w:ascii="楷体_GB2312" w:hAnsi="Times New Roman" w:eastAsia="楷体_GB2312" w:cs="Times New Roman"/>
          <w:b/>
          <w:bCs/>
          <w:color w:val="0C0C0C"/>
          <w:kern w:val="21"/>
          <w:sz w:val="32"/>
          <w:szCs w:val="32"/>
          <w:highlight w:val="none"/>
          <w:lang w:val="en-US" w:eastAsia="zh-CN"/>
        </w:rPr>
      </w:pPr>
      <w:bookmarkStart w:id="7" w:name="_Toc14115"/>
      <w:r>
        <w:rPr>
          <w:rFonts w:hint="eastAsia" w:ascii="楷体_GB2312" w:hAnsi="Times New Roman" w:eastAsia="楷体_GB2312" w:cs="Times New Roman"/>
          <w:b/>
          <w:bCs/>
          <w:color w:val="0C0C0C"/>
          <w:kern w:val="21"/>
          <w:sz w:val="32"/>
          <w:szCs w:val="32"/>
          <w:highlight w:val="none"/>
          <w:lang w:val="en-US" w:eastAsia="zh-CN"/>
        </w:rPr>
        <w:t>（二）</w:t>
      </w:r>
      <w:r>
        <w:rPr>
          <w:rFonts w:hint="default" w:ascii="楷体_GB2312" w:hAnsi="Times New Roman" w:eastAsia="楷体_GB2312" w:cs="Times New Roman"/>
          <w:b/>
          <w:bCs/>
          <w:color w:val="0C0C0C"/>
          <w:kern w:val="21"/>
          <w:sz w:val="32"/>
          <w:szCs w:val="32"/>
          <w:highlight w:val="none"/>
          <w:lang w:val="en-US" w:eastAsia="zh-CN"/>
        </w:rPr>
        <w:t>基本原则</w:t>
      </w:r>
      <w:bookmarkEnd w:id="7"/>
    </w:p>
    <w:p w14:paraId="4F7D7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坚持党的领导。坚持党对应急管理事业的全面领导，充分发挥党总揽全局、协调各方的领导核心作用，把党的集中统一领导的政治优势、组织优势和体制优势转化为发展优势，确保党始终成为新时代中国特色应急管理之路的坚强领导核心，推进</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区应急管理事业向纵深发展</w:t>
      </w:r>
      <w:r>
        <w:rPr>
          <w:rFonts w:hint="eastAsia" w:ascii="仿宋_GB2312" w:hAnsi="仿宋_GB2312" w:eastAsia="仿宋_GB2312" w:cs="仿宋_GB2312"/>
          <w:color w:val="auto"/>
          <w:kern w:val="2"/>
          <w:sz w:val="32"/>
          <w:szCs w:val="32"/>
          <w:highlight w:val="none"/>
          <w:lang w:val="en-US" w:eastAsia="zh-CN" w:bidi="ar-SA"/>
        </w:rPr>
        <w:t>。</w:t>
      </w:r>
    </w:p>
    <w:p w14:paraId="2EF7E6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坚持人民至上。牢固树立以人民为中心的发展思想，坚持人民至上、生命至上，把保护人民群众生命安全摆在首位，不断提高防灾减灾救灾能力,提高防范化解重大安全风险的水平，最大限度减少人员伤亡和财产损失。</w:t>
      </w:r>
    </w:p>
    <w:p w14:paraId="33B918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坚持依法治理。运用法治思维和法治方式，完善应急管理领域法律法规和标准体系，严格应急管理综合行政执法，推动依法行政决策，提升应急管理工作的法治化、规范化、制度化水平。</w:t>
      </w:r>
    </w:p>
    <w:p w14:paraId="2C3293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坚持源头防范。树立底线思维和系统观念，坚持以防为主，防抗救相结合，注重关口前移，强化源头管控，从源头上防范化解重大安全风险，把问题解决在萌芽之时，成灾之前。坚持社会共治。坚持完善党委领导、政府负责、民主协商，社会协同、公众参与、法治保障、科技支撑的社会治理体系，加强和创新社会治理，强化群测群防群治，普及安全知识，培养安全文化，筑牢安全生产、防灾减灾救灾的人民防线。</w:t>
      </w:r>
    </w:p>
    <w:p w14:paraId="7B54A76F">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eastAsia" w:ascii="黑体" w:hAnsi="黑体" w:eastAsia="黑体" w:cs="Times New Roman"/>
          <w:color w:val="0C0C0C"/>
          <w:kern w:val="21"/>
          <w:sz w:val="32"/>
          <w:szCs w:val="32"/>
          <w:highlight w:val="none"/>
          <w:lang w:val="en-US" w:eastAsia="zh-CN"/>
        </w:rPr>
      </w:pPr>
      <w:bookmarkStart w:id="8" w:name="_Toc3700"/>
      <w:r>
        <w:rPr>
          <w:rFonts w:hint="eastAsia" w:ascii="黑体" w:hAnsi="黑体" w:eastAsia="黑体" w:cs="Times New Roman"/>
          <w:color w:val="0C0C0C"/>
          <w:kern w:val="21"/>
          <w:sz w:val="32"/>
          <w:szCs w:val="32"/>
          <w:highlight w:val="none"/>
          <w:lang w:val="en-US" w:eastAsia="zh-CN"/>
        </w:rPr>
        <w:t>三</w:t>
      </w:r>
      <w:r>
        <w:rPr>
          <w:rFonts w:hint="default" w:ascii="黑体" w:hAnsi="黑体" w:eastAsia="黑体" w:cs="Times New Roman"/>
          <w:color w:val="0C0C0C"/>
          <w:kern w:val="21"/>
          <w:sz w:val="32"/>
          <w:szCs w:val="32"/>
          <w:highlight w:val="none"/>
          <w:lang w:val="en-US" w:eastAsia="zh-CN"/>
        </w:rPr>
        <w:t>、</w:t>
      </w:r>
      <w:r>
        <w:rPr>
          <w:rFonts w:hint="eastAsia" w:ascii="黑体" w:hAnsi="黑体" w:eastAsia="黑体" w:cs="Times New Roman"/>
          <w:color w:val="0C0C0C"/>
          <w:kern w:val="21"/>
          <w:sz w:val="32"/>
          <w:szCs w:val="32"/>
          <w:highlight w:val="none"/>
          <w:lang w:val="en-US" w:eastAsia="zh-CN"/>
        </w:rPr>
        <w:t>主要任务</w:t>
      </w:r>
      <w:bookmarkEnd w:id="8"/>
    </w:p>
    <w:p w14:paraId="785B4023">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9" w:name="_Toc24005"/>
      <w:r>
        <w:rPr>
          <w:rFonts w:hint="eastAsia" w:ascii="楷体_GB2312" w:hAnsi="Times New Roman" w:eastAsia="楷体_GB2312" w:cs="Times New Roman"/>
          <w:b/>
          <w:bCs/>
          <w:color w:val="0C0C0C"/>
          <w:kern w:val="21"/>
          <w:sz w:val="32"/>
          <w:szCs w:val="32"/>
          <w:highlight w:val="none"/>
          <w:lang w:val="en-US" w:eastAsia="zh-CN"/>
        </w:rPr>
        <w:t>（一）健全完善应急管理体系</w:t>
      </w:r>
      <w:bookmarkEnd w:id="9"/>
    </w:p>
    <w:p w14:paraId="667DAD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依照自治区要求，进一步完善应急指挥部建设，配合自治区建立区-地-县三级应急指挥部，积极协调各有关部门、各县（市）加强应急指挥部体系建设政策保障、资金保障、人才保障、项目保障，督促县级健全应急指挥工作机构，加强专业指挥队伍建设。建立健全地区应急指挥部运行制度，建立完善风险监测预警、综合会商研判、应急协调联动、救援力量调度、应急通信保障、联合值班值守等制度机制，强化部门间、兵地间、军地间信息互通共享。</w:t>
      </w:r>
      <w:r>
        <w:rPr>
          <w:rFonts w:hint="eastAsia" w:ascii="方正仿宋_GB2312" w:hAnsi="方正仿宋_GB2312" w:eastAsia="方正仿宋_GB2312" w:cs="方正仿宋_GB2312"/>
          <w:sz w:val="32"/>
          <w:szCs w:val="32"/>
          <w:highlight w:val="none"/>
        </w:rPr>
        <w:t>按照“三管三必须”原则，“一件事”全链条细化明确部门安全管理责任，健全灾害防御、监测预警、抢险救援、协调联动、科技支撑、人才保障、基层基础等配套机制，构建区地、部门、区域、军地、兵地间平时“大安全”防控和灾时“大应急”处置联动格局，建立跨行业跨部门跨领域跨地区的新兴安全风险跨界管控机制。建立自然灾害综合防治责任体系和监督机制，完善自然灾害防治综合督查检查、调查评估等制度，对造成重大社会影响的灾害事故提级调查、挂牌督办。完善指挥专网和电子政务外网纵向三级互备，推广应用自治区应急指挥“一张图”和“一键通”。推动“全国突发事件应急指挥综合业务系统”向有条件的乡镇（街道）延伸，提升“1小时内报告”工作水平。加强空天地一体应急通信网建设，借助车载移动终端、无人机搭载移动基站、卫星电话、北斗终端、对讲机、单兵通信等手段，实现应急救援现场应急通信指挥调度不中断。</w:t>
      </w:r>
      <w:r>
        <w:rPr>
          <w:rFonts w:hint="eastAsia" w:ascii="仿宋_GB2312" w:hAnsi="仿宋_GB2312" w:eastAsia="仿宋_GB2312" w:cs="仿宋_GB2312"/>
          <w:color w:val="auto"/>
          <w:kern w:val="2"/>
          <w:sz w:val="32"/>
          <w:szCs w:val="32"/>
          <w:highlight w:val="none"/>
          <w:lang w:val="en-US" w:eastAsia="zh-CN" w:bidi="ar-SA"/>
        </w:rPr>
        <w:t>深化消防救援队伍整合改革，完善综合性消防救援队伍条块结合、以条为主的双重管理体制。</w:t>
      </w:r>
    </w:p>
    <w:p w14:paraId="7180A0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按照党委领导、政府主导，条块结合、部门联动，分类管理、分级处置的原则，进一步完善应急指挥调度体系，明确各类突发事件响应处置程序，进一步理顺防汛抗旱、森林草原防灭火、抗震救灾等指挥机制，完善考核评价和复盘工作规范。优化调整</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应急管理综合协调议事机构设置，推动安全生产委员会办公室实体化运行，发挥牵头抓总、综合协调、会商会办职能，整合应急资源，促进信息共享，形成良性互动。健全完善军兵地协调联动机制，加强应急指挥平台互联互通，建立健全应急指挥协同、常态业务协调、灾情动态通报、灾区联合勘测等机制，探索建立信息共享、抢险救援等方面的深度合作，实现军兵地高效有序联动，推动建立边境地区突发事件信息交换机制，共同提升安全生产、防灾减灾救灾和应急救援水平</w:t>
      </w:r>
      <w:r>
        <w:rPr>
          <w:rFonts w:hint="eastAsia" w:ascii="仿宋_GB2312" w:hAnsi="仿宋_GB2312" w:eastAsia="仿宋_GB2312" w:cs="仿宋_GB2312"/>
          <w:color w:val="auto"/>
          <w:kern w:val="2"/>
          <w:sz w:val="32"/>
          <w:szCs w:val="32"/>
          <w:highlight w:val="none"/>
          <w:lang w:val="en-US" w:eastAsia="zh-CN" w:bidi="ar-SA"/>
        </w:rPr>
        <w:t>。</w:t>
      </w:r>
    </w:p>
    <w:p w14:paraId="35297178">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10" w:name="_Toc7777"/>
      <w:r>
        <w:rPr>
          <w:rFonts w:hint="eastAsia" w:ascii="楷体_GB2312" w:hAnsi="Times New Roman" w:eastAsia="楷体_GB2312" w:cs="Times New Roman"/>
          <w:b/>
          <w:bCs/>
          <w:color w:val="0C0C0C"/>
          <w:kern w:val="21"/>
          <w:sz w:val="32"/>
          <w:szCs w:val="32"/>
          <w:highlight w:val="none"/>
          <w:lang w:val="en-US" w:eastAsia="zh-CN"/>
        </w:rPr>
        <w:t>（二）严格落实应急管理责任</w:t>
      </w:r>
      <w:bookmarkEnd w:id="10"/>
    </w:p>
    <w:p w14:paraId="65B6C7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坚持党政同责、一岗双责、权责一致、失职追责，地区、县（市）各级党委、政府应当将应急管理能力建设作为基础性、根本性、长远性工作，与经济社会发展同谋划、同部署、同推进，定期研究解决应急管理能力建设在人才队伍、科技支撑、产业发展等方面的困难和问题。制定出台自然灾害防治责任规定等政策性文件，压紧压实各地各级日常防范和事前、事中、事后领导责任。建立重特大自然灾害调查评估制度，推动各方自然灾害防治责任落实。各级安全生产行业主管部门、涉灾部门不断加强本行业、本部门安全生产、防灾减灾工作机构、专业队伍、监管机制建设，保障经费投入，构建与部门职责相匹配的应急能力和水平。研究制定地区安全生产考核巡查办法，推动安全生产考核巡查工作规范化、制度化，全面压实各方安全生产责任。</w:t>
      </w:r>
      <w:r>
        <w:rPr>
          <w:rFonts w:hint="eastAsia" w:ascii="方正仿宋_GB2312" w:hAnsi="方正仿宋_GB2312" w:eastAsia="方正仿宋_GB2312" w:cs="方正仿宋_GB2312"/>
          <w:sz w:val="32"/>
          <w:szCs w:val="32"/>
          <w:highlight w:val="none"/>
        </w:rPr>
        <w:t>推动建立企业生产经营全过程安全责任追溯制度，推动外包单位与主体单位安全管理同标准、同部署、同检查、同考核。</w:t>
      </w:r>
      <w:r>
        <w:rPr>
          <w:rFonts w:hint="eastAsia" w:ascii="仿宋_GB2312" w:hAnsi="仿宋_GB2312" w:eastAsia="仿宋_GB2312" w:cs="仿宋_GB2312"/>
          <w:color w:val="auto"/>
          <w:kern w:val="2"/>
          <w:sz w:val="32"/>
          <w:szCs w:val="32"/>
          <w:highlight w:val="none"/>
          <w:lang w:val="en-US" w:eastAsia="zh-CN" w:bidi="ar-SA"/>
        </w:rPr>
        <w:t>督促企业落实主体责任，推动企业主要负责人履行第一责任人责任，实施重点企业“一企一策”指导服务。</w:t>
      </w:r>
    </w:p>
    <w:p w14:paraId="11D76F99">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11" w:name="_Toc10963"/>
      <w:r>
        <w:rPr>
          <w:rFonts w:hint="eastAsia" w:ascii="楷体_GB2312" w:hAnsi="Times New Roman" w:eastAsia="楷体_GB2312" w:cs="Times New Roman"/>
          <w:b/>
          <w:bCs/>
          <w:color w:val="0C0C0C"/>
          <w:kern w:val="21"/>
          <w:sz w:val="32"/>
          <w:szCs w:val="32"/>
          <w:highlight w:val="none"/>
          <w:lang w:val="en-US" w:eastAsia="zh-CN"/>
        </w:rPr>
        <w:t>（三）提升事故灾害防范能力</w:t>
      </w:r>
      <w:bookmarkEnd w:id="11"/>
    </w:p>
    <w:p w14:paraId="058947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3.1强化风险源头防控严格安全准入。</w:t>
      </w:r>
    </w:p>
    <w:p w14:paraId="104997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建立更加严格的安全准入体系，加强工业园区等重点区域安全准入管理。严格危险化学品、矿山等高危行业建设项目立项、规划选址、设计、建设、试生产和运行监管。严格建设项目安全设施“三同时”制度，健全重大项目决策安全风险评估与论证机制。紧抓危险化学品企业入园整治，加强检查巡防、约谈工作，推动风险源头治理和关口前移。加强新材料，新工艺、新业态安全风险评估。制定推动高风险企业安全技术改造和工艺设备更新措施，有序引导退出化工老旧装置、工贸、矿山企业落后技术装备，推动重点产业转型升级。建立多部门跨行业的安全风险评估会商机制，建立重大风险隐患责任倒查机制，明确重大安全风险“一票否决”事项。</w:t>
      </w:r>
    </w:p>
    <w:p w14:paraId="70491A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加强灾害风险防控，推动将灾害综合风险普查成果纳入国土空间规划，统筹划定耕地和永久基本农田、生态保护红线、城镇开发边界等重要控制线，在重大战略的规划设计、重大工程建设选址工作中，规划避让地震断裂带、行洪通道、地质灾害易发区，引导人口、设施、产业向更安全的区域集中。严格控制灾害风险较高区域开发强度，有序推进地震、地质等灾害避险移民搬迁，加快形成有效防控重大安全风险的空间格局和生产生活方式布局结合自然灾害综合风险普查识别出的重点防控区域，统筹城乡和区域（流域）防洪排涝、水资源利用、生态保护修复、污染防治等基础设施建设和公共服务布局，结合区域生态网络布局城市生态廊道,形成连续、完整、系统的生态保护格局和开敞空间网络体系。</w:t>
      </w:r>
    </w:p>
    <w:p w14:paraId="210CA8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3.2强化风险监测预警</w:t>
      </w:r>
    </w:p>
    <w:p w14:paraId="645AAE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加强城市安全风险监测预警。建立地区危险化学品、矿山，工贸企业安全生产风险管理和重大隐患排查治理报告制度，搭建企业大数据智能预警平台，实现“大数据研判定位安全隐患+企业现场核查”，推动监管执法线上线下无缝对接。充分利用通信运营商铁塔独有的网格化塔桅挂高、网络传输、移动通信、稳定电力等优势资源，挂载高点AI智能高清广域摄像机、气象综合监测仪等监测预警设备，拓宽灾害风险实时监测辐射范围。强化对耦合、关联、次生衍生等安全风险分析预警，推动各领域、各环节防控关口前移，提高城市生命线工程、公共安全、生产安全自然灾害领域防范重大安全风险的能力和水平。</w:t>
      </w:r>
    </w:p>
    <w:p w14:paraId="1C0D85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加强灾害综合监测预警系统建设。依托自然灾害综合风险普查成果，加强重点区域自然灾害监测预报预警基础设施建设，进一步织密观测网格，优化监测布局。推动出台自然灾害综合预警工作制度，配合自治区建设区地县三级自然灾害综合监测预警平台，加强部门间信息平台互联互通，实现致灾因子、承灾体、救援救灾力量资源等信息及时共享，</w:t>
      </w:r>
      <w:r>
        <w:rPr>
          <w:rFonts w:hint="eastAsia" w:ascii="方正仿宋_GB2312" w:hAnsi="方正仿宋_GB2312" w:eastAsia="方正仿宋_GB2312" w:cs="方正仿宋_GB2312"/>
          <w:sz w:val="32"/>
          <w:szCs w:val="32"/>
          <w:highlight w:val="none"/>
        </w:rPr>
        <w:t>推动各有关部门安全生产相关数据接入自治区应急指挥部，打造全</w:t>
      </w:r>
      <w:r>
        <w:rPr>
          <w:rFonts w:hint="eastAsia" w:ascii="方正仿宋_GB2312" w:hAnsi="方正仿宋_GB2312" w:eastAsia="方正仿宋_GB2312" w:cs="方正仿宋_GB2312"/>
          <w:sz w:val="32"/>
          <w:szCs w:val="32"/>
          <w:highlight w:val="none"/>
          <w:lang w:val="en-US" w:eastAsia="zh-CN"/>
        </w:rPr>
        <w:t>地区</w:t>
      </w:r>
      <w:r>
        <w:rPr>
          <w:rFonts w:hint="eastAsia" w:ascii="方正仿宋_GB2312" w:hAnsi="方正仿宋_GB2312" w:eastAsia="方正仿宋_GB2312" w:cs="方正仿宋_GB2312"/>
          <w:sz w:val="32"/>
          <w:szCs w:val="32"/>
          <w:highlight w:val="none"/>
        </w:rPr>
        <w:t>安全风险“一张图”。开发风险评估、趋势推演、多灾种灾害链分析等模型，构建重大风险隐患全覆盖的多层级自然灾害综合监测预警体系，</w:t>
      </w:r>
      <w:r>
        <w:rPr>
          <w:rFonts w:hint="eastAsia" w:ascii="仿宋_GB2312" w:hAnsi="仿宋_GB2312" w:eastAsia="仿宋_GB2312" w:cs="仿宋_GB2312"/>
          <w:color w:val="auto"/>
          <w:kern w:val="2"/>
          <w:sz w:val="32"/>
          <w:szCs w:val="32"/>
          <w:highlight w:val="none"/>
          <w:lang w:val="en-US" w:eastAsia="zh-CN" w:bidi="ar-SA"/>
        </w:rPr>
        <w:t>构建空、天、地一体化全域覆盖的灾害事故监测网格，提升多灾种和灾害链综合监测、风险早期识别和预报预警能力。强化灾害综合风险研判，构建涉灾部门、专家团队地方政府、灾害现场等多方参与的会商平台，汇总分析灾害趋势预测。</w:t>
      </w:r>
    </w:p>
    <w:p w14:paraId="2CF57B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制定出台综合预警信息发布管理政策性文件，健全完善直达基层应急责任人的临灾预警“叫应”机制，强化短临预报和预警“叫应”协同衔接，有效解决预警与响应联动脱节问题“十五五”期间实现灾害影响区域内预警信息公众覆盖率达到95%以上。建立舆情共治共享机制，建设舆情监测系统，加强舆情监测分析，修订完善舆情应对处置预案，做好重大事件、政策的舆情引导工作。</w:t>
      </w:r>
    </w:p>
    <w:p w14:paraId="04ECEDE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bCs/>
          <w:kern w:val="2"/>
          <w:sz w:val="32"/>
          <w:szCs w:val="32"/>
          <w:highlight w:val="none"/>
          <w:lang w:val="en-US" w:eastAsia="zh-CN" w:bidi="ar-SA"/>
        </w:rPr>
      </w:pPr>
      <w:r>
        <w:rPr>
          <w:rFonts w:hint="eastAsia" w:ascii="方正仿宋_GB2312" w:hAnsi="方正仿宋_GB2312" w:eastAsia="方正仿宋_GB2312" w:cs="方正仿宋_GB2312"/>
          <w:b/>
          <w:bCs/>
          <w:kern w:val="2"/>
          <w:sz w:val="32"/>
          <w:szCs w:val="32"/>
          <w:highlight w:val="none"/>
          <w:lang w:val="en-US" w:eastAsia="zh-CN" w:bidi="ar-SA"/>
        </w:rPr>
        <w:t>3.3深化安全生产治本攻坚</w:t>
      </w:r>
    </w:p>
    <w:p w14:paraId="0B5360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推进安全风险分级管控制度化，全面推动各级、各行业领域各单位深入开展安全风险评估工作，持续开展城乡风险点、危险源的普查，聚焦高危行业领域、重点地区区域、突出问题环节加强重大风险排查整治。全力开展安全生产治本攻坚三年行动，贯彻落实《自治区安全生产治本攻坚三年行动方案（2024—2026年）》，从小切口入手抓关键，深入开展安全生产治本攻坚三年行动，落细落实安全生产十五条硬措施和自治区七十条具体措施，在安全理念、安全责任、安全规划、安全法治、安全标准、安全科技安全工程、安全素质等方面补短板、强弱项，切实提高风险隐患排查整改质量、切实提升发现问题和解决问题的强烈意愿和能力。</w:t>
      </w:r>
    </w:p>
    <w:p w14:paraId="600C60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防范化解重点行业领域安全风险。</w:t>
      </w:r>
      <w:r>
        <w:rPr>
          <w:rFonts w:hint="eastAsia" w:ascii="仿宋_GB2312" w:hAnsi="仿宋_GB2312" w:eastAsia="仿宋_GB2312" w:cs="仿宋_GB2312"/>
          <w:b/>
          <w:bCs/>
          <w:color w:val="auto"/>
          <w:kern w:val="2"/>
          <w:sz w:val="32"/>
          <w:szCs w:val="32"/>
          <w:highlight w:val="none"/>
          <w:lang w:val="en-US" w:eastAsia="zh-CN" w:bidi="ar-SA"/>
        </w:rPr>
        <w:t>危险化学品方面</w:t>
      </w:r>
      <w:r>
        <w:rPr>
          <w:rFonts w:hint="eastAsia" w:ascii="仿宋_GB2312" w:hAnsi="仿宋_GB2312" w:eastAsia="仿宋_GB2312" w:cs="仿宋_GB2312"/>
          <w:color w:val="auto"/>
          <w:kern w:val="2"/>
          <w:sz w:val="32"/>
          <w:szCs w:val="32"/>
          <w:highlight w:val="none"/>
          <w:lang w:val="en-US" w:eastAsia="zh-CN" w:bidi="ar-SA"/>
        </w:rPr>
        <w:t>，贯彻落实中共中央办公厅、国务院办公厅《关于全面加强危险化学品安全生产工作的意见》，完善和落实安全生产责任和管理制度建立安全隐患排查和安全预防控制体系。健全重大工程项目安全风险评估与论证制度、部门联审联查机制，严防化工行业转移安全风险。持续开展园区专家指导服务，严禁已淘汰落后产能异地落户和进园入区。推动重大涉险且无法整改企业采取“关停撤转”措施，提升石油化工聚集区域本质安全水平。严格落实危险化学品淘汰落后安全生产工艺技术设备目录推动有关企业按要求完成整治、改造、退出。聚焦涉重点监管工艺等企业，大力推进“机械化换人、自动化减人”改造行动。深化化工园区安全整治，制定“一园一策”的提升方案，对地区未达到D级（较低安全风险等级）的已认定的化工园区开展指导帮扶，加快提升D级（较低风险）达标率。</w:t>
      </w:r>
      <w:r>
        <w:rPr>
          <w:rFonts w:hint="eastAsia" w:ascii="仿宋_GB2312" w:hAnsi="仿宋_GB2312" w:eastAsia="仿宋_GB2312" w:cs="仿宋_GB2312"/>
          <w:b/>
          <w:bCs/>
          <w:color w:val="auto"/>
          <w:kern w:val="2"/>
          <w:sz w:val="32"/>
          <w:szCs w:val="32"/>
          <w:highlight w:val="none"/>
          <w:lang w:val="en-US" w:eastAsia="zh-CN" w:bidi="ar-SA"/>
        </w:rPr>
        <w:t>矿山方面，</w:t>
      </w:r>
      <w:r>
        <w:rPr>
          <w:rFonts w:hint="eastAsia" w:ascii="仿宋_GB2312" w:hAnsi="仿宋_GB2312" w:eastAsia="仿宋_GB2312" w:cs="仿宋_GB2312"/>
          <w:color w:val="auto"/>
          <w:kern w:val="2"/>
          <w:sz w:val="32"/>
          <w:szCs w:val="32"/>
          <w:highlight w:val="none"/>
          <w:lang w:val="en-US" w:eastAsia="zh-CN" w:bidi="ar-SA"/>
        </w:rPr>
        <w:t>深入落实《关于进一步加强矿山安全生产工作的意见》，以及防范遏制矿山领域重特大事故的八条硬措施。盯紧盯牢大班次矿井、地下矿山、高边坡露天矿山、尾矿库，持续推进“三个一批”，加强智能化矿山建设。</w:t>
      </w:r>
      <w:r>
        <w:rPr>
          <w:rFonts w:hint="eastAsia" w:ascii="仿宋_GB2312" w:hAnsi="仿宋_GB2312" w:eastAsia="仿宋_GB2312" w:cs="仿宋_GB2312"/>
          <w:b/>
          <w:bCs/>
          <w:color w:val="auto"/>
          <w:kern w:val="2"/>
          <w:sz w:val="32"/>
          <w:szCs w:val="32"/>
          <w:highlight w:val="none"/>
          <w:lang w:val="en-US" w:eastAsia="zh-CN" w:bidi="ar-SA"/>
        </w:rPr>
        <w:t>工贸行业方面</w:t>
      </w:r>
      <w:r>
        <w:rPr>
          <w:rFonts w:hint="eastAsia" w:ascii="仿宋_GB2312" w:hAnsi="仿宋_GB2312" w:eastAsia="仿宋_GB2312" w:cs="仿宋_GB2312"/>
          <w:color w:val="auto"/>
          <w:kern w:val="2"/>
          <w:sz w:val="32"/>
          <w:szCs w:val="32"/>
          <w:highlight w:val="none"/>
          <w:lang w:val="en-US" w:eastAsia="zh-CN" w:bidi="ar-SA"/>
        </w:rPr>
        <w:t>，紧盯高温熔融、深井铸造、“两电一容”、液氨制冷、有限空间等领域高风险作业安全，精准整治冶金、粉尘涉爆、环保设施等领域重大事故隐患，提升企业从业人员安全素质能力，推广先进技术装备应用。</w:t>
      </w:r>
      <w:r>
        <w:rPr>
          <w:rFonts w:hint="eastAsia" w:ascii="仿宋_GB2312" w:hAnsi="仿宋_GB2312" w:eastAsia="仿宋_GB2312" w:cs="仿宋_GB2312"/>
          <w:b/>
          <w:bCs/>
          <w:color w:val="auto"/>
          <w:kern w:val="2"/>
          <w:sz w:val="32"/>
          <w:szCs w:val="32"/>
          <w:highlight w:val="none"/>
          <w:lang w:val="en-US" w:eastAsia="zh-CN" w:bidi="ar-SA"/>
        </w:rPr>
        <w:t>道路交通方面</w:t>
      </w:r>
      <w:r>
        <w:rPr>
          <w:rFonts w:hint="eastAsia" w:ascii="仿宋_GB2312" w:hAnsi="仿宋_GB2312" w:eastAsia="仿宋_GB2312" w:cs="仿宋_GB2312"/>
          <w:color w:val="auto"/>
          <w:kern w:val="2"/>
          <w:sz w:val="32"/>
          <w:szCs w:val="32"/>
          <w:highlight w:val="none"/>
          <w:lang w:val="en-US" w:eastAsia="zh-CN" w:bidi="ar-SA"/>
        </w:rPr>
        <w:t>，运用信息化技术加强重点运车辆动态监控，建设“两客一危一重”车辆智能监管系统，实现全地区客运车辆、危运车辆和重型货车等“两客一危一重”车辆智能视频监控报警装置全面覆盖，加强车辆运行的事中、事后监管，系统防范化解道路交通安全风险。</w:t>
      </w:r>
      <w:r>
        <w:rPr>
          <w:rFonts w:hint="eastAsia" w:ascii="仿宋_GB2312" w:hAnsi="仿宋_GB2312" w:eastAsia="仿宋_GB2312" w:cs="仿宋_GB2312"/>
          <w:b/>
          <w:bCs/>
          <w:color w:val="auto"/>
          <w:kern w:val="2"/>
          <w:sz w:val="32"/>
          <w:szCs w:val="32"/>
          <w:highlight w:val="none"/>
          <w:lang w:val="en-US" w:eastAsia="zh-CN" w:bidi="ar-SA"/>
        </w:rPr>
        <w:t>建筑方面</w:t>
      </w:r>
      <w:r>
        <w:rPr>
          <w:rFonts w:hint="eastAsia" w:ascii="仿宋_GB2312" w:hAnsi="仿宋_GB2312" w:eastAsia="仿宋_GB2312" w:cs="仿宋_GB2312"/>
          <w:color w:val="auto"/>
          <w:kern w:val="2"/>
          <w:sz w:val="32"/>
          <w:szCs w:val="32"/>
          <w:highlight w:val="none"/>
          <w:lang w:val="en-US" w:eastAsia="zh-CN" w:bidi="ar-SA"/>
        </w:rPr>
        <w:t>，加强建筑市场和施工现场联动，深入开展房屋市政、公路工程、水利、电力、铁路、民航以及其他专业建设工程重大事故隐患排查整治，加强高支模、深基坑、脚手架、隧道等危险性较大的分部分项工程安全管理，严厉打击转包、违法分包、盲目赶工期抢进度、不按方案施工、审批手续不全等严重违法违规行为。开展体育馆等大跨度建筑质量安全排查整治，深入推进自建房安全专项整治，对存在安全隐患的实施分类整治。</w:t>
      </w:r>
      <w:r>
        <w:rPr>
          <w:rFonts w:hint="eastAsia" w:ascii="仿宋_GB2312" w:hAnsi="仿宋_GB2312" w:eastAsia="仿宋_GB2312" w:cs="仿宋_GB2312"/>
          <w:b/>
          <w:bCs/>
          <w:color w:val="auto"/>
          <w:kern w:val="2"/>
          <w:sz w:val="32"/>
          <w:szCs w:val="32"/>
          <w:highlight w:val="none"/>
          <w:lang w:val="en-US" w:eastAsia="zh-CN" w:bidi="ar-SA"/>
        </w:rPr>
        <w:t>燃气方面，</w:t>
      </w:r>
      <w:r>
        <w:rPr>
          <w:rFonts w:hint="eastAsia" w:ascii="仿宋_GB2312" w:hAnsi="仿宋_GB2312" w:eastAsia="仿宋_GB2312" w:cs="仿宋_GB2312"/>
          <w:color w:val="auto"/>
          <w:kern w:val="2"/>
          <w:sz w:val="32"/>
          <w:szCs w:val="32"/>
          <w:highlight w:val="none"/>
          <w:lang w:val="en-US" w:eastAsia="zh-CN" w:bidi="ar-SA"/>
        </w:rPr>
        <w:t>贯彻落实国务院安全生产委员会《全国城镇燃气安全专项整治工作方案》，深入剖析城镇燃气安全隐患产生的深层次原因，认真总结推广专项整治中行之有效的经验做法，加快完善相关法规和标准规范，建立严进严管、重罚的城镇燃气市场监管机制，健全燃气安全管理体制加强人财物等要素保障，持续提升城镇燃气本质安全水平，加强安全宣传教育提升全民安全素养，推动城镇燃气安全治理模式向事前预防转型，基本建立燃气安全管理长效机制。</w:t>
      </w:r>
      <w:r>
        <w:rPr>
          <w:rFonts w:hint="eastAsia" w:ascii="仿宋_GB2312" w:hAnsi="仿宋_GB2312" w:eastAsia="仿宋_GB2312" w:cs="仿宋_GB2312"/>
          <w:b/>
          <w:bCs/>
          <w:color w:val="auto"/>
          <w:kern w:val="2"/>
          <w:sz w:val="32"/>
          <w:szCs w:val="32"/>
          <w:highlight w:val="none"/>
          <w:lang w:val="en-US" w:eastAsia="zh-CN" w:bidi="ar-SA"/>
        </w:rPr>
        <w:t>文化和旅游方面，</w:t>
      </w:r>
      <w:r>
        <w:rPr>
          <w:rFonts w:hint="eastAsia" w:ascii="仿宋_GB2312" w:hAnsi="仿宋_GB2312" w:eastAsia="仿宋_GB2312" w:cs="仿宋_GB2312"/>
          <w:color w:val="auto"/>
          <w:kern w:val="2"/>
          <w:sz w:val="32"/>
          <w:szCs w:val="32"/>
          <w:highlight w:val="none"/>
          <w:lang w:val="en-US" w:eastAsia="zh-CN" w:bidi="ar-SA"/>
        </w:rPr>
        <w:t>贯彻落实自治区安委会《关于进一步加强全区旅游大型客车交通安全管理工作的意见》，严格落实旅游客运相关企业安全生产主体责任和相关管理部门监管责任,加强源头治理、综合治理、精准治理，着力解决基础性、源头性、瓶颈性问题，做好旅游大型客车日常监管，全面提升旅游客运安全发展水平，确保旅游客运安全生产形势持续向好。</w:t>
      </w:r>
      <w:r>
        <w:rPr>
          <w:rFonts w:hint="eastAsia" w:ascii="仿宋_GB2312" w:hAnsi="仿宋_GB2312" w:eastAsia="仿宋_GB2312" w:cs="仿宋_GB2312"/>
          <w:b/>
          <w:bCs/>
          <w:color w:val="auto"/>
          <w:kern w:val="2"/>
          <w:sz w:val="32"/>
          <w:szCs w:val="32"/>
          <w:highlight w:val="none"/>
          <w:lang w:val="en-US" w:eastAsia="zh-CN" w:bidi="ar-SA"/>
        </w:rPr>
        <w:t>新兴风险方面</w:t>
      </w:r>
      <w:r>
        <w:rPr>
          <w:rFonts w:hint="eastAsia" w:ascii="仿宋_GB2312" w:hAnsi="仿宋_GB2312" w:eastAsia="仿宋_GB2312" w:cs="仿宋_GB2312"/>
          <w:color w:val="auto"/>
          <w:kern w:val="2"/>
          <w:sz w:val="32"/>
          <w:szCs w:val="32"/>
          <w:highlight w:val="none"/>
          <w:lang w:val="en-US" w:eastAsia="zh-CN" w:bidi="ar-SA"/>
        </w:rPr>
        <w:t>，强化对数字经济、平台经济、低空经济、新能源产业等新质生产力发展行业的新兴风险思想认识和政府工作，加强电化学储能电站、加氢站、密室逃脱、“剧本杀”、平台经济、农家乐、民宿、玻璃栈道、低空飞行等各类具体新兴领域的风险治理，并对使用新工艺、新技术、新材料等带来的安全风险进行系统辨识及科学评估，推动新兴风险监测预警体系建设和新兴风险评估系统的技术完善，提高对新兴风险的监管能力水平，</w:t>
      </w:r>
      <w:r>
        <w:rPr>
          <w:rFonts w:hint="eastAsia" w:ascii="方正仿宋_GB2312" w:hAnsi="方正仿宋_GB2312" w:eastAsia="方正仿宋_GB2312" w:cs="方正仿宋_GB2312"/>
          <w:sz w:val="32"/>
          <w:szCs w:val="32"/>
          <w:highlight w:val="none"/>
        </w:rPr>
        <w:t>全面排查整治重点区域流域固体废物非法贮存、倾倒和填埋。整合建设高水平安全生产考试点，落实化工、矿山、金属冶炼等高危行业从业人员安全生产定期培训制度，提高从业人员安全素质。</w:t>
      </w:r>
      <w:r>
        <w:rPr>
          <w:rFonts w:hint="eastAsia" w:ascii="方正仿宋_GB2312" w:hAnsi="方正仿宋_GB2312" w:eastAsia="方正仿宋_GB2312" w:cs="方正仿宋_GB2312"/>
          <w:b/>
          <w:bCs/>
          <w:sz w:val="32"/>
          <w:szCs w:val="32"/>
          <w:highlight w:val="none"/>
          <w:lang w:val="en-US" w:eastAsia="zh-CN"/>
        </w:rPr>
        <w:t>重点场所领域消防治理方面，</w:t>
      </w:r>
      <w:r>
        <w:rPr>
          <w:rFonts w:hint="eastAsia" w:ascii="方正仿宋_GB2312" w:hAnsi="方正仿宋_GB2312" w:eastAsia="方正仿宋_GB2312" w:cs="方正仿宋_GB2312"/>
          <w:sz w:val="32"/>
          <w:szCs w:val="32"/>
          <w:highlight w:val="none"/>
          <w:lang w:val="en-US" w:eastAsia="zh-CN"/>
        </w:rPr>
        <w:t>强化商业综合体、高层和地下建筑、医疗和养老机构、学校、文博场所、宗教活动场所消防安全治理，深化打通“消防生命通道”工程，加强棉花收购加工储存场所和大风天时节的火灾隐患排查整治。将消防安全纳入城中村和危旧房改造，统筹部署落实。加强对消防产品的监督管理力度，严厉打击生产销售假冒伪劣产品等违法违规行为，达到立案标准的依法追究刑事责任。聚焦普遍性、源头性、系统性消防安全问题，针对违规动火作业、违规用电、违规使用易燃可燃材料、违规住人、违规投入使用、消防设施损坏等突出隐患，适时开展集中整治，深化消防安全“三化”建设。适时开展工业园区火灾隐患排查整治。</w:t>
      </w:r>
    </w:p>
    <w:p w14:paraId="599E94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_GB2312" w:hAnsi="方正仿宋_GB2312" w:eastAsia="方正仿宋_GB2312" w:cs="方正仿宋_GB2312"/>
          <w:b/>
          <w:bCs/>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3.4加强自然灾害综合防治</w:t>
      </w:r>
    </w:p>
    <w:p w14:paraId="45FC87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地震和地质灾害方面，深入推进巨灾防范工程、重点城市活动断层精细化探测等项目实施与成果应用，持续推进地区城乡抗震安居工程建设和地震易发区房屋设施加固工程，深化地区地震重点危险区活动断层通过或邻近城镇房屋设施排查整治。</w:t>
      </w:r>
      <w:r>
        <w:rPr>
          <w:rFonts w:hint="eastAsia" w:ascii="方正仿宋_GB2312" w:hAnsi="方正仿宋_GB2312" w:eastAsia="方正仿宋_GB2312" w:cs="方正仿宋_GB2312"/>
          <w:sz w:val="32"/>
          <w:szCs w:val="32"/>
          <w:highlight w:val="none"/>
        </w:rPr>
        <w:t>形成“体检、鉴定、告知、整治”闭环管理长效机制。</w:t>
      </w:r>
      <w:r>
        <w:rPr>
          <w:rFonts w:hint="eastAsia" w:ascii="仿宋_GB2312" w:hAnsi="仿宋_GB2312" w:eastAsia="仿宋_GB2312" w:cs="仿宋_GB2312"/>
          <w:color w:val="auto"/>
          <w:kern w:val="2"/>
          <w:sz w:val="32"/>
          <w:szCs w:val="32"/>
          <w:highlight w:val="none"/>
          <w:lang w:val="en-US" w:eastAsia="zh-CN" w:bidi="ar-SA"/>
        </w:rPr>
        <w:t>持续推进地质灾害工程治理，统筹落实监测预警、排危除险、搬迁避让等措施，系统化解地质灾害风险。</w:t>
      </w:r>
    </w:p>
    <w:p w14:paraId="015707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森林草原防灭火方面。贯彻落实中共中央办公厅、国务院办公厅印发《关于全面加强新形势下森林草原防灭火工作的意见》加强森林防灭火基础设施、地方专业森林消防应急队伍、科技信息化建设等能力建设。大力发展以水灭火，加强地空配合，加快实现以水灭火装备现代化、训练规范化、战法多样化。建设森林草原火灾预警监测信息化系统、森林草原防灭火指挥决策系统实现森林草原重点区域发生火灾时,“三断”条件下，通过卫星、无线通信技术，实现信息联通、科学决策、指挥联动、快速响应，24小时火灾扑救率达到95%以上，森林火灾受害率控制在0.7‰以内，草原火灾受害率控制在1.8‰以内。</w:t>
      </w:r>
    </w:p>
    <w:p w14:paraId="567ED6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城市安全方面。推进韧性安全城市建设，加强地下综合管廊建设和老旧管线改造升级，深化城市安全韧性提升行动。加强重点防灾减灾工程建设，推进中小河流治理和病险水库除险加固等短板。</w:t>
      </w:r>
    </w:p>
    <w:p w14:paraId="70A90A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综合减灾方面，聚力服务“百千万工程”高质量发展，推动综合减灾示范社区和示范县创建。推进自然灾害风险普查成果应用，制定出台“普查成果应用实施方案”，建立普查数据动态更新机制，动态开展灾害风险隐患排查治理，探索形成典型示范案例。</w:t>
      </w:r>
      <w:r>
        <w:rPr>
          <w:rFonts w:hint="eastAsia" w:ascii="方正仿宋_GB2312" w:hAnsi="方正仿宋_GB2312" w:eastAsia="方正仿宋_GB2312" w:cs="方正仿宋_GB2312"/>
          <w:sz w:val="32"/>
          <w:szCs w:val="32"/>
          <w:highlight w:val="none"/>
        </w:rPr>
        <w:t>推动重点领域建立健全灾害风险隐患清单，完善灾害隐患判别标准，动态开展灾害风险隐患排查治理。</w:t>
      </w:r>
      <w:r>
        <w:rPr>
          <w:rFonts w:hint="eastAsia" w:ascii="仿宋_GB2312" w:hAnsi="仿宋_GB2312" w:eastAsia="仿宋_GB2312" w:cs="仿宋_GB2312"/>
          <w:color w:val="auto"/>
          <w:kern w:val="2"/>
          <w:sz w:val="32"/>
          <w:szCs w:val="32"/>
          <w:highlight w:val="none"/>
          <w:lang w:val="en-US" w:eastAsia="zh-CN" w:bidi="ar-SA"/>
        </w:rPr>
        <w:t>将灾害综合风险普查成果作为国土空间规划编制的重要依据，进一步优化应急避难场所、消防救援设施、防火隔离带、救灾物资储备库、应急救援中心等资源区域布局。贯彻落实应急管理部等12部委《关于加强应急避难场所建设的指导意见》，推动各县（市）级政府编制应急避难场所专项规划，推动构建多层次应急避难场所体系。</w:t>
      </w:r>
    </w:p>
    <w:p w14:paraId="1B354AAC">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12" w:name="_Toc19674"/>
      <w:r>
        <w:rPr>
          <w:rFonts w:hint="eastAsia" w:ascii="楷体_GB2312" w:hAnsi="Times New Roman" w:eastAsia="楷体_GB2312" w:cs="Times New Roman"/>
          <w:b/>
          <w:bCs/>
          <w:color w:val="0C0C0C"/>
          <w:kern w:val="21"/>
          <w:sz w:val="32"/>
          <w:szCs w:val="32"/>
          <w:highlight w:val="none"/>
          <w:lang w:val="en-US" w:eastAsia="zh-CN"/>
        </w:rPr>
        <w:t>（四）提升应急救援处置能力</w:t>
      </w:r>
      <w:bookmarkEnd w:id="12"/>
    </w:p>
    <w:p w14:paraId="2B6837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4.1健全完善应急预案体系</w:t>
      </w:r>
    </w:p>
    <w:p w14:paraId="2B63D6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依据《自治区突发事件总体应急预案》，修编《塔城地区突发事件总体应急预案》以及相关配套应急预案。协调修订交通、通信、能源等应急保障预案增强预案体系整体性、协调性、实效性。指导基层及企业单位做好应急预案制修订工作，推进各部门、各县（市）根据本辖区发生突发事件的风险程度，对本辖区重要目标重大危险源、重大活动、重大基础设施应急预案制修订，指导基层编制涵盖火灾、地震、地质、洪旱灾害及自然灾害应急救助等内容的综合性应急手册。</w:t>
      </w:r>
      <w:r>
        <w:rPr>
          <w:rFonts w:hint="eastAsia" w:ascii="方正仿宋_GB2312" w:hAnsi="方正仿宋_GB2312" w:eastAsia="方正仿宋_GB2312" w:cs="方正仿宋_GB2312"/>
          <w:sz w:val="32"/>
          <w:szCs w:val="32"/>
          <w:highlight w:val="none"/>
        </w:rPr>
        <w:t>配合构建</w:t>
      </w:r>
      <w:r>
        <w:rPr>
          <w:rFonts w:hint="eastAsia" w:ascii="方正仿宋_GB2312" w:hAnsi="方正仿宋_GB2312" w:eastAsia="方正仿宋_GB2312" w:cs="方正仿宋_GB2312"/>
          <w:sz w:val="32"/>
          <w:szCs w:val="32"/>
          <w:highlight w:val="none"/>
          <w:lang w:val="en-US" w:eastAsia="zh-CN"/>
        </w:rPr>
        <w:t>地区</w:t>
      </w:r>
      <w:r>
        <w:rPr>
          <w:rFonts w:hint="eastAsia" w:ascii="方正仿宋_GB2312" w:hAnsi="方正仿宋_GB2312" w:eastAsia="方正仿宋_GB2312" w:cs="方正仿宋_GB2312"/>
          <w:sz w:val="32"/>
          <w:szCs w:val="32"/>
          <w:highlight w:val="none"/>
        </w:rPr>
        <w:t>、县</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lang w:val="en-US" w:eastAsia="zh-CN"/>
        </w:rPr>
        <w:t>市</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lang w:val="en-US" w:eastAsia="zh-CN"/>
        </w:rPr>
        <w:t>分级</w:t>
      </w:r>
      <w:r>
        <w:rPr>
          <w:rFonts w:hint="eastAsia" w:ascii="方正仿宋_GB2312" w:hAnsi="方正仿宋_GB2312" w:eastAsia="方正仿宋_GB2312" w:cs="方正仿宋_GB2312"/>
          <w:sz w:val="32"/>
          <w:szCs w:val="32"/>
          <w:highlight w:val="none"/>
        </w:rPr>
        <w:t>应急预案数据库，强化预案全生命周期管理，实现预案数据互通共享。</w:t>
      </w:r>
      <w:r>
        <w:rPr>
          <w:rFonts w:hint="eastAsia" w:ascii="仿宋_GB2312" w:hAnsi="仿宋_GB2312" w:eastAsia="仿宋_GB2312" w:cs="仿宋_GB2312"/>
          <w:color w:val="auto"/>
          <w:kern w:val="2"/>
          <w:sz w:val="32"/>
          <w:szCs w:val="32"/>
          <w:highlight w:val="none"/>
          <w:lang w:val="en-US" w:eastAsia="zh-CN" w:bidi="ar-SA"/>
        </w:rPr>
        <w:t>加强预案内容审核和预案衔接把关，持续做好上下级、同级别、军队与地方、政府与企业、相邻地区等相关预案之间的有效衔接，常态化组织开展实战拉动、桌面推演避险疏散等专项演练</w:t>
      </w:r>
      <w:r>
        <w:rPr>
          <w:rFonts w:hint="eastAsia" w:ascii="方正仿宋_GB2312" w:hAnsi="方正仿宋_GB2312" w:eastAsia="方正仿宋_GB2312" w:cs="方正仿宋_GB2312"/>
          <w:color w:val="auto"/>
          <w:kern w:val="2"/>
          <w:sz w:val="32"/>
          <w:szCs w:val="32"/>
          <w:highlight w:val="none"/>
          <w:lang w:val="en-US" w:eastAsia="zh-CN" w:bidi="ar-SA"/>
        </w:rPr>
        <w:t>,</w:t>
      </w:r>
      <w:r>
        <w:rPr>
          <w:rFonts w:hint="eastAsia" w:ascii="方正仿宋_GB2312" w:hAnsi="方正仿宋_GB2312" w:eastAsia="方正仿宋_GB2312" w:cs="方正仿宋_GB2312"/>
          <w:sz w:val="32"/>
          <w:szCs w:val="32"/>
          <w:highlight w:val="none"/>
        </w:rPr>
        <w:t>重点开展“双盲”演练，强化演练评估</w:t>
      </w:r>
      <w:r>
        <w:rPr>
          <w:rFonts w:hint="eastAsia" w:ascii="方正仿宋_GB2312" w:hAnsi="方正仿宋_GB2312" w:eastAsia="方正仿宋_GB2312" w:cs="方正仿宋_GB2312"/>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bidi="ar-SA"/>
        </w:rPr>
        <w:t>提高应急预案科学性、针对性和可操作性。</w:t>
      </w:r>
    </w:p>
    <w:p w14:paraId="360F8B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4.2打造高效应急救援队伍</w:t>
      </w:r>
    </w:p>
    <w:p w14:paraId="2549F8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照国家综合性消防救援队伍整合改革部署，推进应急管理部门和综合性消防救援队伍交叉任职。推进共建共用应急联合指挥平台的决策部署，打通与各地消防救援队伍之间的网络和信息壁垒，实现应急管理部门和消防救援队伍共享灾害事故信息，互通信息化系统，融合应急值守力量，协同高效应对处置各类灾害事故。建立健全联合值守工作模式，实现应急管理部门和消防救援队伍之间深度融合、一体办公、联战联调。制定各级各类救援队伍建设标准及管理办法，保障人员装备、资金等方面的持续稳定投入，推动专业应急救援队伍建设和运行可持续发展。各县（市）人民政府应当加强本地应急救援专业骨干力量建设，优化专业应急救援队伍布局，强化实战化训练演练，提高科技装备先进适用性水平，打造专业救援“拳头力量”，实现本地区灾害事故应急救援30分钟到达。加强重大风险联防联控，开展常态化联演联训，实现各方力量资源协同高效。将通信、供水、供电、供气等基础设施运营单位，消防、卫生、运输等公用事业保障单位的关键应急救援队伍，纳入各级应急指挥部体系调动使用，实现覆盖到底、就近调配、快速到达、迅速处置。</w:t>
      </w:r>
    </w:p>
    <w:p w14:paraId="3DC771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4.3提升“大应急”救援能力</w:t>
      </w:r>
    </w:p>
    <w:p w14:paraId="42F6AB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充分利用</w:t>
      </w:r>
      <w:r>
        <w:rPr>
          <w:rFonts w:hint="eastAsia" w:ascii="仿宋_GB2312" w:hAnsi="仿宋_GB2312" w:eastAsia="仿宋_GB2312" w:cs="仿宋_GB2312"/>
          <w:color w:val="auto"/>
          <w:kern w:val="2"/>
          <w:sz w:val="32"/>
          <w:szCs w:val="32"/>
          <w:highlight w:val="none"/>
          <w:lang w:val="en-US" w:eastAsia="zh-CN" w:bidi="ar-SA"/>
        </w:rPr>
        <w:t>塔城机场以及周边市、县的</w:t>
      </w:r>
      <w:r>
        <w:rPr>
          <w:rFonts w:hint="default" w:ascii="仿宋_GB2312" w:hAnsi="仿宋_GB2312" w:eastAsia="仿宋_GB2312" w:cs="仿宋_GB2312"/>
          <w:color w:val="auto"/>
          <w:kern w:val="2"/>
          <w:sz w:val="32"/>
          <w:szCs w:val="32"/>
          <w:highlight w:val="none"/>
          <w:lang w:val="en-US" w:eastAsia="zh-CN" w:bidi="ar-SA"/>
        </w:rPr>
        <w:t>机场资源布局，组建航空应急救援队伍，合理确定直升机、无人机等航空器部署规模，增设野外直升机临时起降点，构建覆盖灾害易发区的航空应急救援网格。科学合理增加航空器机型和数量，加大大型、重型等关键航空器购买引进力度。航空应急力量到达重大灾害事故现场时间</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200公里</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&lt;2小时。指导通用航空企业建设应急救援基地，组建航空应急救援队伍。健全完善应急救援空域保障联动机制。</w:t>
      </w:r>
    </w:p>
    <w:p w14:paraId="1FCB9A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积极发挥社会救援力量作用，研究制定和完善社会力量参与应急管理政策法规，搭建社会力量参与的协调服务和信息导向平台，建立应急管理志愿者队伍，鼓励支持社会力量全方位参与常态减灾、应急救援、过渡安置、恢复重建等工作。开展应急救援人员培训和职业技能鉴定工作，健全应急救援队伍共训共练机制，加强综合性消防救援队、专业应急救援队和社会应急救援力量共训共练，提升应急救援队伍协同作战能力。完善社会应急力量现场协调机制，深入推进社会应急力量参与重特大灾害抢险救援行动现场协调机制建设，完善统筹指导、任务调派和服务保障等措施，规范社会力量有序参与应急救援建立社会救援装备物资征用机制，确保应急状态下特殊装备快速有效征用。</w:t>
      </w:r>
    </w:p>
    <w:p w14:paraId="037015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w:t>
      </w:r>
      <w:r>
        <w:rPr>
          <w:rFonts w:hint="default" w:ascii="仿宋_GB2312" w:hAnsi="仿宋_GB2312" w:eastAsia="仿宋_GB2312" w:cs="仿宋_GB2312"/>
          <w:color w:val="auto"/>
          <w:kern w:val="2"/>
          <w:sz w:val="32"/>
          <w:szCs w:val="32"/>
          <w:highlight w:val="none"/>
          <w:lang w:val="en-US" w:eastAsia="zh-CN" w:bidi="ar-SA"/>
        </w:rPr>
        <w:t>.4夯实应急物资保障能力</w:t>
      </w:r>
    </w:p>
    <w:p w14:paraId="58CBE0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制定救灾物资储备规划，科学确定并合理调整各级各类应急物资的储备规模，优化生活类救灾物资、防汛抗旱物资等储备库的空间布局，推动实现储备物资满足本行政区域启动一级救灾响应需求并留有冗余的目标。各</w:t>
      </w:r>
      <w:r>
        <w:rPr>
          <w:rFonts w:hint="eastAsia" w:ascii="仿宋_GB2312" w:hAnsi="仿宋_GB2312" w:eastAsia="仿宋_GB2312" w:cs="仿宋_GB2312"/>
          <w:color w:val="auto"/>
          <w:kern w:val="2"/>
          <w:sz w:val="32"/>
          <w:szCs w:val="32"/>
          <w:highlight w:val="none"/>
          <w:lang w:val="en-US" w:eastAsia="zh-CN" w:bidi="ar-SA"/>
        </w:rPr>
        <w:t>县（市）</w:t>
      </w:r>
      <w:r>
        <w:rPr>
          <w:rFonts w:hint="default" w:ascii="仿宋_GB2312" w:hAnsi="仿宋_GB2312" w:eastAsia="仿宋_GB2312" w:cs="仿宋_GB2312"/>
          <w:color w:val="auto"/>
          <w:kern w:val="2"/>
          <w:sz w:val="32"/>
          <w:szCs w:val="32"/>
          <w:highlight w:val="none"/>
          <w:lang w:val="en-US" w:eastAsia="zh-CN" w:bidi="ar-SA"/>
        </w:rPr>
        <w:t>人民政府应当综合考虑辖区内灾害特点、事故风险、人口分布等因素，分级分类建设综合或者专业应急物资储备库，重点推进</w:t>
      </w:r>
      <w:r>
        <w:rPr>
          <w:rFonts w:hint="eastAsia" w:ascii="仿宋_GB2312" w:hAnsi="仿宋_GB2312" w:eastAsia="仿宋_GB2312" w:cs="仿宋_GB2312"/>
          <w:color w:val="auto"/>
          <w:kern w:val="2"/>
          <w:sz w:val="32"/>
          <w:szCs w:val="32"/>
          <w:highlight w:val="none"/>
          <w:lang w:val="en-US" w:eastAsia="zh-CN" w:bidi="ar-SA"/>
        </w:rPr>
        <w:t>塔城市、沙湾市</w:t>
      </w:r>
      <w:r>
        <w:rPr>
          <w:rFonts w:hint="default" w:ascii="仿宋_GB2312" w:hAnsi="仿宋_GB2312" w:eastAsia="仿宋_GB2312" w:cs="仿宋_GB2312"/>
          <w:color w:val="auto"/>
          <w:kern w:val="2"/>
          <w:sz w:val="32"/>
          <w:szCs w:val="32"/>
          <w:highlight w:val="none"/>
          <w:lang w:val="en-US" w:eastAsia="zh-CN" w:bidi="ar-SA"/>
        </w:rPr>
        <w:t>等县级救灾物资储备库建设，其余县应急物资储备库覆盖率达到100%。优化救灾物资前置储备，加快推进乡村救灾物资储备点建设,力争2030年前实现多灾易灾地区乡镇级救灾物资储备点全覆盖，切实提升基层救灾物资保障能力。完善应急物资配套平台建设，提升救灾和物资保障工作规范化、信息化</w:t>
      </w:r>
      <w:r>
        <w:rPr>
          <w:rFonts w:hint="eastAsia" w:ascii="仿宋_GB2312" w:hAnsi="仿宋_GB2312" w:eastAsia="仿宋_GB2312" w:cs="仿宋_GB2312"/>
          <w:color w:val="auto"/>
          <w:kern w:val="2"/>
          <w:sz w:val="32"/>
          <w:szCs w:val="32"/>
          <w:highlight w:val="none"/>
          <w:lang w:val="en-US" w:eastAsia="zh-CN" w:bidi="ar-SA"/>
        </w:rPr>
        <w:t>水平</w:t>
      </w:r>
      <w:r>
        <w:rPr>
          <w:rFonts w:hint="default" w:ascii="仿宋_GB2312" w:hAnsi="仿宋_GB2312" w:eastAsia="仿宋_GB2312" w:cs="仿宋_GB2312"/>
          <w:color w:val="auto"/>
          <w:kern w:val="2"/>
          <w:sz w:val="32"/>
          <w:szCs w:val="32"/>
          <w:highlight w:val="none"/>
          <w:lang w:val="en-US" w:eastAsia="zh-CN" w:bidi="ar-SA"/>
        </w:rPr>
        <w:t>，实现物资需求到发放全链条信息实时对接。加强区域物资统筹调配，分级动用，畅通物资配送“最后一公里”。积极调动社会力量共同参与救灾物资储备，提高物资使用效益</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县级储备可满足启动本地自然灾害救灾工级应急响应需要并留有安全冗余。依托交通物流保通保畅机制，健全完善</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应对重特大事故灾害应急救援力量、物资保障投送协调保障机制，不断加强物资装备、交通运输、救援现场等要素保障，高效有序开展灾害救助，及时启动灾害救助应急响应，确保灾害发生后10小时内受灾人员得到初步救助。</w:t>
      </w:r>
    </w:p>
    <w:p w14:paraId="73C1AEEF">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default" w:ascii="楷体_GB2312" w:hAnsi="Times New Roman" w:eastAsia="楷体_GB2312" w:cs="Times New Roman"/>
          <w:b/>
          <w:bCs/>
          <w:color w:val="0C0C0C"/>
          <w:kern w:val="21"/>
          <w:sz w:val="32"/>
          <w:szCs w:val="32"/>
          <w:highlight w:val="none"/>
          <w:lang w:val="en-US" w:eastAsia="zh-CN"/>
        </w:rPr>
      </w:pPr>
      <w:bookmarkStart w:id="13" w:name="_Toc14882"/>
      <w:r>
        <w:rPr>
          <w:rFonts w:hint="eastAsia" w:ascii="楷体_GB2312" w:hAnsi="Times New Roman" w:eastAsia="楷体_GB2312" w:cs="Times New Roman"/>
          <w:b/>
          <w:bCs/>
          <w:color w:val="0C0C0C"/>
          <w:kern w:val="21"/>
          <w:sz w:val="32"/>
          <w:szCs w:val="32"/>
          <w:highlight w:val="none"/>
          <w:lang w:val="en-US" w:eastAsia="zh-CN"/>
        </w:rPr>
        <w:t>（五）</w:t>
      </w:r>
      <w:r>
        <w:rPr>
          <w:rFonts w:hint="default" w:ascii="楷体_GB2312" w:hAnsi="Times New Roman" w:eastAsia="楷体_GB2312" w:cs="Times New Roman"/>
          <w:b/>
          <w:bCs/>
          <w:color w:val="0C0C0C"/>
          <w:kern w:val="21"/>
          <w:sz w:val="32"/>
          <w:szCs w:val="32"/>
          <w:highlight w:val="none"/>
          <w:lang w:val="en-US" w:eastAsia="zh-CN"/>
        </w:rPr>
        <w:t>提升基层综合治理能力</w:t>
      </w:r>
      <w:bookmarkEnd w:id="13"/>
    </w:p>
    <w:p w14:paraId="07F19A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5.1强化应急管理基层基础建设</w:t>
      </w:r>
    </w:p>
    <w:p w14:paraId="2FDBB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健全基层应急管理组织体系，优化</w:t>
      </w:r>
      <w:r>
        <w:rPr>
          <w:rFonts w:hint="eastAsia" w:ascii="仿宋_GB2312" w:hAnsi="仿宋_GB2312" w:eastAsia="仿宋_GB2312" w:cs="仿宋_GB2312"/>
          <w:color w:val="auto"/>
          <w:kern w:val="2"/>
          <w:sz w:val="32"/>
          <w:szCs w:val="32"/>
          <w:highlight w:val="none"/>
          <w:lang w:val="en-US" w:eastAsia="zh-CN" w:bidi="ar-SA"/>
        </w:rPr>
        <w:t>县级</w:t>
      </w:r>
      <w:r>
        <w:rPr>
          <w:rFonts w:hint="default" w:ascii="仿宋_GB2312" w:hAnsi="仿宋_GB2312" w:eastAsia="仿宋_GB2312" w:cs="仿宋_GB2312"/>
          <w:color w:val="auto"/>
          <w:kern w:val="2"/>
          <w:sz w:val="32"/>
          <w:szCs w:val="32"/>
          <w:highlight w:val="none"/>
          <w:lang w:val="en-US" w:eastAsia="zh-CN" w:bidi="ar-SA"/>
        </w:rPr>
        <w:t>应急管理部门领导班子专业结构，不断提高县级应急管理部门领导班子具有应急管理相关专业背景的班子成员占比。推动</w:t>
      </w:r>
      <w:r>
        <w:rPr>
          <w:rFonts w:hint="eastAsia" w:ascii="仿宋_GB2312" w:hAnsi="仿宋_GB2312" w:eastAsia="仿宋_GB2312" w:cs="仿宋_GB2312"/>
          <w:color w:val="auto"/>
          <w:kern w:val="2"/>
          <w:sz w:val="32"/>
          <w:szCs w:val="32"/>
          <w:highlight w:val="none"/>
          <w:lang w:val="en-US" w:eastAsia="zh-CN" w:bidi="ar-SA"/>
        </w:rPr>
        <w:t>县级</w:t>
      </w:r>
      <w:r>
        <w:rPr>
          <w:rFonts w:hint="default" w:ascii="仿宋_GB2312" w:hAnsi="仿宋_GB2312" w:eastAsia="仿宋_GB2312" w:cs="仿宋_GB2312"/>
          <w:color w:val="auto"/>
          <w:kern w:val="2"/>
          <w:sz w:val="32"/>
          <w:szCs w:val="32"/>
          <w:highlight w:val="none"/>
          <w:lang w:val="en-US" w:eastAsia="zh-CN" w:bidi="ar-SA"/>
        </w:rPr>
        <w:t>党委和政府把基层应急管理能力建设摆上重要议事日程，做好与基层党的建设、基层治理、乡村振兴等重点工作的统筹谋划和部署。健全乡镇</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街道</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社区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应急管理组织体系，健全工作机制，统筹辖区安全生产、防灾减灾、应急救援、消防等应急管理工作,打通应急管理工作“最后一公里”。建强基层应急力量，依托乡镇</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街道</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干部、消防救援队伍、基层警务人员、医务人员、民兵、物业管理人员、企事业单位职工及志愿者等，每个乡镇</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街道</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结合工作实际组建1支基层综合性应急救援队伍。整合村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社区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干部、驻村工作队员、村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居</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小组长、网格员、民兵、民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协</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警、医务人员、青壮劳力等各方力量，每个村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社区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组建1支应急突击队。加强灾害信息员队伍建设，制定“多员合一的灾害风险隐患信息报送制度”，整合地质、水旱、气象、地震</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森林草原火灾等群测群防资源，每个城乡社区灾害信息员数量&gt;2人，完善基层网格化管理，将应急处突、安全生产、消防安全巡查检查和宣传培训、灾害风险隐患巡查工作纳入村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社区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网格员工作职责，实现基层应急管理到户到人。根据应急管理部办公厅关于印发《乡镇</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街道</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突发事件应急预案编制参考》和《村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社区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突发事件应急预案编制参考》的通知要求，完善乡镇</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街道</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应急指挥运行机制，建立完善乡镇</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街道</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、村</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社区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应急预案，建立“第一响应人”制度，增强防范和第一时间处置灾害事故能力。完善自然灾害防治举报奖励制度，制定出台“</w:t>
      </w:r>
      <w:r>
        <w:rPr>
          <w:rFonts w:hint="eastAsia" w:ascii="仿宋_GB2312" w:hAnsi="仿宋_GB2312" w:eastAsia="仿宋_GB2312" w:cs="仿宋_GB2312"/>
          <w:color w:val="auto"/>
          <w:kern w:val="2"/>
          <w:sz w:val="32"/>
          <w:szCs w:val="32"/>
          <w:highlight w:val="none"/>
          <w:lang w:val="en-US" w:eastAsia="zh-CN" w:bidi="ar-SA"/>
        </w:rPr>
        <w:t>塔城地区</w:t>
      </w:r>
      <w:r>
        <w:rPr>
          <w:rFonts w:hint="default" w:ascii="仿宋_GB2312" w:hAnsi="仿宋_GB2312" w:eastAsia="仿宋_GB2312" w:cs="仿宋_GB2312"/>
          <w:color w:val="auto"/>
          <w:kern w:val="2"/>
          <w:sz w:val="32"/>
          <w:szCs w:val="32"/>
          <w:highlight w:val="none"/>
          <w:lang w:val="en-US" w:eastAsia="zh-CN" w:bidi="ar-SA"/>
        </w:rPr>
        <w:t>自然灾害成功预警避险奖励暂行规定”，对自然灾害成功预警避险工作中作出突出贡献的个人和单位给予精神奖励与物质奖励。加强公共消防设施建设，根据城市国土空间规划、建成区面积、常住人口和灭火救援任务量，结合城市不同区域人口密度、火险级别、经济体量、交通道路等实际，同步规划建设公共消防设施。采取新建、改建、配建等方式，加强城市消防站建设。根据自治区级以上工业园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开发区</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产业发展、入驻企业、火灾风险等实际，推动按照《城市消防站建设标准》建立政府专职消防队。落实住房和城乡建设、发改、自然资源等部门责任，将市政消火栓</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消防水鹤</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与给水管道、计量设施等市政给水系统同步设计、建设和使用，加强标识化、信息化和智能化管理。严格建设工程消防安全源头管控，城市建设、改造中设置符合要求的消防车通道，积极采取技术手段改造城乡道路限高等障碍设施</w:t>
      </w:r>
    </w:p>
    <w:p w14:paraId="2A4FBD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5.2强化应急管理人才靶向培养</w:t>
      </w:r>
    </w:p>
    <w:p w14:paraId="06E494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拓宽应急管理高精尖型人才选用渠道，合理优化公开招录、遴选、选调和人才引进的政策加大人才引进、招录（聘）力度，充实应急管理部门干部队伍。创新实施急需紧缺人才兼职挂职机制，多层次引进自然灾害防治、矿山、危化、工贸等急需紧缺专业人才，提高专业水平。加强基层应急管理力量,充实重点行业领域安全监管人员力量危险化学品、矿山监管人员中专业人员比例达到75%以上。实施危险化学品和矿山重点地区安全监管人员与化工和矿山专家双向挂职交流。加强应急管理智库建设，进一步完善地区各专业专家库建设。</w:t>
      </w:r>
    </w:p>
    <w:p w14:paraId="3F5BDE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5.3强化应急管理岗位培训赋能</w:t>
      </w:r>
    </w:p>
    <w:p w14:paraId="2769B0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深化各级领导干部的应急管理能力培训课程内容，提升各级党政领导干部应急管理意识和能力。将应急管理纳入各级领导干部培训规划和年度培训计划，党校（行政学院）党政领导干部培训课程单设应急管理专题。加大交流挂职力度，选派地区干部赴辽宁省应急管理部门挂职锻炼。积极推进设置应急管理社会化聘用岗位、公益性岗位，加大应急管理综合行政政法技术检查员和社会监督员队伍建设。利用国有企业、职业院校、咨询机构等资源优势，统筹建设矿山类、危化类、冶金类等实训基地。在地区打造一批有诚信，有质量的培训以及技术咨询机构，改变行业“小散弱”现状。</w:t>
      </w:r>
    </w:p>
    <w:p w14:paraId="7F68E8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5.4强化灾后救助恢复</w:t>
      </w:r>
    </w:p>
    <w:p w14:paraId="183FA5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auto"/>
          <w:kern w:val="2"/>
          <w:sz w:val="32"/>
          <w:szCs w:val="32"/>
          <w:highlight w:val="none"/>
          <w:lang w:val="en-US" w:eastAsia="zh-CN" w:bidi="ar-SA"/>
        </w:rPr>
      </w:pPr>
      <w:r>
        <w:rPr>
          <w:rFonts w:hint="eastAsia" w:ascii="方正仿宋_GB2312" w:hAnsi="方正仿宋_GB2312" w:eastAsia="方正仿宋_GB2312" w:cs="方正仿宋_GB2312"/>
          <w:sz w:val="32"/>
          <w:szCs w:val="32"/>
          <w:highlight w:val="none"/>
        </w:rPr>
        <w:t>健全灾害救助制度，统筹做好应急救助、过渡期生活救助、冬春临时生活困难救助等工作。加强灾害发生后困难群众和老弱病残孕等重点群体的救助和关爱，做好灾害救助和低保、临时救助、困难帮扶等机制有序衔接。健全灾害损失评估体系与工作流程，规范灾后恢复重建</w:t>
      </w:r>
      <w:r>
        <w:rPr>
          <w:rFonts w:hint="eastAsia" w:ascii="方正仿宋_GB2312" w:hAnsi="方正仿宋_GB2312" w:eastAsia="方正仿宋_GB2312" w:cs="方正仿宋_GB2312"/>
          <w:sz w:val="32"/>
          <w:szCs w:val="32"/>
          <w:highlight w:val="none"/>
          <w:lang w:val="en-US" w:eastAsia="zh-CN"/>
        </w:rPr>
        <w:t>工作流程</w:t>
      </w:r>
      <w:r>
        <w:rPr>
          <w:rFonts w:hint="eastAsia" w:ascii="方正仿宋_GB2312" w:hAnsi="方正仿宋_GB2312" w:eastAsia="方正仿宋_GB2312" w:cs="方正仿宋_GB2312"/>
          <w:sz w:val="32"/>
          <w:szCs w:val="32"/>
          <w:highlight w:val="none"/>
        </w:rPr>
        <w:t>。</w:t>
      </w:r>
    </w:p>
    <w:p w14:paraId="3E4BC369">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default" w:ascii="楷体_GB2312" w:hAnsi="Times New Roman" w:eastAsia="楷体_GB2312" w:cs="Times New Roman"/>
          <w:b/>
          <w:bCs/>
          <w:color w:val="0C0C0C"/>
          <w:kern w:val="21"/>
          <w:sz w:val="32"/>
          <w:szCs w:val="32"/>
          <w:highlight w:val="none"/>
          <w:lang w:val="en-US" w:eastAsia="zh-CN"/>
        </w:rPr>
      </w:pPr>
      <w:bookmarkStart w:id="14" w:name="_Toc15330"/>
      <w:r>
        <w:rPr>
          <w:rFonts w:hint="eastAsia" w:ascii="楷体_GB2312" w:hAnsi="Times New Roman" w:eastAsia="楷体_GB2312" w:cs="Times New Roman"/>
          <w:b/>
          <w:bCs/>
          <w:color w:val="0C0C0C"/>
          <w:kern w:val="21"/>
          <w:sz w:val="32"/>
          <w:szCs w:val="32"/>
          <w:highlight w:val="none"/>
          <w:lang w:val="en-US" w:eastAsia="zh-CN"/>
        </w:rPr>
        <w:t>（六）</w:t>
      </w:r>
      <w:r>
        <w:rPr>
          <w:rFonts w:hint="default" w:ascii="楷体_GB2312" w:hAnsi="Times New Roman" w:eastAsia="楷体_GB2312" w:cs="Times New Roman"/>
          <w:b/>
          <w:bCs/>
          <w:color w:val="0C0C0C"/>
          <w:kern w:val="21"/>
          <w:sz w:val="32"/>
          <w:szCs w:val="32"/>
          <w:highlight w:val="none"/>
          <w:lang w:val="en-US" w:eastAsia="zh-CN"/>
        </w:rPr>
        <w:t>提升科技和信息化能力</w:t>
      </w:r>
      <w:bookmarkEnd w:id="14"/>
    </w:p>
    <w:p w14:paraId="06DA68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6.1</w:t>
      </w:r>
      <w:r>
        <w:rPr>
          <w:rFonts w:hint="default" w:ascii="仿宋_GB2312" w:hAnsi="仿宋_GB2312" w:eastAsia="仿宋_GB2312" w:cs="仿宋_GB2312"/>
          <w:color w:val="auto"/>
          <w:kern w:val="2"/>
          <w:sz w:val="32"/>
          <w:szCs w:val="32"/>
          <w:highlight w:val="none"/>
          <w:lang w:val="en-US" w:eastAsia="zh-CN" w:bidi="ar-SA"/>
        </w:rPr>
        <w:t>提高灾害事故防控信息化水平</w:t>
      </w:r>
    </w:p>
    <w:p w14:paraId="0CC0F6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将安全生产、防灾减灾救灾纳入新型工业化发展规划总体布局，鼓励和支持构建基于工业互联网的安全感知、监测、预警、处置及评估体系，培育“互联网+应急”协同创新模式。贯彻落实国务院安委会办公室印发的《城市安全风险综合监测预警平台建设指南</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2023版</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立足大安全大应急框架，以综合平台为基础、子平台为延伸，构建统分结合、协调联动的安全风险监测预警体系，加快推进城市安全治理体系现代化，打造融合城市生命线、公共安全、生产安全、自然灾害等智能化模块为一体的城市安全风险综合监测预警平台，实现“能监测、会预警、快处置”功能，全面提升城市安全运行保障能力。建立完善</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自然灾害综合监测预警系统，实现自然灾害综合风险监测、动态预警、风险评估、综合研判和信息发布等功能，推动灾害风险防控从事后应急向事前预防、单点防控向全局联防转变。建设空天地一体化的应急通信网，借助车载移动终端、无人机搭载移动基站、对讲机、单兵通信、北斗通信、卫星通信设备等手段,第一时间实现应急救援现场应急通信指挥调度，提升断网、断电、断路极端场景下通信保障能力。</w:t>
      </w:r>
    </w:p>
    <w:p w14:paraId="231B8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6.2</w:t>
      </w:r>
      <w:r>
        <w:rPr>
          <w:rFonts w:hint="default" w:ascii="仿宋_GB2312" w:hAnsi="仿宋_GB2312" w:eastAsia="仿宋_GB2312" w:cs="仿宋_GB2312"/>
          <w:color w:val="auto"/>
          <w:kern w:val="2"/>
          <w:sz w:val="32"/>
          <w:szCs w:val="32"/>
          <w:highlight w:val="none"/>
          <w:lang w:val="en-US" w:eastAsia="zh-CN" w:bidi="ar-SA"/>
        </w:rPr>
        <w:t>提升应急管理信息化水平</w:t>
      </w:r>
    </w:p>
    <w:p w14:paraId="66C4D4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统筹推进应急指挥信息系统建设，优化</w:t>
      </w:r>
      <w:r>
        <w:rPr>
          <w:rFonts w:hint="eastAsia" w:ascii="仿宋_GB2312" w:hAnsi="仿宋_GB2312" w:eastAsia="仿宋_GB2312" w:cs="仿宋_GB2312"/>
          <w:color w:val="auto"/>
          <w:kern w:val="2"/>
          <w:sz w:val="32"/>
          <w:szCs w:val="32"/>
          <w:highlight w:val="none"/>
          <w:lang w:val="en-US" w:eastAsia="zh-CN" w:bidi="ar-SA"/>
        </w:rPr>
        <w:t>地区</w:t>
      </w:r>
      <w:r>
        <w:rPr>
          <w:rFonts w:hint="default" w:ascii="仿宋_GB2312" w:hAnsi="仿宋_GB2312" w:eastAsia="仿宋_GB2312" w:cs="仿宋_GB2312"/>
          <w:color w:val="auto"/>
          <w:kern w:val="2"/>
          <w:sz w:val="32"/>
          <w:szCs w:val="32"/>
          <w:highlight w:val="none"/>
          <w:lang w:val="en-US" w:eastAsia="zh-CN" w:bidi="ar-SA"/>
        </w:rPr>
        <w:t>应急管理综合应用平台，建设融合监测预警、指挥调度、视频会商、统计分析等功能于一体的应急指挥部综合信息化平台系统加强数据成果汇集和应用，整合汇聚“两委三部”成员单位业务应用及数据信息，实现数据成果多部门、多层级互通，为会商研判、风险评估提供辅助决策。推进实施应急指挥通信体系建设工程，提升应急指挥通信保障能力，在重点区域配备高通量卫星便携站及配套音视频采集箱，提升“三断”情况下的通信保障能力，以“科技之智”赋能应急指挥高质量发展</w:t>
      </w:r>
      <w:r>
        <w:rPr>
          <w:rFonts w:hint="eastAsia" w:ascii="仿宋_GB2312" w:hAnsi="仿宋_GB2312" w:eastAsia="仿宋_GB2312" w:cs="仿宋_GB2312"/>
          <w:color w:val="auto"/>
          <w:kern w:val="2"/>
          <w:sz w:val="32"/>
          <w:szCs w:val="32"/>
          <w:highlight w:val="none"/>
          <w:lang w:val="en-US" w:eastAsia="zh-CN" w:bidi="ar-SA"/>
        </w:rPr>
        <w:t>。</w:t>
      </w:r>
    </w:p>
    <w:p w14:paraId="03DB50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6.3</w:t>
      </w:r>
      <w:r>
        <w:rPr>
          <w:rFonts w:hint="default" w:ascii="仿宋_GB2312" w:hAnsi="仿宋_GB2312" w:eastAsia="仿宋_GB2312" w:cs="仿宋_GB2312"/>
          <w:color w:val="auto"/>
          <w:kern w:val="2"/>
          <w:sz w:val="32"/>
          <w:szCs w:val="32"/>
          <w:highlight w:val="none"/>
          <w:lang w:val="en-US" w:eastAsia="zh-CN" w:bidi="ar-SA"/>
        </w:rPr>
        <w:t>加大先进适用应急救援装备推广</w:t>
      </w:r>
    </w:p>
    <w:p w14:paraId="6CABF6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参照</w:t>
      </w:r>
      <w:r>
        <w:rPr>
          <w:rFonts w:hint="default" w:ascii="仿宋_GB2312" w:hAnsi="仿宋_GB2312" w:eastAsia="仿宋_GB2312" w:cs="仿宋_GB2312"/>
          <w:color w:val="auto"/>
          <w:kern w:val="2"/>
          <w:sz w:val="32"/>
          <w:szCs w:val="32"/>
          <w:highlight w:val="none"/>
          <w:lang w:val="en-US" w:eastAsia="zh-CN" w:bidi="ar-SA"/>
        </w:rPr>
        <w:t>自治区应急救援装备建设指导意见</w:t>
      </w:r>
      <w:r>
        <w:rPr>
          <w:rFonts w:hint="eastAsia" w:ascii="仿宋_GB2312" w:hAnsi="仿宋_GB2312" w:eastAsia="仿宋_GB2312" w:cs="仿宋_GB2312"/>
          <w:color w:val="auto"/>
          <w:kern w:val="2"/>
          <w:sz w:val="32"/>
          <w:szCs w:val="32"/>
          <w:highlight w:val="none"/>
          <w:lang w:val="en-US" w:eastAsia="zh-CN" w:bidi="ar-SA"/>
        </w:rPr>
        <w:t>等相关文件</w:t>
      </w:r>
      <w:r>
        <w:rPr>
          <w:rFonts w:hint="default" w:ascii="仿宋_GB2312" w:hAnsi="仿宋_GB2312" w:eastAsia="仿宋_GB2312" w:cs="仿宋_GB2312"/>
          <w:color w:val="auto"/>
          <w:kern w:val="2"/>
          <w:sz w:val="32"/>
          <w:szCs w:val="32"/>
          <w:highlight w:val="none"/>
          <w:lang w:val="en-US" w:eastAsia="zh-CN" w:bidi="ar-SA"/>
        </w:rPr>
        <w:t>，针对重特大灾害事故应急救援和通信保障装备需求，加强新型应急指挥通信技术、智能无人机应急救援技术、专用工程抢险救援技术、地震救援技术、矿山抢险救援技术等装备建设，大力发展无人救援装备，通过配备应急指挥车、无人机、国产卫星电话、北斗终端、卫星便携站、移动指挥平台等、设备，快速实现突发事件现场指挥调度、视频会议保障、现场全景态势感知、应急通信等功能。推动</w:t>
      </w:r>
      <w:r>
        <w:rPr>
          <w:rFonts w:hint="eastAsia" w:ascii="仿宋_GB2312" w:hAnsi="仿宋_GB2312" w:eastAsia="仿宋_GB2312" w:cs="仿宋_GB2312"/>
          <w:color w:val="auto"/>
          <w:kern w:val="2"/>
          <w:sz w:val="32"/>
          <w:szCs w:val="32"/>
          <w:highlight w:val="none"/>
          <w:lang w:val="en-US" w:eastAsia="zh-CN" w:bidi="ar-SA"/>
        </w:rPr>
        <w:t>县（市）级</w:t>
      </w:r>
      <w:r>
        <w:rPr>
          <w:rFonts w:hint="default" w:ascii="仿宋_GB2312" w:hAnsi="仿宋_GB2312" w:eastAsia="仿宋_GB2312" w:cs="仿宋_GB2312"/>
          <w:color w:val="auto"/>
          <w:kern w:val="2"/>
          <w:sz w:val="32"/>
          <w:szCs w:val="32"/>
          <w:highlight w:val="none"/>
          <w:lang w:val="en-US" w:eastAsia="zh-CN" w:bidi="ar-SA"/>
        </w:rPr>
        <w:t>应急救援装备达标率80%以上。健全救援装备储备和调用机制，对泥浆泵定向钻机等特种救援装备采取托管方式进行专业化管理，提高库存装备和现有救援装备利用率。加大消防救援力量机器人等装备配备力度，加强高端灭火机器人、排烟机器人、智能拍摄无人机、森林草原火灾救援无人机、物资投送机器人等装备的配备建设力度，不断提高应急机器人配备比例，提升机器人在森林草原火灾、地震和地质灾害、应急指挥通信等领域的支撑水平。</w:t>
      </w:r>
    </w:p>
    <w:p w14:paraId="057C2A6E">
      <w:pPr>
        <w:keepNext w:val="0"/>
        <w:keepLines w:val="0"/>
        <w:pageBreakBefore w:val="0"/>
        <w:kinsoku/>
        <w:wordWrap/>
        <w:overflowPunct/>
        <w:topLinePunct w:val="0"/>
        <w:autoSpaceDE w:val="0"/>
        <w:autoSpaceDN/>
        <w:bidi w:val="0"/>
        <w:adjustRightInd/>
        <w:snapToGrid/>
        <w:spacing w:line="560" w:lineRule="exact"/>
        <w:ind w:firstLine="643" w:firstLineChars="200"/>
        <w:textAlignment w:val="auto"/>
        <w:outlineLvl w:val="1"/>
        <w:rPr>
          <w:rFonts w:hint="default" w:ascii="楷体_GB2312" w:hAnsi="Times New Roman" w:eastAsia="楷体_GB2312" w:cs="Times New Roman"/>
          <w:b/>
          <w:bCs/>
          <w:color w:val="0C0C0C"/>
          <w:kern w:val="21"/>
          <w:sz w:val="32"/>
          <w:szCs w:val="32"/>
          <w:highlight w:val="none"/>
          <w:lang w:val="en-US" w:eastAsia="zh-CN"/>
        </w:rPr>
      </w:pPr>
      <w:bookmarkStart w:id="15" w:name="_Toc20169"/>
      <w:r>
        <w:rPr>
          <w:rFonts w:hint="eastAsia" w:ascii="楷体_GB2312" w:hAnsi="Times New Roman" w:eastAsia="楷体_GB2312" w:cs="Times New Roman"/>
          <w:b/>
          <w:bCs/>
          <w:color w:val="0C0C0C"/>
          <w:kern w:val="21"/>
          <w:sz w:val="32"/>
          <w:szCs w:val="32"/>
          <w:highlight w:val="none"/>
          <w:lang w:val="en-US" w:eastAsia="zh-CN"/>
        </w:rPr>
        <w:t>（七）</w:t>
      </w:r>
      <w:r>
        <w:rPr>
          <w:rFonts w:hint="default" w:ascii="楷体_GB2312" w:hAnsi="Times New Roman" w:eastAsia="楷体_GB2312" w:cs="Times New Roman"/>
          <w:b/>
          <w:bCs/>
          <w:color w:val="0C0C0C"/>
          <w:kern w:val="21"/>
          <w:sz w:val="32"/>
          <w:szCs w:val="32"/>
          <w:highlight w:val="none"/>
          <w:lang w:val="en-US" w:eastAsia="zh-CN"/>
        </w:rPr>
        <w:t>提升社会共治共享能力</w:t>
      </w:r>
      <w:bookmarkEnd w:id="15"/>
    </w:p>
    <w:p w14:paraId="2C6832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w:t>
      </w:r>
      <w:r>
        <w:rPr>
          <w:rFonts w:hint="default" w:ascii="仿宋_GB2312" w:hAnsi="仿宋_GB2312" w:eastAsia="仿宋_GB2312" w:cs="仿宋_GB2312"/>
          <w:color w:val="auto"/>
          <w:kern w:val="2"/>
          <w:sz w:val="32"/>
          <w:szCs w:val="32"/>
          <w:highlight w:val="none"/>
          <w:lang w:val="en-US" w:eastAsia="zh-CN" w:bidi="ar-SA"/>
        </w:rPr>
        <w:t>.1加强安全文化建设</w:t>
      </w:r>
    </w:p>
    <w:p w14:paraId="40C653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充分利用</w:t>
      </w:r>
      <w:r>
        <w:rPr>
          <w:rFonts w:hint="default" w:ascii="仿宋_GB2312" w:hAnsi="仿宋_GB2312" w:eastAsia="仿宋_GB2312" w:cs="仿宋_GB2312"/>
          <w:color w:val="auto"/>
          <w:kern w:val="2"/>
          <w:sz w:val="32"/>
          <w:szCs w:val="32"/>
          <w:highlight w:val="none"/>
          <w:lang w:val="en-US" w:eastAsia="zh-CN" w:bidi="ar-SA"/>
        </w:rPr>
        <w:t>自治区综合减灾示范社区创建以奖代补办法，激发基层争创热情，提升社区防灾减灾能力。组织征集成功避险典型案例，加大避灾避险经验做法和典型事迹宣传推广力度。推动安全宣传进企业、进农村、进社区、进学校、进家庭，组织开展安全生产月、“全国防灾减灾日”“国际减灾日”等系列宣传教育活动。推动应急科普体验基地、安全文化示范企业建设，加强人工智能等先进科技与安全应急文化深入融合，打造沉浸式应急科普体验新模式。持续推动国家安全发展示范城市、全国综合防灾减灾示范县和全国综合防灾减灾示范社区创建，完善相关创建标准规范，充分发挥示范引领作用。加大安全隐患举报力度，落实国务院安全生产委员会《关于推动建立完善生产经营单位事故隐患内部报告奖励机制的意见》要求，落实安全风险“吹哨人”制度、安全生产举报奖励制度，完善举报人保护机制，建立并实施事故隐患内部报告奖励机制，全面构建“社会群众举报+企业员工报告”的安全监督体系，构筑安全生产领域的“人民防线”</w:t>
      </w:r>
      <w:r>
        <w:rPr>
          <w:rFonts w:hint="eastAsia" w:ascii="仿宋_GB2312" w:hAnsi="仿宋_GB2312" w:eastAsia="仿宋_GB2312" w:cs="仿宋_GB2312"/>
          <w:color w:val="auto"/>
          <w:kern w:val="2"/>
          <w:sz w:val="32"/>
          <w:szCs w:val="32"/>
          <w:highlight w:val="none"/>
          <w:lang w:val="en-US" w:eastAsia="zh-CN" w:bidi="ar-SA"/>
        </w:rPr>
        <w:t>。</w:t>
      </w:r>
    </w:p>
    <w:p w14:paraId="461681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w:t>
      </w:r>
      <w:r>
        <w:rPr>
          <w:rFonts w:hint="default" w:ascii="仿宋_GB2312" w:hAnsi="仿宋_GB2312" w:eastAsia="仿宋_GB2312" w:cs="仿宋_GB2312"/>
          <w:color w:val="auto"/>
          <w:kern w:val="2"/>
          <w:sz w:val="32"/>
          <w:szCs w:val="32"/>
          <w:highlight w:val="none"/>
          <w:lang w:val="en-US" w:eastAsia="zh-CN" w:bidi="ar-SA"/>
        </w:rPr>
        <w:t>.2发挥市场机制作用</w:t>
      </w:r>
    </w:p>
    <w:p w14:paraId="3E24E2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落实安全生产责任保险制度，鼓励灾害保险事业发展，强化保险参与事故灾害预防工作，发挥巨灾保险“缓冲垫”作用，</w:t>
      </w:r>
      <w:r>
        <w:rPr>
          <w:rFonts w:hint="eastAsia" w:ascii="仿宋_GB2312" w:hAnsi="仿宋_GB2312" w:eastAsia="仿宋_GB2312" w:cs="仿宋_GB2312"/>
          <w:color w:val="auto"/>
          <w:kern w:val="2"/>
          <w:sz w:val="32"/>
          <w:szCs w:val="32"/>
          <w:highlight w:val="none"/>
          <w:lang w:val="en-US" w:eastAsia="zh-CN" w:bidi="ar-SA"/>
        </w:rPr>
        <w:t>参照</w:t>
      </w:r>
      <w:r>
        <w:rPr>
          <w:rFonts w:hint="default" w:ascii="仿宋_GB2312" w:hAnsi="仿宋_GB2312" w:eastAsia="仿宋_GB2312" w:cs="仿宋_GB2312"/>
          <w:color w:val="auto"/>
          <w:kern w:val="2"/>
          <w:sz w:val="32"/>
          <w:szCs w:val="32"/>
          <w:highlight w:val="none"/>
          <w:lang w:val="en-US" w:eastAsia="zh-CN" w:bidi="ar-SA"/>
        </w:rPr>
        <w:t>自治区城乡居民住宅多灾因巨灾保险实施方案，突出对重点领域和人群的保障，不断扩大保险覆盖面，保障国计民生，加强应急技术服务标准化建设，推动应急技术服务机构建立全过程服务质量管理体系，切实发挥参与风险评估管控和事故预防功能。完善安全生产信用评价机制，实行严重失信主体名单信息查询、应用和反馈。落实守信联合激励、失信联合惩戒推进应急管理诚信建设。采用推荐应急管理产业目录清单、购买服务等形式，鼓励引导社会组织、科研院所、</w:t>
      </w:r>
      <w:r>
        <w:rPr>
          <w:rFonts w:hint="eastAsia" w:ascii="仿宋_GB2312" w:hAnsi="仿宋_GB2312" w:eastAsia="仿宋_GB2312" w:cs="仿宋_GB2312"/>
          <w:color w:val="auto"/>
          <w:kern w:val="2"/>
          <w:sz w:val="32"/>
          <w:szCs w:val="32"/>
          <w:highlight w:val="none"/>
          <w:lang w:val="en-US" w:eastAsia="zh-CN" w:bidi="ar-SA"/>
        </w:rPr>
        <w:t>咨询机构、</w:t>
      </w:r>
      <w:r>
        <w:rPr>
          <w:rFonts w:hint="default" w:ascii="仿宋_GB2312" w:hAnsi="仿宋_GB2312" w:eastAsia="仿宋_GB2312" w:cs="仿宋_GB2312"/>
          <w:color w:val="auto"/>
          <w:kern w:val="2"/>
          <w:sz w:val="32"/>
          <w:szCs w:val="32"/>
          <w:highlight w:val="none"/>
          <w:lang w:val="en-US" w:eastAsia="zh-CN" w:bidi="ar-SA"/>
        </w:rPr>
        <w:t>保险机构等力量参与应急管理治理，为有效防范和应对灾害事故提供物质保障、技术支撑和专业服务。</w:t>
      </w:r>
    </w:p>
    <w:p w14:paraId="76005329">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eastAsia" w:ascii="黑体" w:hAnsi="黑体" w:eastAsia="黑体" w:cs="Times New Roman"/>
          <w:color w:val="0C0C0C"/>
          <w:kern w:val="21"/>
          <w:sz w:val="32"/>
          <w:szCs w:val="32"/>
          <w:highlight w:val="none"/>
          <w:lang w:val="en-US" w:eastAsia="zh-CN"/>
        </w:rPr>
      </w:pPr>
      <w:bookmarkStart w:id="16" w:name="_Toc11984"/>
      <w:r>
        <w:rPr>
          <w:rFonts w:hint="eastAsia" w:ascii="黑体" w:hAnsi="黑体" w:eastAsia="黑体" w:cs="Times New Roman"/>
          <w:color w:val="0C0C0C"/>
          <w:kern w:val="21"/>
          <w:sz w:val="32"/>
          <w:szCs w:val="32"/>
          <w:highlight w:val="none"/>
          <w:lang w:val="en-US" w:eastAsia="zh-CN"/>
        </w:rPr>
        <w:t>四、重点工程</w:t>
      </w:r>
      <w:bookmarkEnd w:id="16"/>
    </w:p>
    <w:p w14:paraId="53FD0C9B">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方正仿宋_GB2312" w:hAnsi="方正仿宋_GB2312" w:eastAsia="方正仿宋_GB2312" w:cs="方正仿宋_GB2312"/>
          <w:b/>
          <w:bCs/>
          <w:color w:val="auto"/>
          <w:kern w:val="0"/>
          <w:sz w:val="32"/>
          <w:szCs w:val="32"/>
          <w:highlight w:val="none"/>
          <w:lang w:val="en-US" w:eastAsia="zh-CN" w:bidi="ar"/>
        </w:rPr>
      </w:pPr>
      <w:bookmarkStart w:id="17" w:name="_Toc24821"/>
      <w:r>
        <w:rPr>
          <w:rFonts w:hint="eastAsia" w:ascii="楷体_GB2312" w:hAnsi="Times New Roman" w:eastAsia="楷体_GB2312" w:cs="Times New Roman"/>
          <w:b/>
          <w:bCs/>
          <w:color w:val="0C0C0C"/>
          <w:kern w:val="21"/>
          <w:sz w:val="32"/>
          <w:szCs w:val="32"/>
          <w:highlight w:val="none"/>
          <w:lang w:val="en-US" w:eastAsia="zh-CN"/>
        </w:rPr>
        <w:t>（一）地区应急指挥体系建设工程</w:t>
      </w:r>
      <w:bookmarkEnd w:id="17"/>
    </w:p>
    <w:p w14:paraId="0C545676">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持续推动各级应急指挥部建设，配齐应急指挥值守场所要素，满足系统技术支撑、视频联通以及人员食宿等基础保障需求。统筹推进本地应急指挥系统建设充分借鉴部分省（市）的先进经验，积极推进一体化应急指挥信息系统建设，着力完善信息报告、指挥调度、联合会商、辅助决策、电子地图等功能，满足统一信息报送、扁平化视频指挥、24小时视频联合会商研判、大数据智能辅助决策等应用需求。进一步健全和完善各级应急指挥部决策指挥硬件与软件要素，通过配备国产卫星电话、北斗终端、卫星便携站、移动指挥平台等应急指挥通信设备，以及双路备份等方式着力破解“三断”通信难题，加快形成贯通区、地、县的应急指挥系统，打通直击乡镇、事故灾害现场的“最后一公里”。</w:t>
      </w:r>
    </w:p>
    <w:p w14:paraId="4C9E4C69">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18" w:name="_Toc16007"/>
      <w:r>
        <w:rPr>
          <w:rFonts w:hint="eastAsia" w:ascii="楷体_GB2312" w:hAnsi="Times New Roman" w:eastAsia="楷体_GB2312" w:cs="Times New Roman"/>
          <w:b/>
          <w:bCs/>
          <w:color w:val="0C0C0C"/>
          <w:kern w:val="21"/>
          <w:sz w:val="32"/>
          <w:szCs w:val="32"/>
          <w:highlight w:val="none"/>
          <w:lang w:val="en-US" w:eastAsia="zh-CN"/>
        </w:rPr>
        <w:t>（二）地区安全生产监测预警信息化工程</w:t>
      </w:r>
      <w:bookmarkEnd w:id="18"/>
    </w:p>
    <w:p w14:paraId="43751CCE">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推进人工智能、大数据、物联网等技术与安全生产深度融合，开展“工业互联网+安全生产”创新应用，持续推进危化品、工贸、矿山等重点行业和新业态新领域安全风险监测预警系统升级建设，实现企业关键安全数据实时监测报警、安全风险动态预警，增强安全生产风险智能化管控能力，推进安全风险智能化管控、安全监管数字化转型。开展危险化学品重大安全风险防控，参照《新疆维吾尔自治区</w:t>
      </w:r>
      <w:bookmarkStart w:id="33" w:name="_GoBack"/>
      <w:bookmarkEnd w:id="33"/>
      <w:r>
        <w:rPr>
          <w:rFonts w:hint="eastAsia" w:ascii="方正仿宋_GB2312" w:hAnsi="方正仿宋_GB2312" w:eastAsia="方正仿宋_GB2312" w:cs="方正仿宋_GB2312"/>
          <w:b w:val="0"/>
          <w:bCs w:val="0"/>
          <w:color w:val="auto"/>
          <w:kern w:val="0"/>
          <w:sz w:val="32"/>
          <w:szCs w:val="32"/>
          <w:highlight w:val="none"/>
          <w:lang w:val="en-US" w:eastAsia="zh-CN" w:bidi="ar"/>
        </w:rPr>
        <w:t>重点化工产业聚集区重大安全风险防控工作总体方案》，共建共享化工产业聚集区安全风险智能化管控平台，配置易燃易爆有毒有害气体泄漏监测管控设备，建立危险化学品安全预防控制体系。持续深化执法信息化建设，完善“一企一档”“逢查必考”“数据汇集分析”“执法可视化记录”等模块，拓展动态监测、统计分析、趋势研判、效果评估、风险防控等应用场景，不断提高执法的规范化、精细化、智能化水平。</w:t>
      </w:r>
    </w:p>
    <w:p w14:paraId="58497714">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19" w:name="_Toc18881"/>
      <w:r>
        <w:rPr>
          <w:rFonts w:hint="eastAsia" w:ascii="楷体_GB2312" w:hAnsi="Times New Roman" w:eastAsia="楷体_GB2312" w:cs="Times New Roman"/>
          <w:b/>
          <w:bCs/>
          <w:color w:val="0C0C0C"/>
          <w:kern w:val="21"/>
          <w:sz w:val="32"/>
          <w:szCs w:val="32"/>
          <w:highlight w:val="none"/>
          <w:lang w:val="en-US" w:eastAsia="zh-CN"/>
        </w:rPr>
        <w:t>（三）地区自然灾害监测预警信息化工程</w:t>
      </w:r>
      <w:bookmarkEnd w:id="19"/>
    </w:p>
    <w:p w14:paraId="67147B83">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加快布设三维态势感知、边坡安全监测等系统设备，部署多灾易灾地区视频监控终端，配备手持式专业气体检漏仪等装备，提升灾情发现和辅助决策能力，实现灾情“早发现、早处理”。推进自然灾害综合监测预警及信息化建设，加强数据汇聚应用，统筹应急管理、气象、水文、地震、地质、森林草原、交通电力、地理信息、统计等相关监测资源和基础数据，织密观测网格，优化监测布局，加强重点区域自然灾害监测预报预警基础设施建设，建立单灾种和复合链生灾害监测预警模型，升级完善自然灾害综合监测预警系统。</w:t>
      </w:r>
    </w:p>
    <w:p w14:paraId="4D97BFBF">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0" w:name="_Toc31853"/>
      <w:r>
        <w:rPr>
          <w:rFonts w:hint="eastAsia" w:ascii="楷体_GB2312" w:hAnsi="Times New Roman" w:eastAsia="楷体_GB2312" w:cs="Times New Roman"/>
          <w:b/>
          <w:bCs/>
          <w:color w:val="0C0C0C"/>
          <w:kern w:val="21"/>
          <w:sz w:val="32"/>
          <w:szCs w:val="32"/>
          <w:highlight w:val="none"/>
          <w:lang w:val="en-US" w:eastAsia="zh-CN"/>
        </w:rPr>
        <w:t>（四）自然灾害防治重点工程</w:t>
      </w:r>
      <w:bookmarkEnd w:id="20"/>
    </w:p>
    <w:p w14:paraId="53D52AF6">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进一步推进灾害风险调查和重点隐患排查工程，加快推进普查成果转化。推进重点城市活动断层探查，加大农村安居工程建设力度，加快老旧房屋改造步伐推进实施自然灾害高风险区农村困难群众危房与土石木结构房屋改造，深入开展城市住房抗震加固，全面实施公共基础设施安全加固，提高重大工程、生命线工程设施安全水平。不断推进重点生态功能区生态修复工程，加强地质灾害工程治理和避险搬迁，大力实施防汛抗旱水利提升工程。开展应急避难场所提升改造，科学规划建设管理应急避难场所，规范标识设置，加强设施配套，确保每个应急避难场所都有指引标识、物资储备、供水、环卫、供电、通信、疏散通道等必要的应急设施。</w:t>
      </w:r>
    </w:p>
    <w:p w14:paraId="47B0FE53">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1" w:name="_Toc26318"/>
      <w:r>
        <w:rPr>
          <w:rFonts w:hint="eastAsia" w:ascii="楷体_GB2312" w:hAnsi="Times New Roman" w:eastAsia="楷体_GB2312" w:cs="Times New Roman"/>
          <w:b/>
          <w:bCs/>
          <w:color w:val="0C0C0C"/>
          <w:kern w:val="21"/>
          <w:sz w:val="32"/>
          <w:szCs w:val="32"/>
          <w:highlight w:val="none"/>
          <w:lang w:val="en-US" w:eastAsia="zh-CN"/>
        </w:rPr>
        <w:t>（五）综合风险监测塔网资源利用工程</w:t>
      </w:r>
      <w:bookmarkEnd w:id="21"/>
    </w:p>
    <w:p w14:paraId="4FEB608D">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充分利用通信运营商铁塔独有的网格化塔桅挂高、网络传输、移动通信、稳定电力等优势资源，挂载高点AI智能高清广域摄像机、气象综合监测仪等监测预警设备，拓广灾害风险实时监测辐射范围，提升灾害事前、事中、事后的综合风险监测预警能力。结合自治区铁塔布局，选取灾害高发区域，先行开展地质、洪涝、气象等3种灾害监测预警设施设备挂载试点。利用铁塔机房、基础设施维护和运维监控平台等资源，提供电力保障、应急设施抢修维护和抢险救援装备补给，强化自然灾害应急抢险救援后勤保障。</w:t>
      </w:r>
    </w:p>
    <w:p w14:paraId="16FFB3B1">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2" w:name="_Toc25134"/>
      <w:r>
        <w:rPr>
          <w:rFonts w:hint="eastAsia" w:ascii="楷体_GB2312" w:hAnsi="Times New Roman" w:eastAsia="楷体_GB2312" w:cs="Times New Roman"/>
          <w:b/>
          <w:bCs/>
          <w:color w:val="0C0C0C"/>
          <w:kern w:val="21"/>
          <w:sz w:val="32"/>
          <w:szCs w:val="32"/>
          <w:highlight w:val="none"/>
          <w:lang w:val="en-US" w:eastAsia="zh-CN"/>
        </w:rPr>
        <w:t>（六）地区应急救援装备建设工程</w:t>
      </w:r>
      <w:bookmarkEnd w:id="22"/>
    </w:p>
    <w:p w14:paraId="7C67C480">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针对重大灾害事故应急救援和通信保障装备需求，加强新型应急指挥通信技术、智能无人机应急救援技术、森林火灾扑救救援装备、矿山抢险救援技术装备、抗洪抢险救援装备、水域救援装备、地震地质灾害救援装备、综合保障装备等装备建设。大力发展无人救援装备，通过配备应急指挥车、无人机、国产卫星电话、北斗终端、卫星便携站、移动指挥平台等设备，快速实现突发事件现场指挥调度、视频会议保障、现场全景态势感知、应急通信等功能。</w:t>
      </w:r>
    </w:p>
    <w:p w14:paraId="372216AD">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3" w:name="_Toc15222"/>
      <w:r>
        <w:rPr>
          <w:rFonts w:hint="eastAsia" w:ascii="楷体_GB2312" w:hAnsi="Times New Roman" w:eastAsia="楷体_GB2312" w:cs="Times New Roman"/>
          <w:b/>
          <w:bCs/>
          <w:color w:val="0C0C0C"/>
          <w:kern w:val="21"/>
          <w:sz w:val="32"/>
          <w:szCs w:val="32"/>
          <w:highlight w:val="none"/>
          <w:lang w:val="en-US" w:eastAsia="zh-CN"/>
        </w:rPr>
        <w:t>（七）应急科普教育基地建设工程</w:t>
      </w:r>
      <w:bookmarkEnd w:id="23"/>
    </w:p>
    <w:p w14:paraId="33B1AC8B">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建设地区级应急科普教育基地，推进有条件的县（市）建设应急科普教育基地，采取“场景式+情景式”方式，搭建真实三维环境的突发事件模拟仿真设施、沉浸式体验设施、应急自救互救技能演示和训练设施配套，拟地震、洪涝、地质等自然灾害和应急场景，建设集科普、互动、安全体验功能于一体的应急科普教育基地。完善消防科普教育基地建设。因地制宜配备升级影音设备、灭火体验设施、火灾及其他灾害事故体验设施。县级行政区域应至少确定1个消防队（站）对外开放。</w:t>
      </w:r>
    </w:p>
    <w:p w14:paraId="7F7DB18D">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4" w:name="_Toc7313"/>
      <w:r>
        <w:rPr>
          <w:rFonts w:hint="eastAsia" w:ascii="楷体_GB2312" w:hAnsi="Times New Roman" w:eastAsia="楷体_GB2312" w:cs="Times New Roman"/>
          <w:b/>
          <w:bCs/>
          <w:color w:val="0C0C0C"/>
          <w:kern w:val="21"/>
          <w:sz w:val="32"/>
          <w:szCs w:val="32"/>
          <w:highlight w:val="none"/>
          <w:lang w:val="en-US" w:eastAsia="zh-CN"/>
        </w:rPr>
        <w:t>（八）基层应急能力建设工程</w:t>
      </w:r>
      <w:bookmarkEnd w:id="24"/>
    </w:p>
    <w:p w14:paraId="20E4BA1F">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加强应急干部队伍建设，强化应急管理能力培训，提高专业水平。推动建立专业化、职业化安全生产行政执法队伍，配齐配强行政执法专业人员力量，进一步提升监管执法效能。健全乡镇（街道）、村（社区）应急管理组织体系，建强基层应急力量，实现县域“有机构、有机制、有预案、有队伍、有物资、有避难场所”，乡镇（街道）和村（社区）“构建一套预案体系、打造一支救援力量、建立一个避难场所、编制一套灾害风险隐患图、建设一个物资储备点、设立一个科普宣教场所”。改造升级基层应急指挥中心，加强基层视频指挥调度终端、视频会议系统配备，配齐配强专业抢险救援装备，提升基层应急力量快速响应和先期处置能力。推动全区易受灾镇村应急通信保障装备配备，为易受灾、偏远镇村配置无人机、通信基站、卫星电话等应急保障装备，加快无线指挥通信集群网建设应用，建立配套工作机制明确“谁来用、怎么用”，提升应急通信保障能力。开展乡镇专职消防队建设达标活动。结合乡镇经济社会发展实际和公共消防安全需求，因地制宜推进塔城市恰夏镇、塔城市阿西尔达斡尔族乡、额敏县玉什喀拉苏镇、和布克赛尔蒙古自治县铁厂沟镇4支乡镇专职消防队建设任务，推动乌苏市车排子镇、沙湾市乌兰乌苏镇、沙湾市西戈壁镇3支乡镇志愿消防队升级为二级专职消防队。开展现有乡镇专职消防队达标活动，积极构建城乡一体化消防救援力量体系。</w:t>
      </w:r>
    </w:p>
    <w:p w14:paraId="6259E1FA">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5" w:name="_Toc1242"/>
      <w:r>
        <w:rPr>
          <w:rFonts w:hint="eastAsia" w:ascii="楷体_GB2312" w:hAnsi="Times New Roman" w:eastAsia="楷体_GB2312" w:cs="Times New Roman"/>
          <w:b/>
          <w:bCs/>
          <w:color w:val="0C0C0C"/>
          <w:kern w:val="21"/>
          <w:sz w:val="32"/>
          <w:szCs w:val="32"/>
          <w:highlight w:val="none"/>
          <w:lang w:val="en-US" w:eastAsia="zh-CN"/>
        </w:rPr>
        <w:t>（九）应急管理科技支撑工程</w:t>
      </w:r>
      <w:bookmarkEnd w:id="25"/>
    </w:p>
    <w:p w14:paraId="27DFE259">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推广应用先进技术、先进装备，持续推进安全生产专家库及高危重点行业领域安全生产专家平台建设，着力解决工贸、危险化学品、非煤矿山等重点行业领域安全生产关键技术难题。</w:t>
      </w:r>
    </w:p>
    <w:p w14:paraId="64C538A5">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6" w:name="_Toc29154"/>
      <w:r>
        <w:rPr>
          <w:rFonts w:hint="eastAsia" w:ascii="楷体_GB2312" w:hAnsi="Times New Roman" w:eastAsia="楷体_GB2312" w:cs="Times New Roman"/>
          <w:b/>
          <w:bCs/>
          <w:color w:val="0C0C0C"/>
          <w:kern w:val="21"/>
          <w:sz w:val="32"/>
          <w:szCs w:val="32"/>
          <w:highlight w:val="none"/>
          <w:lang w:val="en-US" w:eastAsia="zh-CN"/>
        </w:rPr>
        <w:t>（十）综合应急救援基地建设工程</w:t>
      </w:r>
      <w:bookmarkEnd w:id="26"/>
    </w:p>
    <w:p w14:paraId="5C3B9421">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依托整合现有资源，结合区域灾害风险特点，围绕重大突发事件快速响应、跨区域联动调度、急难险重救援处置等需求，统筹规划布局综合应急救援基地。聚焦地震地质灾害、森林草原火灾、洪涝、暴风雪等灾害，以及危化、矿山、工贸等行业生产安全事故救援需求，兼具救援支撑、协同调度、队伍驻地、日常训练、教育培训、装备保障等功能，全面增强区域应急处置与综合保障能力。</w:t>
      </w:r>
    </w:p>
    <w:p w14:paraId="16B0FB84">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7" w:name="_Toc7959"/>
      <w:r>
        <w:rPr>
          <w:rFonts w:hint="eastAsia" w:ascii="楷体_GB2312" w:hAnsi="Times New Roman" w:eastAsia="楷体_GB2312" w:cs="Times New Roman"/>
          <w:b/>
          <w:bCs/>
          <w:color w:val="0C0C0C"/>
          <w:kern w:val="21"/>
          <w:sz w:val="32"/>
          <w:szCs w:val="32"/>
          <w:highlight w:val="none"/>
          <w:lang w:val="en-US" w:eastAsia="zh-CN"/>
        </w:rPr>
        <w:t>（十一）地震灾害风险防范能力提升工程</w:t>
      </w:r>
      <w:bookmarkEnd w:id="27"/>
    </w:p>
    <w:p w14:paraId="7D789048">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配合自治区建设</w:t>
      </w:r>
      <w:r>
        <w:rPr>
          <w:rFonts w:hint="eastAsia" w:ascii="方正仿宋_GB2312" w:hAnsi="方正仿宋_GB2312" w:eastAsia="方正仿宋_GB2312" w:cs="方正仿宋_GB2312"/>
          <w:sz w:val="32"/>
          <w:szCs w:val="32"/>
          <w:highlight w:val="none"/>
        </w:rPr>
        <w:t>围绕重点危险区、主要活动断裂带加密建设测震、地球物理、地球化学等监测台站，构建现代化地震监测预测预警网络和保障服务体系，全面提升对断裂带的监测能力和地震预警的准确性。实施监测站点基础设施维修改造工程，强化设施运维保障能力。推进重点城市活动断层探测项目，查明发震构造的空间位置及其主要特征，评估地震活动水平和可能造成的危害，加强成果应用，实现与自然资源管理与国土空间规划“一张图”等有机衔接，最大限度减轻地震灾害风险。</w:t>
      </w:r>
    </w:p>
    <w:p w14:paraId="2EACFC68">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eastAsia" w:ascii="黑体" w:hAnsi="黑体" w:eastAsia="黑体" w:cs="Times New Roman"/>
          <w:color w:val="0C0C0C"/>
          <w:kern w:val="21"/>
          <w:sz w:val="32"/>
          <w:szCs w:val="32"/>
          <w:highlight w:val="none"/>
          <w:lang w:val="en-US" w:eastAsia="zh-CN"/>
        </w:rPr>
      </w:pPr>
      <w:bookmarkStart w:id="28" w:name="_Toc18622"/>
      <w:r>
        <w:rPr>
          <w:rFonts w:hint="eastAsia" w:ascii="黑体" w:hAnsi="黑体" w:eastAsia="黑体" w:cs="Times New Roman"/>
          <w:color w:val="0C0C0C"/>
          <w:kern w:val="21"/>
          <w:sz w:val="32"/>
          <w:szCs w:val="32"/>
          <w:highlight w:val="none"/>
          <w:lang w:val="en-US" w:eastAsia="zh-CN"/>
        </w:rPr>
        <w:t>五、保障措施</w:t>
      </w:r>
      <w:bookmarkEnd w:id="28"/>
    </w:p>
    <w:p w14:paraId="03E30143">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29" w:name="_Toc19812"/>
      <w:r>
        <w:rPr>
          <w:rFonts w:hint="eastAsia" w:ascii="楷体_GB2312" w:hAnsi="Times New Roman" w:eastAsia="楷体_GB2312" w:cs="Times New Roman"/>
          <w:b/>
          <w:bCs/>
          <w:color w:val="0C0C0C"/>
          <w:kern w:val="21"/>
          <w:sz w:val="32"/>
          <w:szCs w:val="32"/>
          <w:highlight w:val="none"/>
          <w:lang w:val="en-US" w:eastAsia="zh-CN"/>
        </w:rPr>
        <w:t>（一）加强组织领导</w:t>
      </w:r>
      <w:bookmarkEnd w:id="29"/>
    </w:p>
    <w:p w14:paraId="09551561">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严格落实“党政同责、一岗双责、齐抓共管、失职追责”的责任制，将应急管理、安全生产和防灾减灾纳入经济社会发展总体布局，安全生产主要控制指标纳入经济社会发展统计指标体系，应急管理、防灾减灾重大工程纳入经济社会发展年度计划。加强规划引领，建立目标管理体系，逐级分解落实主要任务、重点工程。健全规划推进机制，制定规划年度实施计划，明确目标任务和措施，明确责任领导和具体责任人，完成规划任务。</w:t>
      </w:r>
    </w:p>
    <w:p w14:paraId="3B14F910">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30" w:name="_Toc14926"/>
      <w:r>
        <w:rPr>
          <w:rFonts w:hint="eastAsia" w:ascii="楷体_GB2312" w:hAnsi="Times New Roman" w:eastAsia="楷体_GB2312" w:cs="Times New Roman"/>
          <w:b/>
          <w:bCs/>
          <w:color w:val="0C0C0C"/>
          <w:kern w:val="21"/>
          <w:sz w:val="32"/>
          <w:szCs w:val="32"/>
          <w:highlight w:val="none"/>
          <w:lang w:val="en-US" w:eastAsia="zh-CN"/>
        </w:rPr>
        <w:t>（二）加大资金保障</w:t>
      </w:r>
      <w:bookmarkEnd w:id="30"/>
    </w:p>
    <w:p w14:paraId="1A1FAAD7">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充分发挥重点工程项目的规划载体作用，按照事权与支出责任相适应的原则，对规划实施予以合理保障。加大投入力度，探索建立政府、企业和社会共同承担的应急投入长效机制，引导多元化资金投入，拓宽应急投入渠道，确保重大工程顺利实施。加快先进应急技术装备和安全生产通用技术推广应用，积极推进重点行业领域安全生产责任险的全面落实，完善信贷政策，鼓励银行对安全生产基础设施和技术改造项目给予贷款支持。有效实施与项目核准、用地审批、证券融资、银行贷款等挂钩的企业安全生产失信惩戒制度，引导企业加大安全投入。</w:t>
      </w:r>
    </w:p>
    <w:p w14:paraId="02482AAC">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31" w:name="_Toc17389"/>
      <w:r>
        <w:rPr>
          <w:rFonts w:hint="eastAsia" w:ascii="楷体_GB2312" w:hAnsi="Times New Roman" w:eastAsia="楷体_GB2312" w:cs="Times New Roman"/>
          <w:b/>
          <w:bCs/>
          <w:color w:val="0C0C0C"/>
          <w:kern w:val="21"/>
          <w:sz w:val="32"/>
          <w:szCs w:val="32"/>
          <w:highlight w:val="none"/>
          <w:lang w:val="en-US" w:eastAsia="zh-CN"/>
        </w:rPr>
        <w:t>（三）强化人才培养</w:t>
      </w:r>
      <w:bookmarkEnd w:id="31"/>
    </w:p>
    <w:p w14:paraId="02068116">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b w:val="0"/>
          <w:bCs w:val="0"/>
          <w:color w:val="auto"/>
          <w:kern w:val="0"/>
          <w:sz w:val="32"/>
          <w:szCs w:val="32"/>
          <w:highlight w:val="none"/>
          <w:lang w:val="en-US" w:eastAsia="zh-CN" w:bidi="ar"/>
        </w:rPr>
        <w:t>完善政府、企业、高校等多方合作机制，加快引进和培养一批结构合理、懂安全、有技术、会管理的安全生产专业技术人才，提高安全技术服务水平。强化安全监管监察队伍建设，以教育培训、岗位锻炼等方式，提高安全监管监察人员专业水平和行政执法水平。加强重点行业领域企业专业人才和生产一线急需技能型人才培养，发挥科技对安全生产的支撑作用。</w:t>
      </w:r>
    </w:p>
    <w:p w14:paraId="15E48FDA">
      <w:pPr>
        <w:keepNext w:val="0"/>
        <w:keepLines w:val="0"/>
        <w:pageBreakBefore w:val="0"/>
        <w:numPr>
          <w:ilvl w:val="0"/>
          <w:numId w:val="0"/>
        </w:numPr>
        <w:kinsoku/>
        <w:wordWrap/>
        <w:topLinePunct w:val="0"/>
        <w:autoSpaceDN/>
        <w:bidi w:val="0"/>
        <w:adjustRightInd/>
        <w:snapToGrid/>
        <w:spacing w:line="560" w:lineRule="exact"/>
        <w:ind w:leftChars="0" w:firstLine="643" w:firstLineChars="200"/>
        <w:textAlignment w:val="auto"/>
        <w:outlineLvl w:val="1"/>
        <w:rPr>
          <w:rFonts w:hint="eastAsia" w:ascii="楷体_GB2312" w:hAnsi="Times New Roman" w:eastAsia="楷体_GB2312" w:cs="Times New Roman"/>
          <w:b/>
          <w:bCs/>
          <w:color w:val="0C0C0C"/>
          <w:kern w:val="21"/>
          <w:sz w:val="32"/>
          <w:szCs w:val="32"/>
          <w:highlight w:val="none"/>
          <w:lang w:val="en-US" w:eastAsia="zh-CN"/>
        </w:rPr>
      </w:pPr>
      <w:bookmarkStart w:id="32" w:name="_Toc13098"/>
      <w:r>
        <w:rPr>
          <w:rFonts w:hint="eastAsia" w:ascii="楷体_GB2312" w:hAnsi="Times New Roman" w:eastAsia="楷体_GB2312" w:cs="Times New Roman"/>
          <w:b/>
          <w:bCs/>
          <w:color w:val="0C0C0C"/>
          <w:kern w:val="21"/>
          <w:sz w:val="32"/>
          <w:szCs w:val="32"/>
          <w:highlight w:val="none"/>
          <w:lang w:val="en-US" w:eastAsia="zh-CN"/>
        </w:rPr>
        <w:t>（四）严格考核评估</w:t>
      </w:r>
      <w:bookmarkEnd w:id="32"/>
    </w:p>
    <w:p w14:paraId="2E09B252">
      <w:pPr>
        <w:keepNext w:val="0"/>
        <w:keepLines w:val="0"/>
        <w:pageBreakBefore w:val="0"/>
        <w:numPr>
          <w:ilvl w:val="0"/>
          <w:numId w:val="0"/>
        </w:numPr>
        <w:kinsoku/>
        <w:wordWrap/>
        <w:topLinePunct w:val="0"/>
        <w:autoSpaceDN/>
        <w:bidi w:val="0"/>
        <w:adjustRightInd/>
        <w:snapToGrid/>
        <w:spacing w:line="560" w:lineRule="exact"/>
        <w:ind w:leftChars="0" w:firstLine="640" w:firstLineChars="200"/>
        <w:textAlignment w:val="auto"/>
        <w:outlineLvl w:val="9"/>
        <w:rPr>
          <w:rFonts w:hint="eastAsia" w:ascii="方正仿宋_GB2312" w:hAnsi="方正仿宋_GB2312" w:eastAsia="方正仿宋_GB2312" w:cs="方正仿宋_GB2312"/>
          <w:b w:val="0"/>
          <w:bCs w:val="0"/>
          <w:color w:val="auto"/>
          <w:kern w:val="0"/>
          <w:sz w:val="32"/>
          <w:szCs w:val="32"/>
          <w:highlight w:val="none"/>
          <w:lang w:val="en-US" w:eastAsia="zh-CN" w:bidi="ar"/>
        </w:rPr>
      </w:pPr>
      <w:r>
        <w:rPr>
          <w:rFonts w:hint="eastAsia" w:ascii="方正仿宋_GB2312" w:hAnsi="方正仿宋_GB2312" w:eastAsia="方正仿宋_GB2312" w:cs="方正仿宋_GB2312"/>
          <w:sz w:val="32"/>
          <w:szCs w:val="32"/>
          <w:highlight w:val="none"/>
        </w:rPr>
        <w:t>健全规划实施监测评估机制，开展中期评估与终期评估，动态优化调整规划</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b w:val="0"/>
          <w:bCs w:val="0"/>
          <w:color w:val="auto"/>
          <w:kern w:val="0"/>
          <w:sz w:val="32"/>
          <w:szCs w:val="32"/>
          <w:highlight w:val="none"/>
          <w:lang w:val="en-US" w:eastAsia="zh-CN" w:bidi="ar"/>
        </w:rPr>
        <w:t>制定规划实施考核办法，加强对规划实施情况的动态监测、监督检查和跟踪分析，将考核结果作为对各县（市）和相关部门政绩考核的重要内容，调动各方面积极性，确保圆满完成各项目标任务。</w:t>
      </w:r>
    </w:p>
    <w:p w14:paraId="5095C3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5EAD2F-02D7-4754-9D93-A6EBE42550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6B632528-3253-4F3C-9D8E-4A8C636AAEB1}"/>
  </w:font>
  <w:font w:name="方正仿宋_GB2312">
    <w:altName w:val="仿宋"/>
    <w:panose1 w:val="02000000000000000000"/>
    <w:charset w:val="86"/>
    <w:family w:val="auto"/>
    <w:pitch w:val="default"/>
    <w:sig w:usb0="00000000" w:usb1="00000000" w:usb2="00000012" w:usb3="00000000" w:csb0="00040001" w:csb1="00000000"/>
    <w:embedRegular r:id="rId3" w:fontKey="{7DCC48EA-B3DE-4D2D-A0A0-4B181EEE1FCB}"/>
  </w:font>
  <w:font w:name="楷体_GB2312">
    <w:altName w:val="楷体"/>
    <w:panose1 w:val="02010609030101010101"/>
    <w:charset w:val="86"/>
    <w:family w:val="modern"/>
    <w:pitch w:val="default"/>
    <w:sig w:usb0="00000000" w:usb1="00000000" w:usb2="00000000" w:usb3="00000000" w:csb0="00040000" w:csb1="00000000"/>
    <w:embedRegular r:id="rId4" w:fontKey="{70414776-4D6E-4C22-826B-63A58B219C1B}"/>
  </w:font>
  <w:font w:name="仿宋_GB2312">
    <w:panose1 w:val="02010609030101010101"/>
    <w:charset w:val="86"/>
    <w:family w:val="modern"/>
    <w:pitch w:val="default"/>
    <w:sig w:usb0="00000001" w:usb1="080E0000" w:usb2="00000000" w:usb3="00000000" w:csb0="00040000" w:csb1="00000000"/>
    <w:embedRegular r:id="rId5" w:fontKey="{BFA6E5F9-FF0B-4CA7-8CD8-A4BDDDFD40F3}"/>
  </w:font>
  <w:font w:name="方正楷体_GB2312">
    <w:altName w:val="宋体"/>
    <w:panose1 w:val="02000000000000000000"/>
    <w:charset w:val="86"/>
    <w:family w:val="auto"/>
    <w:pitch w:val="default"/>
    <w:sig w:usb0="00000000" w:usb1="00000000" w:usb2="00000012" w:usb3="00000000" w:csb0="00040001" w:csb1="00000000"/>
    <w:embedRegular r:id="rId6" w:fontKey="{842F353D-7DBE-4755-A287-D54D3F13F09A}"/>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8336">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FC2E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0DFC2E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618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B8B21">
                          <w:pPr>
                            <w:pStyle w:val="4"/>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39</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5B8B21">
                    <w:pPr>
                      <w:pStyle w:val="4"/>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39</w:t>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9D1CEA"/>
    <w:rsid w:val="12786986"/>
    <w:rsid w:val="158F2D7C"/>
    <w:rsid w:val="1F7B0C6B"/>
    <w:rsid w:val="259A6D28"/>
    <w:rsid w:val="2C1B5526"/>
    <w:rsid w:val="3A802B51"/>
    <w:rsid w:val="43DD00A8"/>
    <w:rsid w:val="458B2AC6"/>
    <w:rsid w:val="4FE678A4"/>
    <w:rsid w:val="547D016E"/>
    <w:rsid w:val="5B9D1CEA"/>
    <w:rsid w:val="5F3A69BA"/>
    <w:rsid w:val="65E722C0"/>
    <w:rsid w:val="6DAC64B6"/>
    <w:rsid w:val="6DF27082"/>
    <w:rsid w:val="6FCB5BD7"/>
    <w:rsid w:val="73576F37"/>
    <w:rsid w:val="74B432AD"/>
    <w:rsid w:val="77E63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Indent"/>
    <w:basedOn w:val="1"/>
    <w:next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iPriority w:val="0"/>
  </w:style>
  <w:style w:type="paragraph" w:styleId="7">
    <w:name w:val="footnote text"/>
    <w:basedOn w:val="1"/>
    <w:qFormat/>
    <w:uiPriority w:val="0"/>
    <w:pPr>
      <w:snapToGrid w:val="0"/>
      <w:jc w:val="left"/>
    </w:pPr>
    <w:rPr>
      <w:sz w:val="18"/>
    </w:rPr>
  </w:style>
  <w:style w:type="paragraph" w:styleId="8">
    <w:name w:val="toc 2"/>
    <w:basedOn w:val="1"/>
    <w:next w:val="1"/>
    <w:qFormat/>
    <w:uiPriority w:val="0"/>
    <w:pPr>
      <w:ind w:left="420" w:leftChars="200"/>
    </w:p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Body Text First Indent 2"/>
    <w:basedOn w:val="3"/>
    <w:next w:val="1"/>
    <w:qFormat/>
    <w:uiPriority w:val="0"/>
    <w:pPr>
      <w:ind w:firstLine="420" w:firstLineChars="200"/>
    </w:p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12423</Words>
  <Characters>12543</Characters>
  <Lines>0</Lines>
  <Paragraphs>0</Paragraphs>
  <TotalTime>4</TotalTime>
  <ScaleCrop>false</ScaleCrop>
  <LinksUpToDate>false</LinksUpToDate>
  <CharactersWithSpaces>12647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2025-06-10T03:46:00Z</dcterms:created>
  <dc:creator>Solomon_Enoch</dc:creator>
  <cp:lastModifiedBy>佟壮美</cp:lastModifiedBy>
  <dcterms:modified xsi:type="dcterms:W3CDTF">2026-10-21T03:47:17Z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ABBFAA0027FC404F9104F50C59D21232_13</vt:lpwstr>
  </property>
  <property fmtid="{D5CDD505-2E9C-101B-9397-08002B2CF9AE}" pid="4" name="KSOTemplateDocerSaveRecord">
    <vt:lpwstr>eyJoZGlkIjoiODgwYzc4ODZlN2NlNjhjZDg0Zjg0MDdhMTVmY2UwMmEiLCJ1c2VySWQiOiIzNTY3NDU3MTEifQ==</vt:lpwstr>
  </property>
</Properties>
</file>