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A556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巴克图口岸大件跨境运输综合服务提升</w:t>
      </w:r>
    </w:p>
    <w:p w14:paraId="7760E7E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firstLineChars="0"/>
        <w:jc w:val="center"/>
        <w:textAlignment w:val="auto"/>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方案（试行）（征求意见稿）</w:t>
      </w:r>
    </w:p>
    <w:p w14:paraId="533BCCB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为进一步提升巴克图口岸大件设备通关便利化水平，降低企业物流与运营成本，吸引更多大件物流企业集聚发展，培育壮大口岸大件通关特色产业，结合口岸实际与企业诉求，制定本方案。</w:t>
      </w:r>
    </w:p>
    <w:p w14:paraId="1C9FF0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一、政策适用范围</w:t>
      </w:r>
    </w:p>
    <w:p w14:paraId="37DD88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适用对象：依法在全国范围内登记注册、诚信经营，在巴克图口岸开展大件设备出口业务的物流及运输企业，不限制企业注册地，外地企业、非试验区注册企业与试验区注册企业同等享受本办法全部扶持政策。</w:t>
      </w:r>
    </w:p>
    <w:p w14:paraId="34F5302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大件设备认定：依据中国政府网、交通运输部标准，满足以下任一条件的不可解体货物运输车辆：车货总高度从地面算起超过4米；车货总宽度超过2.55米；车货总长度超过18.1米；车货总质量超过49吨。</w:t>
      </w:r>
    </w:p>
    <w:p w14:paraId="52011E7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适用品类：风机叶片、塔筒、大型机械设备、反应釜罐体等超大型设备、车辆、货物。</w:t>
      </w:r>
    </w:p>
    <w:p w14:paraId="0EB3D5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二、扶持政策</w:t>
      </w:r>
    </w:p>
    <w:p w14:paraId="6F1944E1">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（一）参展推介与品牌培育</w:t>
      </w:r>
    </w:p>
    <w:p w14:paraId="0A72A0CF">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0" w:firstLineChars="200"/>
        <w:jc w:val="left"/>
        <w:textAlignment w:val="auto"/>
        <w:rPr>
          <w:rFonts w:hint="eastAsia" w:ascii="仿宋_GB2312" w:hAnsi="仿宋_GB2312" w:eastAsia="仿宋_GB2312" w:cs="仿宋_GB2312"/>
          <w:color w:val="000000"/>
          <w:sz w:val="32"/>
          <w:szCs w:val="32"/>
          <w:highlight w:val="green"/>
        </w:rPr>
      </w:pPr>
      <w:r>
        <w:rPr>
          <w:rFonts w:hint="eastAsia" w:ascii="仿宋_GB2312" w:hAnsi="仿宋_GB2312" w:eastAsia="仿宋_GB2312" w:cs="仿宋_GB2312"/>
          <w:color w:val="000000"/>
          <w:kern w:val="0"/>
          <w:sz w:val="32"/>
          <w:szCs w:val="32"/>
          <w:lang w:val="en-US" w:eastAsia="zh-CN" w:bidi="ar"/>
        </w:rPr>
        <w:t>常态化组织辖区大件设备运输企业参与亚欧博览会、巴克图论坛、跨境物流对接会等交流活动，搭建业务拓展与供需对接</w:t>
      </w:r>
      <w:r>
        <w:rPr>
          <w:rFonts w:hint="eastAsia" w:ascii="仿宋_GB2312" w:hAnsi="仿宋_GB2312" w:eastAsia="仿宋_GB2312" w:cs="仿宋_GB2312"/>
          <w:color w:val="000000"/>
          <w:kern w:val="0"/>
          <w:sz w:val="32"/>
          <w:szCs w:val="32"/>
          <w:highlight w:val="none"/>
          <w:lang w:val="en-US" w:eastAsia="zh-CN" w:bidi="ar"/>
        </w:rPr>
        <w:t>平台。由财政统一列支专项经费，向提供住宿、餐饮、接送服务的经营主体支付对应服务费用；所有符合条件的大件运输企业，无论注册地是否在本地，均可平等申请配套服务，无差别享受协议住宿、就餐、接送保障。多渠道发布口岸大件通关能力、路线条件、补贴政策等信息，提升巴克图口岸大件通关品牌影响力，吸引货源集聚。对参会企业给予费用补贴（企业报名参会人数≥3人），按2000元/次的标准发放，专项用于交通、展位、宣传等费用支出，此项费用限额20万元。补贴额度按所有符合申报条件企业的申报金额同比例分摊兑付。</w:t>
      </w:r>
    </w:p>
    <w:p w14:paraId="3B79BDD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（二）通关查验便利政策</w:t>
      </w:r>
    </w:p>
    <w:p w14:paraId="300ABE9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推行“提前停靠、预约出境”机制，允许大件运输车辆前一晚在深圳路路口集中停放，次日优先出境，实现车辆有序集结；将大件车辆纳入优先查验通道，实行即到即检、快检快放，保障大件设备首批次出境，压缩整体通关时长；同步优化大件通行路线，根据企业实际需求及时清理标识标牌、电线杆等障碍，开通上海路备用路线，避免拥堵，全面提升通行效率。三项机制协同发力，构建大件超限跨境运输全链条便利化通关服务体系。</w:t>
      </w:r>
    </w:p>
    <w:p w14:paraId="4A34BF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b/>
          <w:bCs/>
          <w:color w:val="000000"/>
          <w:kern w:val="0"/>
          <w:sz w:val="32"/>
          <w:szCs w:val="32"/>
          <w:lang w:val="en-US" w:eastAsia="zh-CN" w:bidi="ar"/>
        </w:rPr>
      </w:pPr>
      <w:r>
        <w:rPr>
          <w:rFonts w:hint="eastAsia" w:ascii="仿宋_GB2312" w:hAnsi="仿宋_GB2312" w:eastAsia="仿宋_GB2312" w:cs="仿宋_GB2312"/>
          <w:b/>
          <w:bCs/>
          <w:color w:val="000000"/>
          <w:kern w:val="0"/>
          <w:sz w:val="32"/>
          <w:szCs w:val="32"/>
          <w:lang w:val="en-US" w:eastAsia="zh-CN" w:bidi="ar"/>
        </w:rPr>
        <w:t>（三）运营补助政策。</w:t>
      </w:r>
    </w:p>
    <w:p w14:paraId="295ABE21">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left"/>
        <w:textAlignment w:val="auto"/>
        <w:rPr>
          <w:rFonts w:hint="default" w:ascii="仿宋_GB2312" w:hAnsi="仿宋_GB2312" w:eastAsia="仿宋_GB2312" w:cs="仿宋_GB2312"/>
          <w:b w:val="0"/>
          <w:bCs w:val="0"/>
          <w:color w:val="000000"/>
          <w:kern w:val="2"/>
          <w:sz w:val="32"/>
          <w:szCs w:val="32"/>
          <w:highlight w:val="none"/>
          <w:lang w:val="en-US" w:eastAsia="zh-CN" w:bidi="ar-SA"/>
        </w:rPr>
      </w:pPr>
      <w:r>
        <w:rPr>
          <w:rStyle w:val="7"/>
          <w:rFonts w:hint="eastAsia" w:ascii="仿宋_GB2312" w:hAnsi="仿宋_GB2312" w:eastAsia="仿宋_GB2312" w:cs="仿宋_GB2312"/>
          <w:b/>
          <w:bCs/>
          <w:color w:val="auto"/>
          <w:sz w:val="32"/>
          <w:szCs w:val="32"/>
          <w:highlight w:val="none"/>
          <w:lang w:val="en-US" w:eastAsia="zh-CN"/>
        </w:rPr>
        <w:t>1.跨境超限运输补助：</w:t>
      </w:r>
      <w:r>
        <w:rPr>
          <w:rFonts w:hint="eastAsia" w:ascii="仿宋_GB2312" w:hAnsi="仿宋_GB2312" w:eastAsia="仿宋_GB2312" w:cs="仿宋_GB2312"/>
          <w:color w:val="auto"/>
          <w:sz w:val="32"/>
          <w:szCs w:val="32"/>
          <w:highlight w:val="none"/>
          <w:lang w:val="en-US" w:eastAsia="zh-CN"/>
        </w:rPr>
        <w:t>按照大件设备通关车辆次数或者办理的境外超限车辆通行许可证费用的5%进行补贴，具体为8</w:t>
      </w:r>
      <w:r>
        <w:rPr>
          <w:rFonts w:hint="eastAsia" w:ascii="仿宋_GB2312" w:hAnsi="仿宋_GB2312" w:eastAsia="仿宋_GB2312" w:cs="仿宋_GB2312"/>
          <w:b/>
          <w:bCs/>
          <w:color w:val="auto"/>
          <w:kern w:val="0"/>
          <w:sz w:val="32"/>
          <w:szCs w:val="32"/>
          <w:highlight w:val="none"/>
          <w:lang w:val="en-US" w:eastAsia="zh-CN" w:bidi="ar"/>
        </w:rPr>
        <w:t>00</w:t>
      </w:r>
      <w:r>
        <w:rPr>
          <w:rStyle w:val="7"/>
          <w:rFonts w:hint="eastAsia" w:ascii="仿宋_GB2312" w:hAnsi="仿宋_GB2312" w:eastAsia="仿宋_GB2312" w:cs="仿宋_GB2312"/>
          <w:b/>
          <w:bCs/>
          <w:color w:val="auto"/>
          <w:sz w:val="32"/>
          <w:szCs w:val="32"/>
          <w:highlight w:val="none"/>
        </w:rPr>
        <w:t>元/辆</w:t>
      </w:r>
      <w:r>
        <w:rPr>
          <w:rStyle w:val="7"/>
          <w:rFonts w:hint="eastAsia" w:ascii="仿宋_GB2312" w:hAnsi="仿宋_GB2312" w:eastAsia="仿宋_GB2312" w:cs="仿宋_GB2312"/>
          <w:b w:val="0"/>
          <w:bCs w:val="0"/>
          <w:color w:val="auto"/>
          <w:sz w:val="32"/>
          <w:szCs w:val="32"/>
          <w:highlight w:val="none"/>
          <w:lang w:val="en-US" w:eastAsia="zh-CN"/>
        </w:rPr>
        <w:t>或</w:t>
      </w:r>
      <w:r>
        <w:rPr>
          <w:rStyle w:val="7"/>
          <w:rFonts w:hint="eastAsia" w:ascii="仿宋_GB2312" w:hAnsi="仿宋_GB2312" w:eastAsia="仿宋_GB2312" w:cs="仿宋_GB2312"/>
          <w:b/>
          <w:bCs/>
          <w:color w:val="auto"/>
          <w:sz w:val="32"/>
          <w:szCs w:val="32"/>
          <w:highlight w:val="none"/>
          <w:lang w:val="en-US" w:eastAsia="zh-CN"/>
        </w:rPr>
        <w:t>办证费用*5%，</w:t>
      </w:r>
      <w:r>
        <w:rPr>
          <w:rStyle w:val="7"/>
          <w:rFonts w:hint="eastAsia" w:ascii="仿宋_GB2312" w:hAnsi="仿宋_GB2312" w:eastAsia="仿宋_GB2312" w:cs="仿宋_GB2312"/>
          <w:b w:val="0"/>
          <w:bCs w:val="0"/>
          <w:color w:val="auto"/>
          <w:sz w:val="32"/>
          <w:szCs w:val="32"/>
          <w:highlight w:val="none"/>
          <w:lang w:val="en-US" w:eastAsia="zh-CN"/>
        </w:rPr>
        <w:t>两者之间取最大值，原则上按季度进行结算，每季度补贴总限额最高5万元。</w:t>
      </w:r>
      <w:r>
        <w:rPr>
          <w:rFonts w:hint="eastAsia" w:ascii="仿宋_GB2312" w:hAnsi="仿宋_GB2312" w:eastAsia="仿宋_GB2312" w:cs="仿宋_GB2312"/>
          <w:color w:val="000000"/>
          <w:sz w:val="32"/>
          <w:szCs w:val="32"/>
          <w:lang w:val="en-US" w:eastAsia="zh-CN"/>
        </w:rPr>
        <w:t>实行先申报先受理原则，额度申领完毕即止。</w:t>
      </w:r>
    </w:p>
    <w:p w14:paraId="5E10B23E">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left"/>
        <w:textAlignment w:val="auto"/>
        <w:rPr>
          <w:rFonts w:hint="eastAsia" w:ascii="仿宋_GB2312" w:hAnsi="仿宋_GB2312" w:eastAsia="仿宋_GB2312" w:cs="仿宋_GB2312"/>
          <w:color w:val="000000"/>
          <w:sz w:val="32"/>
          <w:szCs w:val="32"/>
          <w:highlight w:val="none"/>
          <w:lang w:val="en-US" w:eastAsia="zh-CN"/>
        </w:rPr>
      </w:pPr>
      <w:r>
        <w:rPr>
          <w:rStyle w:val="7"/>
          <w:rFonts w:hint="eastAsia" w:ascii="仿宋_GB2312" w:hAnsi="仿宋_GB2312" w:eastAsia="仿宋_GB2312" w:cs="仿宋_GB2312"/>
          <w:b/>
          <w:bCs/>
          <w:color w:val="000000"/>
          <w:sz w:val="32"/>
          <w:szCs w:val="32"/>
          <w:highlight w:val="none"/>
          <w:lang w:val="en-US" w:eastAsia="zh-CN"/>
        </w:rPr>
        <w:t>2.</w:t>
      </w:r>
      <w:r>
        <w:rPr>
          <w:rStyle w:val="7"/>
          <w:rFonts w:hint="eastAsia" w:ascii="仿宋_GB2312" w:hAnsi="仿宋_GB2312" w:eastAsia="仿宋_GB2312" w:cs="仿宋_GB2312"/>
          <w:b/>
          <w:bCs/>
          <w:color w:val="000000"/>
          <w:sz w:val="32"/>
          <w:szCs w:val="32"/>
          <w:highlight w:val="none"/>
        </w:rPr>
        <w:t>堆场与停放优惠</w:t>
      </w:r>
      <w:r>
        <w:rPr>
          <w:rStyle w:val="7"/>
          <w:rFonts w:hint="eastAsia" w:ascii="仿宋_GB2312" w:hAnsi="仿宋_GB2312" w:eastAsia="仿宋_GB2312" w:cs="仿宋_GB2312"/>
          <w:b/>
          <w:bCs/>
          <w:color w:val="000000"/>
          <w:sz w:val="32"/>
          <w:szCs w:val="32"/>
          <w:highlight w:val="none"/>
          <w:lang w:eastAsia="zh-CN"/>
        </w:rPr>
        <w:t>：</w:t>
      </w:r>
      <w:r>
        <w:rPr>
          <w:rFonts w:hint="eastAsia" w:ascii="仿宋_GB2312" w:hAnsi="仿宋_GB2312" w:eastAsia="仿宋_GB2312" w:cs="仿宋_GB2312"/>
          <w:color w:val="000000"/>
          <w:kern w:val="0"/>
          <w:sz w:val="32"/>
          <w:szCs w:val="32"/>
          <w:highlight w:val="none"/>
          <w:lang w:val="en-US" w:eastAsia="zh-CN" w:bidi="ar"/>
        </w:rPr>
        <w:t>对所有在巴克图口岸开展大件出口业务的合规物流企业</w:t>
      </w:r>
      <w:r>
        <w:rPr>
          <w:rFonts w:hint="eastAsia" w:ascii="仿宋_GB2312" w:hAnsi="仿宋_GB2312" w:eastAsia="仿宋_GB2312" w:cs="仿宋_GB2312"/>
          <w:color w:val="000000"/>
          <w:sz w:val="32"/>
          <w:szCs w:val="32"/>
          <w:highlight w:val="none"/>
          <w:lang w:val="en-US" w:eastAsia="zh-CN"/>
        </w:rPr>
        <w:t>堆场给予停放补贴，具体如下：</w:t>
      </w:r>
    </w:p>
    <w:p w14:paraId="6E8B0EC4">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left"/>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一是</w:t>
      </w:r>
      <w:r>
        <w:rPr>
          <w:rFonts w:hint="eastAsia" w:ascii="仿宋_GB2312" w:hAnsi="仿宋_GB2312" w:eastAsia="仿宋_GB2312" w:cs="仿宋_GB2312"/>
          <w:color w:val="000000"/>
          <w:sz w:val="32"/>
          <w:szCs w:val="32"/>
          <w:highlight w:val="none"/>
          <w:lang w:val="en-US" w:eastAsia="zh-CN"/>
        </w:rPr>
        <w:t>对停放时间在3天内（包含3天），给予最高</w:t>
      </w:r>
      <w:r>
        <w:rPr>
          <w:rFonts w:hint="eastAsia" w:ascii="仿宋_GB2312" w:hAnsi="仿宋_GB2312" w:eastAsia="仿宋_GB2312" w:cs="仿宋_GB2312"/>
          <w:b/>
          <w:bCs/>
          <w:color w:val="000000"/>
          <w:sz w:val="32"/>
          <w:szCs w:val="32"/>
          <w:highlight w:val="none"/>
          <w:lang w:val="en-US" w:eastAsia="zh-CN"/>
        </w:rPr>
        <w:t>30%</w:t>
      </w:r>
      <w:r>
        <w:rPr>
          <w:rFonts w:hint="eastAsia" w:ascii="仿宋_GB2312" w:hAnsi="仿宋_GB2312" w:eastAsia="仿宋_GB2312" w:cs="仿宋_GB2312"/>
          <w:color w:val="000000"/>
          <w:sz w:val="32"/>
          <w:szCs w:val="32"/>
          <w:highlight w:val="none"/>
          <w:lang w:val="en-US" w:eastAsia="zh-CN"/>
        </w:rPr>
        <w:t>的停放总费用补贴；</w:t>
      </w:r>
    </w:p>
    <w:p w14:paraId="59B20D10">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left"/>
        <w:textAlignment w:val="auto"/>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b/>
          <w:bCs/>
          <w:color w:val="000000"/>
          <w:sz w:val="32"/>
          <w:szCs w:val="32"/>
          <w:highlight w:val="none"/>
          <w:lang w:val="en-US" w:eastAsia="zh-CN"/>
        </w:rPr>
        <w:t>二是</w:t>
      </w:r>
      <w:r>
        <w:rPr>
          <w:rFonts w:hint="eastAsia" w:ascii="仿宋_GB2312" w:hAnsi="仿宋_GB2312" w:eastAsia="仿宋_GB2312" w:cs="仿宋_GB2312"/>
          <w:color w:val="000000"/>
          <w:sz w:val="32"/>
          <w:szCs w:val="32"/>
          <w:highlight w:val="none"/>
          <w:lang w:val="en-US" w:eastAsia="zh-CN"/>
        </w:rPr>
        <w:t>对停放时间在6天内（包含6天），对3天内产生的停放费用，给予最高</w:t>
      </w:r>
      <w:r>
        <w:rPr>
          <w:rFonts w:hint="eastAsia" w:ascii="仿宋_GB2312" w:hAnsi="仿宋_GB2312" w:eastAsia="仿宋_GB2312" w:cs="仿宋_GB2312"/>
          <w:b/>
          <w:bCs/>
          <w:color w:val="000000"/>
          <w:sz w:val="32"/>
          <w:szCs w:val="32"/>
          <w:highlight w:val="none"/>
          <w:lang w:val="en-US" w:eastAsia="zh-CN"/>
        </w:rPr>
        <w:t>30%</w:t>
      </w:r>
      <w:r>
        <w:rPr>
          <w:rFonts w:hint="eastAsia" w:ascii="仿宋_GB2312" w:hAnsi="仿宋_GB2312" w:eastAsia="仿宋_GB2312" w:cs="仿宋_GB2312"/>
          <w:color w:val="000000"/>
          <w:sz w:val="32"/>
          <w:szCs w:val="32"/>
          <w:highlight w:val="none"/>
          <w:lang w:val="en-US" w:eastAsia="zh-CN"/>
        </w:rPr>
        <w:t>的停放总费用补贴，对超出3天部分产生的停放费用，给予最高2</w:t>
      </w:r>
      <w:r>
        <w:rPr>
          <w:rFonts w:hint="eastAsia" w:ascii="仿宋_GB2312" w:hAnsi="仿宋_GB2312" w:eastAsia="仿宋_GB2312" w:cs="仿宋_GB2312"/>
          <w:b/>
          <w:bCs/>
          <w:color w:val="000000"/>
          <w:sz w:val="32"/>
          <w:szCs w:val="32"/>
          <w:highlight w:val="none"/>
          <w:lang w:val="en-US" w:eastAsia="zh-CN"/>
        </w:rPr>
        <w:t>0%</w:t>
      </w:r>
      <w:r>
        <w:rPr>
          <w:rFonts w:hint="eastAsia" w:ascii="仿宋_GB2312" w:hAnsi="仿宋_GB2312" w:eastAsia="仿宋_GB2312" w:cs="仿宋_GB2312"/>
          <w:color w:val="000000"/>
          <w:sz w:val="32"/>
          <w:szCs w:val="32"/>
          <w:highlight w:val="none"/>
          <w:lang w:val="en-US" w:eastAsia="zh-CN"/>
        </w:rPr>
        <w:t>的停放总费用补贴；</w:t>
      </w:r>
    </w:p>
    <w:p w14:paraId="5A483CC6">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643"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b/>
          <w:bCs/>
          <w:color w:val="000000"/>
          <w:sz w:val="32"/>
          <w:szCs w:val="32"/>
          <w:highlight w:val="none"/>
          <w:lang w:val="en-US" w:eastAsia="zh-CN"/>
        </w:rPr>
        <w:t>三是</w:t>
      </w:r>
      <w:r>
        <w:rPr>
          <w:rFonts w:hint="eastAsia" w:ascii="仿宋_GB2312" w:hAnsi="仿宋_GB2312" w:eastAsia="仿宋_GB2312" w:cs="仿宋_GB2312"/>
          <w:color w:val="000000"/>
          <w:sz w:val="32"/>
          <w:szCs w:val="32"/>
          <w:highlight w:val="none"/>
          <w:lang w:val="en-US" w:eastAsia="zh-CN"/>
        </w:rPr>
        <w:t>对停放时间在10天以内（包含10天），对3天内产生的停放费用，给予最高3</w:t>
      </w:r>
      <w:r>
        <w:rPr>
          <w:rFonts w:hint="eastAsia" w:ascii="仿宋_GB2312" w:hAnsi="仿宋_GB2312" w:eastAsia="仿宋_GB2312" w:cs="仿宋_GB2312"/>
          <w:b/>
          <w:bCs/>
          <w:color w:val="000000"/>
          <w:sz w:val="32"/>
          <w:szCs w:val="32"/>
          <w:highlight w:val="none"/>
          <w:lang w:val="en-US" w:eastAsia="zh-CN"/>
        </w:rPr>
        <w:t>0%</w:t>
      </w:r>
      <w:r>
        <w:rPr>
          <w:rFonts w:hint="eastAsia" w:ascii="仿宋_GB2312" w:hAnsi="仿宋_GB2312" w:eastAsia="仿宋_GB2312" w:cs="仿宋_GB2312"/>
          <w:color w:val="000000"/>
          <w:sz w:val="32"/>
          <w:szCs w:val="32"/>
          <w:highlight w:val="none"/>
          <w:lang w:val="en-US" w:eastAsia="zh-CN"/>
        </w:rPr>
        <w:t>的停放总费用补贴，对3至6天内产生的停放费用，给予最高2</w:t>
      </w:r>
      <w:r>
        <w:rPr>
          <w:rFonts w:hint="eastAsia" w:ascii="仿宋_GB2312" w:hAnsi="仿宋_GB2312" w:eastAsia="仿宋_GB2312" w:cs="仿宋_GB2312"/>
          <w:b/>
          <w:bCs/>
          <w:color w:val="000000"/>
          <w:sz w:val="32"/>
          <w:szCs w:val="32"/>
          <w:highlight w:val="none"/>
          <w:lang w:val="en-US" w:eastAsia="zh-CN"/>
        </w:rPr>
        <w:t>0%</w:t>
      </w:r>
      <w:r>
        <w:rPr>
          <w:rFonts w:hint="eastAsia" w:ascii="仿宋_GB2312" w:hAnsi="仿宋_GB2312" w:eastAsia="仿宋_GB2312" w:cs="仿宋_GB2312"/>
          <w:color w:val="000000"/>
          <w:sz w:val="32"/>
          <w:szCs w:val="32"/>
          <w:highlight w:val="none"/>
          <w:lang w:val="en-US" w:eastAsia="zh-CN"/>
        </w:rPr>
        <w:t>的停放费用补贴，对7-10天内产生的停放费用给予最高1</w:t>
      </w:r>
      <w:r>
        <w:rPr>
          <w:rFonts w:hint="eastAsia" w:ascii="仿宋_GB2312" w:hAnsi="仿宋_GB2312" w:eastAsia="仿宋_GB2312" w:cs="仿宋_GB2312"/>
          <w:b/>
          <w:bCs/>
          <w:color w:val="000000"/>
          <w:sz w:val="32"/>
          <w:szCs w:val="32"/>
          <w:highlight w:val="none"/>
          <w:lang w:val="en-US" w:eastAsia="zh-CN"/>
        </w:rPr>
        <w:t>0%</w:t>
      </w:r>
      <w:r>
        <w:rPr>
          <w:rFonts w:hint="eastAsia" w:ascii="仿宋_GB2312" w:hAnsi="仿宋_GB2312" w:eastAsia="仿宋_GB2312" w:cs="仿宋_GB2312"/>
          <w:color w:val="000000"/>
          <w:sz w:val="32"/>
          <w:szCs w:val="32"/>
          <w:highlight w:val="none"/>
          <w:lang w:val="en-US" w:eastAsia="zh-CN"/>
        </w:rPr>
        <w:t>的停放费用补贴。对停放时间10天以上内产生的停放费用不予补助。</w:t>
      </w:r>
    </w:p>
    <w:p w14:paraId="25A6471E">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rPr>
        <w:t>）交警协同执法</w:t>
      </w:r>
    </w:p>
    <w:p w14:paraId="2BC3339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设立塔城重点开发开放试验区巴克图交警中队，及时开展道路交通执法，全力保障口岸大件设备跨境运输工作，确保道路交通安全，必要时进行道路交通指挥疏导。</w:t>
      </w:r>
    </w:p>
    <w:p w14:paraId="6289805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五</w:t>
      </w:r>
      <w:r>
        <w:rPr>
          <w:rFonts w:hint="eastAsia" w:ascii="仿宋_GB2312" w:hAnsi="仿宋_GB2312" w:eastAsia="仿宋_GB2312" w:cs="仿宋_GB2312"/>
          <w:color w:val="000000"/>
          <w:sz w:val="32"/>
          <w:szCs w:val="32"/>
        </w:rPr>
        <w:t>）点对点协调保障</w:t>
      </w:r>
    </w:p>
    <w:p w14:paraId="7C72DA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val="en-US" w:eastAsia="zh-CN" w:bidi="ar"/>
        </w:rPr>
        <w:t>由试验区管委会牵头建立点对点沟通服务保障机制，及时协调各联检单位间及与哈方巴克特口岸的沟通衔接事宜，畅通协作渠道，保障大件设备高效通关。</w:t>
      </w:r>
    </w:p>
    <w:p w14:paraId="12D0294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三、保障措施</w:t>
      </w:r>
    </w:p>
    <w:p w14:paraId="5EFB5A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lang w:val="en-US" w:eastAsia="zh-CN" w:bidi="ar"/>
        </w:rPr>
        <w:t>一是</w:t>
      </w:r>
      <w:r>
        <w:rPr>
          <w:rFonts w:hint="eastAsia" w:ascii="仿宋_GB2312" w:hAnsi="仿宋_GB2312" w:eastAsia="仿宋_GB2312" w:cs="仿宋_GB2312"/>
          <w:color w:val="000000"/>
          <w:kern w:val="0"/>
          <w:sz w:val="32"/>
          <w:szCs w:val="32"/>
          <w:lang w:val="en-US" w:eastAsia="zh-CN" w:bidi="ar"/>
        </w:rPr>
        <w:t>建立试验区管委会、地区口岸委、海关、边检、联审联办机制，简化补贴申领、通关预约流程。</w:t>
      </w:r>
    </w:p>
    <w:p w14:paraId="523687B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lang w:val="en-US" w:eastAsia="zh-CN" w:bidi="ar"/>
        </w:rPr>
        <w:t>二是</w:t>
      </w:r>
      <w:r>
        <w:rPr>
          <w:rFonts w:hint="eastAsia" w:ascii="仿宋_GB2312" w:hAnsi="仿宋_GB2312" w:eastAsia="仿宋_GB2312" w:cs="仿宋_GB2312"/>
          <w:color w:val="000000"/>
          <w:kern w:val="0"/>
          <w:sz w:val="32"/>
          <w:szCs w:val="32"/>
          <w:lang w:val="en-US" w:eastAsia="zh-CN" w:bidi="ar"/>
        </w:rPr>
        <w:t>加强对哈沟通协调，推动哈方提升大件通关道路承接能力，共建跨境大件绿色通道。</w:t>
      </w:r>
    </w:p>
    <w:p w14:paraId="386B71E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lang w:val="en-US" w:eastAsia="zh-CN" w:bidi="ar"/>
        </w:rPr>
        <w:t>三是</w:t>
      </w:r>
      <w:r>
        <w:rPr>
          <w:rFonts w:hint="eastAsia" w:ascii="仿宋_GB2312" w:hAnsi="仿宋_GB2312" w:eastAsia="仿宋_GB2312" w:cs="仿宋_GB2312"/>
          <w:color w:val="000000"/>
          <w:kern w:val="0"/>
          <w:sz w:val="32"/>
          <w:szCs w:val="32"/>
          <w:lang w:val="en-US" w:eastAsia="zh-CN" w:bidi="ar"/>
        </w:rPr>
        <w:t>落实稳外贸普惠性补贴政策，对所有在巴克图口岸经营大件通关业务的物流企业统一倾斜支持，无差别吸引各类企业集聚运营。</w:t>
      </w:r>
    </w:p>
    <w:p w14:paraId="63AD35B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lang w:val="en-US" w:eastAsia="zh-CN" w:bidi="ar"/>
        </w:rPr>
        <w:t>四是</w:t>
      </w:r>
      <w:r>
        <w:rPr>
          <w:rFonts w:hint="eastAsia" w:ascii="仿宋_GB2312" w:hAnsi="仿宋_GB2312" w:eastAsia="仿宋_GB2312" w:cs="仿宋_GB2312"/>
          <w:color w:val="000000"/>
          <w:kern w:val="0"/>
          <w:sz w:val="32"/>
          <w:szCs w:val="32"/>
          <w:lang w:val="en-US" w:eastAsia="zh-CN" w:bidi="ar"/>
        </w:rPr>
        <w:t>动态优化政策，定期走访企业、收集诉求，持续提升通关便利化水平。</w:t>
      </w:r>
    </w:p>
    <w:p w14:paraId="7A5583A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3" w:firstLineChars="20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b/>
          <w:bCs/>
          <w:color w:val="000000"/>
          <w:kern w:val="0"/>
          <w:sz w:val="32"/>
          <w:szCs w:val="32"/>
          <w:lang w:val="en-US" w:eastAsia="zh-CN" w:bidi="ar"/>
        </w:rPr>
        <w:t>五是</w:t>
      </w:r>
      <w:r>
        <w:rPr>
          <w:rFonts w:hint="eastAsia" w:ascii="仿宋_GB2312" w:hAnsi="仿宋_GB2312" w:eastAsia="仿宋_GB2312" w:cs="仿宋_GB2312"/>
          <w:color w:val="000000"/>
          <w:kern w:val="0"/>
          <w:sz w:val="32"/>
          <w:szCs w:val="32"/>
          <w:lang w:val="en-US" w:eastAsia="zh-CN" w:bidi="ar"/>
        </w:rPr>
        <w:t>交警、交通等执法部门加大园区执法力度，重点督查园区内企业在路边违规停放车辆及设备的情况，依法依规进行处置。</w:t>
      </w:r>
    </w:p>
    <w:p w14:paraId="661684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黑体" w:hAnsi="黑体" w:eastAsia="黑体" w:cs="黑体"/>
          <w:b w:val="0"/>
          <w:bCs w:val="0"/>
          <w:color w:val="auto"/>
          <w:sz w:val="32"/>
          <w:szCs w:val="32"/>
          <w:highlight w:val="none"/>
          <w:lang w:val="en-US" w:eastAsia="zh-CN"/>
        </w:rPr>
        <w:t>四、</w:t>
      </w:r>
      <w:r>
        <w:rPr>
          <w:rFonts w:hint="eastAsia" w:ascii="黑体" w:hAnsi="黑体" w:eastAsia="黑体" w:cs="黑体"/>
          <w:b w:val="0"/>
          <w:bCs w:val="0"/>
          <w:color w:val="auto"/>
          <w:sz w:val="32"/>
          <w:szCs w:val="32"/>
          <w:highlight w:val="none"/>
        </w:rPr>
        <w:t>附则</w:t>
      </w:r>
    </w:p>
    <w:p w14:paraId="05C66E6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本办法由新疆塔城重点开发开放试验区管理委员会、塔城地区口岸管理委员会负责解释。</w:t>
      </w:r>
    </w:p>
    <w:p w14:paraId="0BE7003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default"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本方案自印发之日起施行，有效期为两年。有效期届满前六个月，由新疆塔城重点开发开放试验区管委会、塔城地区口岸管理委员会会同相关部门对实施情况进行评估，根据评估结果决定修改、废止或者继续施行。</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09103A"/>
    <w:rsid w:val="1D0A795B"/>
    <w:rsid w:val="29162C35"/>
    <w:rsid w:val="31AC1108"/>
    <w:rsid w:val="34035E0B"/>
    <w:rsid w:val="342E2ADD"/>
    <w:rsid w:val="43384C7E"/>
    <w:rsid w:val="46F263A1"/>
    <w:rsid w:val="759321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1745</Words>
  <Characters>1781</Characters>
  <Lines>0</Lines>
  <Paragraphs>0</Paragraphs>
  <TotalTime>0</TotalTime>
  <ScaleCrop>false</ScaleCrop>
  <LinksUpToDate>false</LinksUpToDate>
  <CharactersWithSpaces>1781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2026-06-23T10:54:00Z</dcterms:created>
  <dc:creator>forhonor</dc:creator>
  <cp:lastModifiedBy>yesili</cp:lastModifiedBy>
  <dcterms:modified xsi:type="dcterms:W3CDTF">2026-08-07T05:50:20Z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eyJoZGlkIjoiNjgwMzYzNTJhMjFjYWIyOWNkNGYxNDgxMWFiNzk0ZDMiLCJ1c2VySWQiOiIxMDU2NzcyODU4In0=</vt:lpwstr>
  </property>
  <property fmtid="{D5CDD505-2E9C-101B-9397-08002B2CF9AE}" pid="4" name="ICV">
    <vt:lpwstr>8D8D915A8A74447383B71DEF856FAA10_12</vt:lpwstr>
  </property>
</Properties>
</file>