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34B21">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_GBK" w:cs="Times New Roman"/>
          <w:sz w:val="44"/>
          <w:szCs w:val="44"/>
          <w:u w:val="none"/>
        </w:rPr>
      </w:pPr>
      <w:r>
        <w:rPr>
          <w:rFonts w:hint="eastAsia" w:ascii="Times New Roman" w:hAnsi="Times New Roman" w:eastAsia="方正小标宋_GBK" w:cs="Times New Roman"/>
          <w:sz w:val="44"/>
          <w:szCs w:val="44"/>
          <w:u w:val="none"/>
          <w:lang w:eastAsia="zh"/>
        </w:rPr>
        <w:t>塔城</w:t>
      </w:r>
      <w:r>
        <w:rPr>
          <w:rFonts w:hint="default" w:ascii="Times New Roman" w:hAnsi="Times New Roman" w:eastAsia="方正小标宋_GBK" w:cs="Times New Roman"/>
          <w:sz w:val="44"/>
          <w:szCs w:val="44"/>
          <w:u w:val="none"/>
        </w:rPr>
        <w:t>地区新能源</w:t>
      </w:r>
      <w:r>
        <w:rPr>
          <w:rFonts w:hint="default" w:ascii="Times New Roman" w:hAnsi="Times New Roman" w:eastAsia="方正小标宋_GBK" w:cs="Times New Roman"/>
          <w:sz w:val="44"/>
          <w:szCs w:val="44"/>
          <w:u w:val="none"/>
          <w:lang w:eastAsia="zh-CN"/>
        </w:rPr>
        <w:t>、</w:t>
      </w:r>
      <w:r>
        <w:rPr>
          <w:rFonts w:hint="default" w:ascii="Times New Roman" w:hAnsi="Times New Roman" w:eastAsia="方正小标宋_GBK" w:cs="Times New Roman"/>
          <w:sz w:val="44"/>
          <w:szCs w:val="44"/>
          <w:u w:val="none"/>
          <w:lang w:val="en-US" w:eastAsia="zh-CN"/>
        </w:rPr>
        <w:t>储能</w:t>
      </w:r>
      <w:r>
        <w:rPr>
          <w:rFonts w:hint="default" w:ascii="Times New Roman" w:hAnsi="Times New Roman" w:eastAsia="方正小标宋_GBK" w:cs="Times New Roman"/>
          <w:sz w:val="44"/>
          <w:szCs w:val="44"/>
          <w:u w:val="none"/>
        </w:rPr>
        <w:t>项目履约监管及</w:t>
      </w:r>
    </w:p>
    <w:p w14:paraId="2E973BBE">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_GBK" w:cs="Times New Roman"/>
          <w:sz w:val="44"/>
          <w:szCs w:val="44"/>
          <w:u w:val="none"/>
        </w:rPr>
      </w:pPr>
      <w:r>
        <w:rPr>
          <w:rFonts w:hint="default" w:ascii="Times New Roman" w:hAnsi="Times New Roman" w:eastAsia="方正小标宋_GBK" w:cs="Times New Roman"/>
          <w:sz w:val="44"/>
          <w:szCs w:val="44"/>
          <w:u w:val="none"/>
        </w:rPr>
        <w:t>退出管理暂行办法</w:t>
      </w:r>
      <w:r>
        <w:rPr>
          <w:rFonts w:hint="default" w:ascii="Times New Roman" w:hAnsi="Times New Roman" w:eastAsia="方正小标宋_GBK" w:cs="Times New Roman"/>
          <w:sz w:val="44"/>
          <w:szCs w:val="44"/>
          <w:lang w:eastAsia="zh"/>
        </w:rPr>
        <w:t>（征求意见稿）</w:t>
      </w:r>
    </w:p>
    <w:p w14:paraId="5709BE73">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z w:val="32"/>
          <w:szCs w:val="32"/>
          <w:u w:val="none"/>
        </w:rPr>
      </w:pPr>
    </w:p>
    <w:p w14:paraId="2377B874">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u w:val="none"/>
        </w:rPr>
        <w:t>第一条</w:t>
      </w:r>
      <w:r>
        <w:rPr>
          <w:rFonts w:hint="default" w:ascii="Times New Roman" w:hAnsi="Times New Roman" w:eastAsia="楷体_GB2312" w:cs="Times New Roman"/>
          <w:sz w:val="32"/>
          <w:szCs w:val="32"/>
          <w:u w:val="none"/>
        </w:rPr>
        <w:t xml:space="preserve"> </w:t>
      </w:r>
      <w:r>
        <w:rPr>
          <w:rFonts w:hint="default" w:ascii="Times New Roman" w:hAnsi="Times New Roman" w:eastAsia="仿宋_GB2312" w:cs="Times New Roman"/>
          <w:sz w:val="32"/>
          <w:szCs w:val="32"/>
          <w:u w:val="none"/>
        </w:rPr>
        <w:t>为规范全地区风电、光伏发电、新型</w:t>
      </w:r>
      <w:r>
        <w:rPr>
          <w:rFonts w:hint="default" w:ascii="Times New Roman" w:hAnsi="Times New Roman" w:eastAsia="仿宋_GB2312" w:cs="Times New Roman"/>
          <w:sz w:val="32"/>
          <w:szCs w:val="32"/>
          <w:u w:val="none"/>
          <w:lang w:val="en-US" w:eastAsia="zh-CN"/>
        </w:rPr>
        <w:t>独立</w:t>
      </w:r>
      <w:r>
        <w:rPr>
          <w:rFonts w:hint="default" w:ascii="Times New Roman" w:hAnsi="Times New Roman" w:eastAsia="仿宋_GB2312" w:cs="Times New Roman"/>
          <w:sz w:val="32"/>
          <w:szCs w:val="32"/>
          <w:u w:val="none"/>
        </w:rPr>
        <w:t>储</w:t>
      </w:r>
      <w:r>
        <w:rPr>
          <w:rFonts w:hint="default" w:ascii="Times New Roman" w:hAnsi="Times New Roman" w:eastAsia="仿宋_GB2312" w:cs="Times New Roman"/>
          <w:sz w:val="32"/>
          <w:szCs w:val="32"/>
          <w:highlight w:val="none"/>
          <w:u w:val="none"/>
        </w:rPr>
        <w:t>能</w:t>
      </w:r>
      <w:r>
        <w:rPr>
          <w:rFonts w:hint="eastAsia" w:ascii="Times New Roman" w:hAnsi="Times New Roman" w:eastAsia="仿宋_GB2312" w:cs="Times New Roman"/>
          <w:sz w:val="32"/>
          <w:szCs w:val="32"/>
          <w:highlight w:val="none"/>
          <w:u w:val="none"/>
          <w:lang w:eastAsia="zh"/>
        </w:rPr>
        <w:t>等</w:t>
      </w:r>
      <w:r>
        <w:rPr>
          <w:rFonts w:hint="default" w:ascii="Times New Roman" w:hAnsi="Times New Roman" w:eastAsia="仿宋_GB2312" w:cs="Times New Roman"/>
          <w:sz w:val="32"/>
          <w:szCs w:val="32"/>
          <w:highlight w:val="none"/>
          <w:u w:val="none"/>
        </w:rPr>
        <w:t>项目开发建设秩序，压实投资企业履约主体责任，坚决整治占而不建、拖延滞后、违规转让、拒不履诺等突出问题，盘活新能源资源、并网</w:t>
      </w:r>
      <w:r>
        <w:rPr>
          <w:rFonts w:hint="default" w:ascii="Times New Roman" w:hAnsi="Times New Roman" w:eastAsia="仿宋_GB2312" w:cs="Times New Roman"/>
          <w:sz w:val="32"/>
          <w:szCs w:val="32"/>
          <w:highlight w:val="none"/>
          <w:u w:val="none"/>
          <w:lang w:val="en-US" w:eastAsia="zh-CN"/>
        </w:rPr>
        <w:t>空间</w:t>
      </w:r>
      <w:r>
        <w:rPr>
          <w:rFonts w:hint="default" w:ascii="Times New Roman" w:hAnsi="Times New Roman" w:eastAsia="仿宋_GB2312" w:cs="Times New Roman"/>
          <w:sz w:val="32"/>
          <w:szCs w:val="32"/>
          <w:highlight w:val="none"/>
          <w:u w:val="none"/>
        </w:rPr>
        <w:t>，优化产业发展生态，保障新能源产业规范有序、高质量发展，</w:t>
      </w:r>
      <w:r>
        <w:rPr>
          <w:rFonts w:hint="eastAsia" w:ascii="Times New Roman" w:hAnsi="Times New Roman" w:eastAsia="仿宋_GB2312" w:cs="Times New Roman"/>
          <w:sz w:val="32"/>
          <w:szCs w:val="32"/>
          <w:highlight w:val="none"/>
          <w:u w:val="none"/>
          <w:lang w:eastAsia="zh"/>
        </w:rPr>
        <w:t>根据</w:t>
      </w:r>
      <w:r>
        <w:rPr>
          <w:rFonts w:hint="eastAsia" w:ascii="Times New Roman" w:hAnsi="Times New Roman" w:eastAsia="仿宋_GB2312" w:cs="Times New Roman"/>
          <w:sz w:val="32"/>
          <w:szCs w:val="32"/>
          <w:highlight w:val="none"/>
          <w:u w:val="none"/>
          <w:lang w:val="en-US" w:eastAsia="zh"/>
        </w:rPr>
        <w:t>《中华人民共和国能源法》、《中华人民共和国电力法》、《电力监管条例》、《能源行业公共信用信息管理办法》(国能发资质规〔2025〕109号)、《关于提高新能源发展韧性加快构建新型电力系统的通知》(新发改能源〔2025〕327号)等相关规定，</w:t>
      </w:r>
      <w:r>
        <w:rPr>
          <w:rFonts w:hint="default" w:ascii="Times New Roman" w:hAnsi="Times New Roman" w:eastAsia="仿宋_GB2312" w:cs="Times New Roman"/>
          <w:sz w:val="32"/>
          <w:szCs w:val="32"/>
          <w:highlight w:val="none"/>
          <w:u w:val="none"/>
        </w:rPr>
        <w:t>结合地区实际，制定本办法。</w:t>
      </w:r>
    </w:p>
    <w:p w14:paraId="08F1596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highlight w:val="none"/>
          <w:u w:val="none"/>
        </w:rPr>
        <w:t xml:space="preserve">第二条 </w:t>
      </w:r>
      <w:r>
        <w:rPr>
          <w:rFonts w:hint="default" w:ascii="Times New Roman" w:hAnsi="Times New Roman" w:eastAsia="仿宋_GB2312" w:cs="Times New Roman"/>
          <w:sz w:val="32"/>
          <w:szCs w:val="32"/>
          <w:highlight w:val="none"/>
          <w:u w:val="none"/>
        </w:rPr>
        <w:t>本办法适用于本行政区域内已</w:t>
      </w:r>
      <w:r>
        <w:rPr>
          <w:rFonts w:hint="default" w:ascii="Times New Roman" w:hAnsi="Times New Roman" w:eastAsia="仿宋_GB2312" w:cs="Times New Roman"/>
          <w:sz w:val="32"/>
          <w:szCs w:val="32"/>
          <w:highlight w:val="none"/>
          <w:u w:val="none"/>
          <w:lang w:val="en-US" w:eastAsia="zh-CN"/>
        </w:rPr>
        <w:t>获得</w:t>
      </w:r>
      <w:r>
        <w:rPr>
          <w:rFonts w:hint="default" w:ascii="Times New Roman" w:hAnsi="Times New Roman" w:eastAsia="仿宋_GB2312" w:cs="Times New Roman"/>
          <w:sz w:val="32"/>
          <w:szCs w:val="32"/>
          <w:highlight w:val="none"/>
          <w:u w:val="none"/>
        </w:rPr>
        <w:t>备案</w:t>
      </w:r>
      <w:r>
        <w:rPr>
          <w:rFonts w:hint="default" w:ascii="Times New Roman" w:hAnsi="Times New Roman" w:eastAsia="仿宋_GB2312" w:cs="Times New Roman"/>
          <w:sz w:val="32"/>
          <w:szCs w:val="32"/>
          <w:highlight w:val="none"/>
          <w:u w:val="none"/>
          <w:lang w:val="en-US" w:eastAsia="zh-CN"/>
        </w:rPr>
        <w:t>的</w:t>
      </w:r>
      <w:r>
        <w:rPr>
          <w:rFonts w:hint="default" w:ascii="Times New Roman" w:hAnsi="Times New Roman" w:eastAsia="仿宋_GB2312" w:cs="Times New Roman"/>
          <w:sz w:val="32"/>
          <w:szCs w:val="32"/>
          <w:highlight w:val="none"/>
          <w:u w:val="none"/>
        </w:rPr>
        <w:t>市场化并网的新能源项目</w:t>
      </w:r>
      <w:r>
        <w:rPr>
          <w:rFonts w:hint="default" w:ascii="Times New Roman" w:hAnsi="Times New Roman" w:eastAsia="仿宋_GB2312" w:cs="Times New Roman"/>
          <w:sz w:val="32"/>
          <w:szCs w:val="32"/>
          <w:highlight w:val="none"/>
          <w:u w:val="none"/>
          <w:lang w:val="en-US" w:eastAsia="zh-CN"/>
        </w:rPr>
        <w:t>及新型独立储能项目法人单位</w:t>
      </w:r>
      <w:r>
        <w:rPr>
          <w:rFonts w:hint="default" w:ascii="Times New Roman" w:hAnsi="Times New Roman" w:eastAsia="仿宋_GB2312" w:cs="Times New Roman"/>
          <w:sz w:val="32"/>
          <w:szCs w:val="32"/>
          <w:highlight w:val="none"/>
          <w:u w:val="none"/>
        </w:rPr>
        <w:t>。覆盖项目前期</w:t>
      </w:r>
      <w:r>
        <w:rPr>
          <w:rFonts w:hint="default" w:ascii="Times New Roman" w:hAnsi="Times New Roman" w:eastAsia="仿宋_GB2312" w:cs="Times New Roman"/>
          <w:sz w:val="32"/>
          <w:szCs w:val="32"/>
          <w:u w:val="none"/>
        </w:rPr>
        <w:t>、开工建设、竣工并网、运营履约</w:t>
      </w:r>
      <w:r>
        <w:rPr>
          <w:rFonts w:hint="default" w:ascii="Times New Roman" w:hAnsi="Times New Roman" w:eastAsia="仿宋_GB2312" w:cs="Times New Roman"/>
          <w:sz w:val="32"/>
          <w:szCs w:val="32"/>
          <w:u w:val="none"/>
          <w:lang w:val="en-US" w:eastAsia="zh-CN"/>
        </w:rPr>
        <w:t>、关联产业建设投运等</w:t>
      </w:r>
      <w:r>
        <w:rPr>
          <w:rFonts w:hint="default" w:ascii="Times New Roman" w:hAnsi="Times New Roman" w:eastAsia="仿宋_GB2312" w:cs="Times New Roman"/>
          <w:sz w:val="32"/>
          <w:szCs w:val="32"/>
          <w:u w:val="none"/>
        </w:rPr>
        <w:t>全周期监管，适用自愿退出、整改退出、强制退出三类处置情形。</w:t>
      </w:r>
    </w:p>
    <w:p w14:paraId="4C9F6C2C">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第三条</w:t>
      </w:r>
      <w:r>
        <w:rPr>
          <w:rFonts w:hint="default" w:ascii="Times New Roman" w:hAnsi="Times New Roman" w:eastAsia="仿宋_GB2312" w:cs="Times New Roman"/>
          <w:sz w:val="32"/>
          <w:szCs w:val="32"/>
          <w:u w:val="none"/>
        </w:rPr>
        <w:t xml:space="preserve"> 职责分工</w:t>
      </w:r>
    </w:p>
    <w:p w14:paraId="3E3D316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（一）地区发展改革委：牵头统筹项目履诺考核、失信认定、退出审核、指标收回、核准备案废止、行业失信名录及扣分考评管理。</w:t>
      </w:r>
    </w:p>
    <w:p w14:paraId="6D1AC9B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w:t>
      </w:r>
      <w:r>
        <w:rPr>
          <w:rFonts w:hint="default" w:ascii="Times New Roman" w:hAnsi="Times New Roman" w:eastAsia="仿宋_GB2312" w:cs="Times New Roman"/>
          <w:sz w:val="32"/>
          <w:szCs w:val="32"/>
          <w:u w:val="none"/>
          <w:lang w:val="en-US" w:eastAsia="zh-CN"/>
        </w:rPr>
        <w:t>地区</w:t>
      </w:r>
      <w:r>
        <w:rPr>
          <w:rFonts w:hint="default" w:ascii="Times New Roman" w:hAnsi="Times New Roman" w:eastAsia="仿宋_GB2312" w:cs="Times New Roman"/>
          <w:sz w:val="32"/>
          <w:szCs w:val="32"/>
          <w:u w:val="none"/>
        </w:rPr>
        <w:t>自然资源、生态环境、林草、水利</w:t>
      </w:r>
      <w:r>
        <w:rPr>
          <w:rFonts w:hint="eastAsia" w:ascii="Times New Roman" w:hAnsi="Times New Roman" w:eastAsia="仿宋_GB2312" w:cs="Times New Roman"/>
          <w:sz w:val="32"/>
          <w:szCs w:val="32"/>
          <w:u w:val="none"/>
          <w:lang w:eastAsia="zh-CN"/>
        </w:rPr>
        <w:t>等部</w:t>
      </w:r>
      <w:r>
        <w:rPr>
          <w:rFonts w:hint="default" w:ascii="Times New Roman" w:hAnsi="Times New Roman" w:eastAsia="仿宋_GB2312" w:cs="Times New Roman"/>
          <w:sz w:val="32"/>
          <w:szCs w:val="32"/>
          <w:u w:val="none"/>
        </w:rPr>
        <w:t>门：按职责负责用地、规划、林地、环评、水保等法定手续履约核查及违规处置。</w:t>
      </w:r>
    </w:p>
    <w:p w14:paraId="71AEE38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（三）电网企业：负责并网时序、消纳衔接、并网履约情况定期报送，配合现场核查及考评打分。</w:t>
      </w:r>
    </w:p>
    <w:p w14:paraId="5DCC982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（四）各县（市）人民政府</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试验区管委会</w:t>
      </w:r>
      <w:r>
        <w:rPr>
          <w:rFonts w:hint="default" w:ascii="Times New Roman" w:hAnsi="Times New Roman" w:eastAsia="仿宋_GB2312" w:cs="Times New Roman"/>
          <w:sz w:val="32"/>
          <w:szCs w:val="32"/>
          <w:u w:val="none"/>
        </w:rPr>
        <w:t>：负责辖区项目日常巡查、进度督办、现场核查、整改督导，承担项目退出后续属地善后、现场清理、矛盾化解及日常失信线索报送工作。</w:t>
      </w:r>
    </w:p>
    <w:p w14:paraId="508F145A">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第四条</w:t>
      </w:r>
      <w:r>
        <w:rPr>
          <w:rFonts w:hint="default" w:ascii="Times New Roman" w:hAnsi="Times New Roman" w:eastAsia="仿宋_GB2312" w:cs="Times New Roman"/>
          <w:sz w:val="32"/>
          <w:szCs w:val="32"/>
          <w:u w:val="none"/>
        </w:rPr>
        <w:t xml:space="preserve"> 项目</w:t>
      </w:r>
      <w:r>
        <w:rPr>
          <w:rFonts w:hint="default" w:ascii="Times New Roman" w:hAnsi="Times New Roman" w:eastAsia="仿宋_GB2312" w:cs="Times New Roman"/>
          <w:sz w:val="32"/>
          <w:szCs w:val="32"/>
          <w:u w:val="none"/>
          <w:lang w:val="en-US" w:eastAsia="zh-CN"/>
        </w:rPr>
        <w:t>法人单位</w:t>
      </w:r>
      <w:r>
        <w:rPr>
          <w:rFonts w:hint="default" w:ascii="Times New Roman" w:hAnsi="Times New Roman" w:eastAsia="仿宋_GB2312" w:cs="Times New Roman"/>
          <w:sz w:val="32"/>
          <w:szCs w:val="32"/>
          <w:u w:val="none"/>
        </w:rPr>
        <w:t>须全面履行项目申报、投资协议、备案及各类书面承诺，履约内容主要包括：</w:t>
      </w:r>
    </w:p>
    <w:p w14:paraId="02612F2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（一）时序</w:t>
      </w:r>
      <w:r>
        <w:rPr>
          <w:rFonts w:hint="default" w:ascii="Times New Roman" w:hAnsi="Times New Roman" w:eastAsia="仿宋_GB2312" w:cs="Times New Roman"/>
          <w:sz w:val="32"/>
          <w:szCs w:val="32"/>
          <w:u w:val="none"/>
          <w:lang w:val="en-US" w:eastAsia="zh-CN"/>
        </w:rPr>
        <w:t>进度</w:t>
      </w:r>
      <w:r>
        <w:rPr>
          <w:rFonts w:hint="default" w:ascii="Times New Roman" w:hAnsi="Times New Roman" w:eastAsia="仿宋_GB2312" w:cs="Times New Roman"/>
          <w:sz w:val="32"/>
          <w:szCs w:val="32"/>
          <w:u w:val="none"/>
        </w:rPr>
        <w:t>履约：严格按约定时限完成前期手续、开工建设、主体完工、全容量并网，不得无故停滞、拖延工期。</w:t>
      </w:r>
    </w:p>
    <w:p w14:paraId="019C9BE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u w:val="none"/>
        </w:rPr>
        <w:t>（二）规模</w:t>
      </w:r>
      <w:r>
        <w:rPr>
          <w:rFonts w:hint="default" w:ascii="Times New Roman" w:hAnsi="Times New Roman" w:eastAsia="仿宋_GB2312" w:cs="Times New Roman"/>
          <w:sz w:val="32"/>
          <w:szCs w:val="32"/>
          <w:u w:val="none"/>
          <w:lang w:val="en-US" w:eastAsia="zh-CN"/>
        </w:rPr>
        <w:t>及</w:t>
      </w:r>
      <w:r>
        <w:rPr>
          <w:rFonts w:hint="default" w:ascii="Times New Roman" w:hAnsi="Times New Roman" w:eastAsia="仿宋_GB2312" w:cs="Times New Roman"/>
          <w:sz w:val="32"/>
          <w:szCs w:val="32"/>
          <w:u w:val="none"/>
        </w:rPr>
        <w:t>投资履约：严格执行</w:t>
      </w:r>
      <w:r>
        <w:rPr>
          <w:rFonts w:hint="default" w:ascii="Times New Roman" w:hAnsi="Times New Roman" w:eastAsia="仿宋_GB2312" w:cs="Times New Roman"/>
          <w:sz w:val="32"/>
          <w:szCs w:val="32"/>
          <w:u w:val="none"/>
          <w:lang w:val="en-US" w:eastAsia="zh-CN"/>
        </w:rPr>
        <w:t>备案</w:t>
      </w:r>
      <w:r>
        <w:rPr>
          <w:rFonts w:hint="default" w:ascii="Times New Roman" w:hAnsi="Times New Roman" w:eastAsia="仿宋_GB2312" w:cs="Times New Roman"/>
          <w:sz w:val="32"/>
          <w:szCs w:val="32"/>
          <w:u w:val="none"/>
        </w:rPr>
        <w:t>装机、建设布局，足额落实资本金及年度投资，不得擅自缩减装机、拆分项目、变更建设内容</w:t>
      </w:r>
      <w:r>
        <w:rPr>
          <w:rFonts w:hint="eastAsia" w:ascii="Times New Roman" w:hAnsi="Times New Roman" w:eastAsia="仿宋_GB2312" w:cs="Times New Roman"/>
          <w:sz w:val="32"/>
          <w:szCs w:val="32"/>
          <w:u w:val="none"/>
          <w:lang w:eastAsia="zh"/>
        </w:rPr>
        <w:t>、</w:t>
      </w:r>
      <w:r>
        <w:rPr>
          <w:rFonts w:hint="eastAsia" w:ascii="Times New Roman" w:hAnsi="Times New Roman" w:eastAsia="仿宋_GB2312" w:cs="Times New Roman"/>
          <w:sz w:val="32"/>
          <w:szCs w:val="32"/>
          <w:highlight w:val="none"/>
          <w:u w:val="none"/>
          <w:lang w:eastAsia="zh"/>
        </w:rPr>
        <w:t>建设地点、建设范围</w:t>
      </w:r>
      <w:r>
        <w:rPr>
          <w:rFonts w:hint="default" w:ascii="Times New Roman" w:hAnsi="Times New Roman" w:eastAsia="仿宋_GB2312" w:cs="Times New Roman"/>
          <w:sz w:val="32"/>
          <w:szCs w:val="32"/>
          <w:highlight w:val="none"/>
          <w:u w:val="none"/>
        </w:rPr>
        <w:t>。</w:t>
      </w:r>
    </w:p>
    <w:p w14:paraId="11C40BC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（三）手续合规履约：依法办理用地预审、规划选址、林地占用、环评、水保、电力接入等手续，严禁未批先建、边批边建、手续不全开工。</w:t>
      </w:r>
    </w:p>
    <w:p w14:paraId="0EFE3ED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（四）权益转让</w:t>
      </w:r>
      <w:r>
        <w:rPr>
          <w:rFonts w:hint="default" w:ascii="Times New Roman" w:hAnsi="Times New Roman" w:eastAsia="仿宋_GB2312" w:cs="Times New Roman"/>
          <w:sz w:val="32"/>
          <w:szCs w:val="32"/>
          <w:highlight w:val="none"/>
          <w:u w:val="none"/>
          <w:lang w:val="en-US" w:eastAsia="zh-CN"/>
        </w:rPr>
        <w:t>秩序</w:t>
      </w:r>
      <w:r>
        <w:rPr>
          <w:rFonts w:hint="default" w:ascii="Times New Roman" w:hAnsi="Times New Roman" w:eastAsia="仿宋_GB2312" w:cs="Times New Roman"/>
          <w:sz w:val="32"/>
          <w:szCs w:val="32"/>
          <w:highlight w:val="none"/>
          <w:u w:val="none"/>
        </w:rPr>
        <w:t>：严禁囤积资源、倒卖</w:t>
      </w:r>
      <w:r>
        <w:rPr>
          <w:rFonts w:hint="default" w:ascii="Times New Roman" w:hAnsi="Times New Roman" w:eastAsia="仿宋_GB2312" w:cs="Times New Roman"/>
          <w:sz w:val="32"/>
          <w:szCs w:val="32"/>
          <w:highlight w:val="none"/>
          <w:u w:val="none"/>
          <w:lang w:val="en-US" w:eastAsia="zh-CN"/>
        </w:rPr>
        <w:t>项目</w:t>
      </w:r>
      <w:r>
        <w:rPr>
          <w:rFonts w:hint="default" w:ascii="Times New Roman" w:hAnsi="Times New Roman" w:eastAsia="仿宋_GB2312" w:cs="Times New Roman"/>
          <w:sz w:val="32"/>
          <w:szCs w:val="32"/>
          <w:highlight w:val="none"/>
          <w:u w:val="none"/>
        </w:rPr>
        <w:t>、违规转让项目控制权、变相拆分倒卖</w:t>
      </w:r>
      <w:r>
        <w:rPr>
          <w:rFonts w:hint="default" w:ascii="Times New Roman" w:hAnsi="Times New Roman" w:eastAsia="仿宋_GB2312" w:cs="Times New Roman"/>
          <w:sz w:val="32"/>
          <w:szCs w:val="32"/>
          <w:highlight w:val="none"/>
          <w:u w:val="none"/>
          <w:lang w:val="en-US" w:eastAsia="zh-CN"/>
        </w:rPr>
        <w:t>项目</w:t>
      </w:r>
      <w:r>
        <w:rPr>
          <w:rFonts w:hint="default" w:ascii="Times New Roman" w:hAnsi="Times New Roman" w:eastAsia="仿宋_GB2312" w:cs="Times New Roman"/>
          <w:sz w:val="32"/>
          <w:szCs w:val="32"/>
          <w:highlight w:val="none"/>
          <w:u w:val="none"/>
        </w:rPr>
        <w:t>。</w:t>
      </w:r>
    </w:p>
    <w:p w14:paraId="3D83061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highlight w:val="none"/>
          <w:u w:val="none"/>
        </w:rPr>
        <w:t>（五）配套承诺履约：严格落实储能配比、</w:t>
      </w:r>
      <w:r>
        <w:rPr>
          <w:rFonts w:hint="eastAsia" w:ascii="Times New Roman" w:hAnsi="Times New Roman" w:eastAsia="仿宋_GB2312" w:cs="Times New Roman"/>
          <w:sz w:val="32"/>
          <w:szCs w:val="32"/>
          <w:highlight w:val="none"/>
          <w:u w:val="none"/>
          <w:lang w:eastAsia="zh"/>
        </w:rPr>
        <w:t>关联</w:t>
      </w:r>
      <w:r>
        <w:rPr>
          <w:rFonts w:hint="default" w:ascii="Times New Roman" w:hAnsi="Times New Roman" w:eastAsia="仿宋_GB2312" w:cs="Times New Roman"/>
          <w:sz w:val="32"/>
          <w:szCs w:val="32"/>
          <w:highlight w:val="none"/>
          <w:u w:val="none"/>
        </w:rPr>
        <w:t>产业</w:t>
      </w:r>
      <w:r>
        <w:rPr>
          <w:rFonts w:hint="eastAsia" w:ascii="Times New Roman" w:hAnsi="Times New Roman" w:eastAsia="仿宋_GB2312" w:cs="Times New Roman"/>
          <w:sz w:val="32"/>
          <w:szCs w:val="32"/>
          <w:highlight w:val="none"/>
          <w:u w:val="none"/>
          <w:lang w:eastAsia="zh"/>
        </w:rPr>
        <w:t>、电力</w:t>
      </w:r>
      <w:r>
        <w:rPr>
          <w:rFonts w:hint="default" w:ascii="Times New Roman" w:hAnsi="Times New Roman" w:eastAsia="仿宋_GB2312" w:cs="Times New Roman"/>
          <w:sz w:val="32"/>
          <w:szCs w:val="32"/>
          <w:highlight w:val="none"/>
          <w:u w:val="none"/>
          <w:lang w:val="en-US" w:eastAsia="zh-CN"/>
        </w:rPr>
        <w:t>消纳</w:t>
      </w:r>
      <w:r>
        <w:rPr>
          <w:rFonts w:hint="default" w:ascii="Times New Roman" w:hAnsi="Times New Roman" w:eastAsia="仿宋_GB2312" w:cs="Times New Roman"/>
          <w:sz w:val="32"/>
          <w:szCs w:val="32"/>
          <w:highlight w:val="none"/>
          <w:u w:val="none"/>
        </w:rPr>
        <w:t>、就地就业、乡村振兴、</w:t>
      </w:r>
      <w:r>
        <w:rPr>
          <w:rFonts w:hint="eastAsia" w:ascii="Times New Roman" w:hAnsi="Times New Roman" w:eastAsia="仿宋_GB2312" w:cs="Times New Roman"/>
          <w:sz w:val="32"/>
          <w:szCs w:val="32"/>
          <w:highlight w:val="none"/>
          <w:u w:val="none"/>
          <w:lang w:eastAsia="zh"/>
        </w:rPr>
        <w:t>投资税收</w:t>
      </w:r>
      <w:r>
        <w:rPr>
          <w:rFonts w:hint="default" w:ascii="Times New Roman" w:hAnsi="Times New Roman" w:eastAsia="仿宋_GB2312" w:cs="Times New Roman"/>
          <w:sz w:val="32"/>
          <w:szCs w:val="32"/>
          <w:highlight w:val="none"/>
          <w:u w:val="none"/>
        </w:rPr>
        <w:t>等</w:t>
      </w:r>
      <w:r>
        <w:rPr>
          <w:rFonts w:hint="default" w:ascii="Times New Roman" w:hAnsi="Times New Roman" w:eastAsia="仿宋_GB2312" w:cs="Times New Roman"/>
          <w:sz w:val="32"/>
          <w:szCs w:val="32"/>
          <w:u w:val="none"/>
        </w:rPr>
        <w:t>承诺，不得降标、缓建、拒建。</w:t>
      </w:r>
    </w:p>
    <w:p w14:paraId="5D647C3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u w:val="none"/>
        </w:rPr>
        <w:t>（六）</w:t>
      </w:r>
      <w:r>
        <w:rPr>
          <w:rFonts w:hint="default" w:ascii="Times New Roman" w:hAnsi="Times New Roman" w:eastAsia="仿宋_GB2312" w:cs="Times New Roman"/>
          <w:sz w:val="32"/>
          <w:szCs w:val="32"/>
          <w:highlight w:val="none"/>
          <w:u w:val="none"/>
        </w:rPr>
        <w:t>安全环保</w:t>
      </w:r>
      <w:r>
        <w:rPr>
          <w:rFonts w:hint="default" w:ascii="Times New Roman" w:hAnsi="Times New Roman" w:eastAsia="仿宋_GB2312" w:cs="Times New Roman"/>
          <w:sz w:val="32"/>
          <w:szCs w:val="32"/>
          <w:highlight w:val="none"/>
          <w:u w:val="none"/>
          <w:lang w:val="en-US" w:eastAsia="zh-CN"/>
        </w:rPr>
        <w:t>劳资</w:t>
      </w:r>
      <w:r>
        <w:rPr>
          <w:rFonts w:hint="default" w:ascii="Times New Roman" w:hAnsi="Times New Roman" w:eastAsia="仿宋_GB2312" w:cs="Times New Roman"/>
          <w:sz w:val="32"/>
          <w:szCs w:val="32"/>
          <w:highlight w:val="none"/>
          <w:u w:val="none"/>
        </w:rPr>
        <w:t>：落实安全生产和生态保护主体责任，严控施工生态扰动，杜绝重大安全事故、严重生态破坏和环境污染事件</w:t>
      </w:r>
      <w:r>
        <w:rPr>
          <w:rFonts w:hint="default"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eastAsia="zh-CN"/>
        </w:rPr>
        <w:t>严禁</w:t>
      </w:r>
      <w:r>
        <w:rPr>
          <w:rFonts w:hint="default" w:ascii="Times New Roman" w:hAnsi="Times New Roman" w:eastAsia="仿宋_GB2312" w:cs="Times New Roman"/>
          <w:sz w:val="32"/>
          <w:szCs w:val="32"/>
          <w:highlight w:val="none"/>
          <w:u w:val="none"/>
        </w:rPr>
        <w:t>恶意拖欠工程款及农民工工资。</w:t>
      </w:r>
    </w:p>
    <w:p w14:paraId="25CB0D9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（七）</w:t>
      </w:r>
      <w:r>
        <w:rPr>
          <w:rFonts w:hint="default" w:ascii="Times New Roman" w:hAnsi="Times New Roman" w:eastAsia="仿宋_GB2312" w:cs="Times New Roman"/>
          <w:sz w:val="32"/>
          <w:szCs w:val="32"/>
          <w:u w:val="none"/>
          <w:lang w:val="en-US" w:eastAsia="zh-CN"/>
        </w:rPr>
        <w:t>日常监管报送</w:t>
      </w:r>
      <w:r>
        <w:rPr>
          <w:rFonts w:hint="default" w:ascii="Times New Roman" w:hAnsi="Times New Roman" w:eastAsia="仿宋_GB2312" w:cs="Times New Roman"/>
          <w:sz w:val="32"/>
          <w:szCs w:val="32"/>
          <w:u w:val="none"/>
        </w:rPr>
        <w:t>：按要求定期报送投资、进度、手续、并网计划等信息，不得瞒报、虚报、拒报，</w:t>
      </w:r>
      <w:r>
        <w:rPr>
          <w:rFonts w:hint="default" w:ascii="Times New Roman" w:hAnsi="Times New Roman" w:eastAsia="仿宋_GB2312" w:cs="Times New Roman"/>
          <w:sz w:val="32"/>
          <w:szCs w:val="32"/>
          <w:u w:val="none"/>
          <w:lang w:val="en-US" w:eastAsia="zh-CN"/>
        </w:rPr>
        <w:t>定期参加调度、约谈会议，不得长期失联、拒绝现场检查、拒不接受监管</w:t>
      </w:r>
      <w:r>
        <w:rPr>
          <w:rFonts w:hint="default" w:ascii="Times New Roman" w:hAnsi="Times New Roman" w:eastAsia="仿宋_GB2312" w:cs="Times New Roman"/>
          <w:sz w:val="32"/>
          <w:szCs w:val="32"/>
          <w:u w:val="none"/>
        </w:rPr>
        <w:t>。</w:t>
      </w:r>
    </w:p>
    <w:p w14:paraId="6FA3D82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八</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附加整改：严格落实整改措施，不得虚假</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敷衍</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逾期</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拒不落实整改。</w:t>
      </w:r>
    </w:p>
    <w:p w14:paraId="3FB1390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第五条</w:t>
      </w:r>
      <w:r>
        <w:rPr>
          <w:rFonts w:hint="default" w:ascii="Times New Roman" w:hAnsi="Times New Roman" w:eastAsia="仿宋_GB2312" w:cs="Times New Roman"/>
          <w:sz w:val="32"/>
          <w:szCs w:val="32"/>
          <w:u w:val="none"/>
        </w:rPr>
        <w:t xml:space="preserve"> 考评计分总体规则</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实行百分制基准考评，企业初始基准分值100分，按失信情形逐项扣减，扣完为止，不设负分；考评周期为</w:t>
      </w:r>
      <w:r>
        <w:rPr>
          <w:rFonts w:hint="default" w:ascii="Times New Roman" w:hAnsi="Times New Roman" w:eastAsia="仿宋_GB2312" w:cs="Times New Roman"/>
          <w:sz w:val="32"/>
          <w:szCs w:val="32"/>
          <w:u w:val="none"/>
          <w:lang w:val="en-US" w:eastAsia="zh-CN"/>
        </w:rPr>
        <w:t>获得备案后4个月、项目入库形成投资当月、项目入库形成投资后第3个月、项目入库形成投资后第6个月，以此类推开展项目评分直至项目建成具备并网条件后进行最后一次评分。</w:t>
      </w:r>
      <w:r>
        <w:rPr>
          <w:rFonts w:hint="default" w:ascii="Times New Roman" w:hAnsi="Times New Roman" w:eastAsia="仿宋_GB2312" w:cs="Times New Roman"/>
          <w:sz w:val="32"/>
          <w:szCs w:val="32"/>
          <w:u w:val="none"/>
        </w:rPr>
        <w:t>一项目一评分</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同一事项多项违规可叠加扣分；存在虚假整改、敷衍整改、拒不整改的，对应事项加倍扣分。</w:t>
      </w:r>
    </w:p>
    <w:p w14:paraId="6E86C331">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rPr>
        <w:t>第六条</w:t>
      </w:r>
      <w:r>
        <w:rPr>
          <w:rFonts w:hint="default" w:ascii="Times New Roman" w:hAnsi="Times New Roman" w:eastAsia="仿宋_GB2312" w:cs="Times New Roman"/>
          <w:sz w:val="32"/>
          <w:szCs w:val="32"/>
          <w:u w:val="none"/>
        </w:rPr>
        <w:t xml:space="preserve"> 信用等级划分标准</w:t>
      </w:r>
      <w:r>
        <w:rPr>
          <w:rFonts w:hint="default" w:ascii="Times New Roman" w:hAnsi="Times New Roman" w:eastAsia="仿宋_GB2312" w:cs="Times New Roman"/>
          <w:sz w:val="32"/>
          <w:szCs w:val="32"/>
          <w:u w:val="none"/>
          <w:lang w:val="en-US" w:eastAsia="zh-CN"/>
        </w:rPr>
        <w:t>如下：</w:t>
      </w:r>
    </w:p>
    <w:p w14:paraId="363BBDD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守信类：考评得分85分及以上；</w:t>
      </w:r>
    </w:p>
    <w:p w14:paraId="48C35BE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一般失信：考评得分60分—84分；</w:t>
      </w:r>
    </w:p>
    <w:p w14:paraId="3896BC5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严重失信：考评得分60分以下，直接触发项目整改退出或强制退出，列入行业失信黑名单。</w:t>
      </w:r>
    </w:p>
    <w:p w14:paraId="78F7DA2D">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b/>
          <w:bCs/>
          <w:sz w:val="32"/>
          <w:szCs w:val="32"/>
          <w:u w:val="none"/>
          <w:lang w:val="en-US" w:eastAsia="zh-CN"/>
        </w:rPr>
      </w:pPr>
      <w:r>
        <w:rPr>
          <w:rFonts w:hint="default" w:ascii="Times New Roman" w:hAnsi="Times New Roman" w:eastAsia="仿宋_GB2312" w:cs="Times New Roman"/>
          <w:b/>
          <w:bCs/>
          <w:sz w:val="32"/>
          <w:szCs w:val="32"/>
          <w:u w:val="none"/>
          <w:lang w:val="en-US" w:eastAsia="zh-CN"/>
        </w:rPr>
        <w:t xml:space="preserve">第七条 </w:t>
      </w:r>
      <w:r>
        <w:rPr>
          <w:rFonts w:hint="default" w:ascii="Times New Roman" w:hAnsi="Times New Roman" w:eastAsia="仿宋_GB2312" w:cs="Times New Roman"/>
          <w:b w:val="0"/>
          <w:bCs w:val="0"/>
          <w:sz w:val="32"/>
          <w:szCs w:val="32"/>
          <w:u w:val="none"/>
          <w:lang w:val="en-US" w:eastAsia="zh-CN"/>
        </w:rPr>
        <w:t>评分内容详见企业履约考评表</w:t>
      </w:r>
    </w:p>
    <w:p w14:paraId="36CC0A11">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b/>
          <w:bCs/>
          <w:sz w:val="32"/>
          <w:szCs w:val="32"/>
          <w:u w:val="none"/>
        </w:rPr>
        <w:t>第八条</w:t>
      </w:r>
      <w:r>
        <w:rPr>
          <w:rFonts w:hint="default" w:ascii="Times New Roman" w:hAnsi="Times New Roman" w:eastAsia="仿宋_GB2312" w:cs="Times New Roman"/>
          <w:sz w:val="32"/>
          <w:szCs w:val="32"/>
          <w:u w:val="none"/>
        </w:rPr>
        <w:t xml:space="preserve"> 评分等级对应处置措施</w:t>
      </w:r>
      <w:r>
        <w:rPr>
          <w:rFonts w:hint="default" w:ascii="Times New Roman" w:hAnsi="Times New Roman" w:eastAsia="仿宋_GB2312" w:cs="Times New Roman"/>
          <w:sz w:val="32"/>
          <w:szCs w:val="32"/>
          <w:u w:val="none"/>
          <w:lang w:eastAsia="zh-CN"/>
        </w:rPr>
        <w:t>。</w:t>
      </w:r>
    </w:p>
    <w:p w14:paraId="3E982B1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守信（85分及以上）：优先推荐参与后续新能源项目申报；同等条件优先保障并网消纳及建设时序；优先参与行业评优及政策倾斜支持。</w:t>
      </w:r>
    </w:p>
    <w:p w14:paraId="0E109DD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一般失信（60—84分）：约谈企业负责人、行业内部通报；列入重点监管台账，实行按月调度</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建成并网项目不予并网，并给与项目延期并网惩戒</w:t>
      </w:r>
      <w:r>
        <w:rPr>
          <w:rFonts w:hint="default" w:ascii="Times New Roman" w:hAnsi="Times New Roman" w:eastAsia="仿宋_GB2312" w:cs="Times New Roman"/>
          <w:sz w:val="32"/>
          <w:szCs w:val="32"/>
          <w:u w:val="none"/>
        </w:rPr>
        <w:t>；暂停受理该企业本区域下一年度新增项目申报；取消年度评优</w:t>
      </w:r>
      <w:r>
        <w:rPr>
          <w:rFonts w:hint="eastAsia" w:ascii="Times New Roman" w:hAnsi="Times New Roman" w:eastAsia="仿宋_GB2312" w:cs="Times New Roman"/>
          <w:sz w:val="32"/>
          <w:szCs w:val="32"/>
          <w:u w:val="none"/>
          <w:lang w:eastAsia="zh-CN"/>
        </w:rPr>
        <w:t>（相关行业奖励）</w:t>
      </w:r>
      <w:r>
        <w:rPr>
          <w:rFonts w:hint="default" w:ascii="Times New Roman" w:hAnsi="Times New Roman" w:eastAsia="仿宋_GB2312" w:cs="Times New Roman"/>
          <w:sz w:val="32"/>
          <w:szCs w:val="32"/>
          <w:u w:val="none"/>
        </w:rPr>
        <w:t>和优先配置资格。</w:t>
      </w:r>
    </w:p>
    <w:p w14:paraId="0F55448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none"/>
        </w:rPr>
        <w:t>严重失信（60分以下）：立即启动整改退出或强制退出程序；依规废止项目备案、无偿收回建设指标及开发资源；</w:t>
      </w:r>
      <w:r>
        <w:rPr>
          <w:rFonts w:hint="default" w:ascii="Times New Roman" w:hAnsi="Times New Roman" w:eastAsia="仿宋_GB2312" w:cs="Times New Roman"/>
          <w:sz w:val="32"/>
          <w:szCs w:val="32"/>
          <w:u w:val="single"/>
        </w:rPr>
        <w:t>列入地区新能源行业失信主体黑名单，</w:t>
      </w:r>
      <w:r>
        <w:rPr>
          <w:rFonts w:hint="eastAsia" w:ascii="Times New Roman" w:hAnsi="Times New Roman" w:eastAsia="仿宋_GB2312" w:cs="Times New Roman"/>
          <w:sz w:val="32"/>
          <w:szCs w:val="32"/>
          <w:u w:val="single"/>
          <w:lang w:eastAsia="zh"/>
        </w:rPr>
        <w:t>2</w:t>
      </w:r>
      <w:r>
        <w:rPr>
          <w:rFonts w:hint="default" w:ascii="Times New Roman" w:hAnsi="Times New Roman" w:eastAsia="仿宋_GB2312" w:cs="Times New Roman"/>
          <w:sz w:val="32"/>
          <w:szCs w:val="32"/>
          <w:u w:val="single"/>
        </w:rPr>
        <w:t>年内禁止参与本区域任何新能源项目申报、竞争性配置、资源获取及项目开发。</w:t>
      </w:r>
    </w:p>
    <w:p w14:paraId="74EEB9E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第九条</w:t>
      </w:r>
      <w:r>
        <w:rPr>
          <w:rFonts w:hint="default" w:ascii="Times New Roman" w:hAnsi="Times New Roman" w:eastAsia="仿宋_GB2312" w:cs="Times New Roman"/>
          <w:sz w:val="32"/>
          <w:szCs w:val="32"/>
          <w:u w:val="none"/>
        </w:rPr>
        <w:t xml:space="preserve"> 自愿退出</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rPr>
        <w:t>企业因市场变化、投资战略调整、消纳条件受限、要素无法落地等正当理由，主动书面申请放弃项目开发的，按程序办理自愿退出。</w:t>
      </w:r>
    </w:p>
    <w:p w14:paraId="5C51A26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第十条</w:t>
      </w:r>
      <w:r>
        <w:rPr>
          <w:rFonts w:hint="default" w:ascii="Times New Roman" w:hAnsi="Times New Roman" w:eastAsia="仿宋_GB2312" w:cs="Times New Roman"/>
          <w:sz w:val="32"/>
          <w:szCs w:val="32"/>
          <w:u w:val="none"/>
        </w:rPr>
        <w:t xml:space="preserve"> 整改退出</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项目存在建设滞后、手续缓慢、配套事项未按期落实等轻微失信，考评落入一般失信档次，经研判未达直接强制退出标准，但影响年度建设及并网时序的，列入重点监管、限期整改；逾期考评仍不达标的，启动整改退出。</w:t>
      </w:r>
    </w:p>
    <w:p w14:paraId="2AF4FAB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第十一条</w:t>
      </w:r>
      <w:r>
        <w:rPr>
          <w:rFonts w:hint="default" w:ascii="Times New Roman" w:hAnsi="Times New Roman" w:eastAsia="仿宋_GB2312" w:cs="Times New Roman"/>
          <w:sz w:val="32"/>
          <w:szCs w:val="32"/>
          <w:u w:val="none"/>
        </w:rPr>
        <w:t xml:space="preserve"> 强制退出</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有下列情形之一，考评直接扣至0分、认定为严重失信，直接启动强制退出，收回资源及并网指标：</w:t>
      </w:r>
    </w:p>
    <w:p w14:paraId="54342FE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（一）项目备案后</w:t>
      </w:r>
      <w:r>
        <w:rPr>
          <w:rFonts w:hint="default" w:ascii="Times New Roman" w:hAnsi="Times New Roman" w:eastAsia="仿宋_GB2312" w:cs="Times New Roman"/>
          <w:b/>
          <w:bCs/>
          <w:sz w:val="32"/>
          <w:szCs w:val="32"/>
          <w:u w:val="none"/>
          <w:lang w:val="en-US" w:eastAsia="zh-CN"/>
        </w:rPr>
        <w:t>18个月</w:t>
      </w:r>
      <w:r>
        <w:rPr>
          <w:rFonts w:hint="default" w:ascii="Times New Roman" w:hAnsi="Times New Roman" w:eastAsia="仿宋_GB2312" w:cs="Times New Roman"/>
          <w:sz w:val="32"/>
          <w:szCs w:val="32"/>
          <w:u w:val="none"/>
        </w:rPr>
        <w:t>内无实质开工建设，经约谈、督办、预警仍无实质推进的；</w:t>
      </w:r>
    </w:p>
    <w:p w14:paraId="237889B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（二）已开工项目严重滞后，超出约定并网时限6个月及以上，整改后仍无法按期全容量并网的；</w:t>
      </w:r>
    </w:p>
    <w:p w14:paraId="54CB36E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（三）未经批准擅自变更选址、装机规模、开发主体，违规股权转让、变相倒卖项目权益的；</w:t>
      </w:r>
    </w:p>
    <w:p w14:paraId="37BA113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（四）未按政策及承诺配套储能、关联产业及配套工程，拒不整改、敷衍整改、整改不达标的；</w:t>
      </w:r>
    </w:p>
    <w:p w14:paraId="0FC8A59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（五）未依法办理林地、用地、环评、水保等手续违规建设，且无法补办、无法整改到位的；</w:t>
      </w:r>
    </w:p>
    <w:p w14:paraId="4F328BD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（六）施工及运营期发生</w:t>
      </w:r>
      <w:r>
        <w:rPr>
          <w:rFonts w:hint="eastAsia" w:ascii="Times New Roman" w:hAnsi="Times New Roman" w:eastAsia="仿宋_GB2312" w:cs="Times New Roman"/>
          <w:sz w:val="32"/>
          <w:szCs w:val="32"/>
          <w:highlight w:val="none"/>
          <w:u w:val="none"/>
          <w:lang w:eastAsia="zh-CN"/>
        </w:rPr>
        <w:t>较大</w:t>
      </w:r>
      <w:r>
        <w:rPr>
          <w:rFonts w:hint="default" w:ascii="Times New Roman" w:hAnsi="Times New Roman" w:eastAsia="仿宋_GB2312" w:cs="Times New Roman"/>
          <w:sz w:val="32"/>
          <w:szCs w:val="32"/>
          <w:u w:val="none"/>
        </w:rPr>
        <w:t>安全生产事故、造成严重生态</w:t>
      </w:r>
      <w:r>
        <w:rPr>
          <w:rFonts w:hint="eastAsia" w:ascii="Times New Roman" w:hAnsi="Times New Roman" w:eastAsia="仿宋_GB2312" w:cs="Times New Roman"/>
          <w:sz w:val="32"/>
          <w:szCs w:val="32"/>
          <w:highlight w:val="none"/>
          <w:u w:val="none"/>
          <w:lang w:eastAsia="zh-CN"/>
        </w:rPr>
        <w:t>破坏</w:t>
      </w:r>
      <w:r>
        <w:rPr>
          <w:rFonts w:hint="default" w:ascii="Times New Roman" w:hAnsi="Times New Roman" w:eastAsia="仿宋_GB2312" w:cs="Times New Roman"/>
          <w:sz w:val="32"/>
          <w:szCs w:val="32"/>
          <w:u w:val="none"/>
        </w:rPr>
        <w:t>及不良社会影响的；</w:t>
      </w:r>
    </w:p>
    <w:p w14:paraId="2D524FF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（七）恶意拖欠工程款、农民工工资，经主管部门督办仍拒不落实清偿整改的；</w:t>
      </w:r>
    </w:p>
    <w:p w14:paraId="1BB5B0F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（八）长期失联、拒不接受行业监管、不按要求报送进度资料、多次约谈无果的；</w:t>
      </w:r>
    </w:p>
    <w:p w14:paraId="0586A76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（九）其他违反投资协议、产业政策、并网管理规定应当退出的情形。</w:t>
      </w:r>
    </w:p>
    <w:p w14:paraId="2297C040">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第十二条</w:t>
      </w:r>
      <w:r>
        <w:rPr>
          <w:rFonts w:hint="default" w:ascii="Times New Roman" w:hAnsi="Times New Roman" w:eastAsia="仿宋_GB2312" w:cs="Times New Roman"/>
          <w:sz w:val="32"/>
          <w:szCs w:val="32"/>
          <w:u w:val="none"/>
        </w:rPr>
        <w:t xml:space="preserve"> 线索核查与告知</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通过日常巡查、</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none"/>
        </w:rPr>
        <w:t>季度调度、部门移送、信访举报、电网反馈等发现失信问题，由</w:t>
      </w:r>
      <w:r>
        <w:rPr>
          <w:rFonts w:hint="default" w:ascii="Times New Roman" w:hAnsi="Times New Roman" w:eastAsia="仿宋_GB2312" w:cs="Times New Roman"/>
          <w:sz w:val="32"/>
          <w:szCs w:val="32"/>
          <w:u w:val="none"/>
          <w:lang w:val="en-US" w:eastAsia="zh-CN"/>
        </w:rPr>
        <w:t>地区发展改革委</w:t>
      </w:r>
      <w:r>
        <w:rPr>
          <w:rFonts w:hint="default" w:ascii="Times New Roman" w:hAnsi="Times New Roman" w:eastAsia="仿宋_GB2312" w:cs="Times New Roman"/>
          <w:sz w:val="32"/>
          <w:szCs w:val="32"/>
          <w:u w:val="none"/>
        </w:rPr>
        <w:t>联合属地开展现场核查、资料核验，形成核查记录；向项目单位送达《履约整改告知书》，列明问题、整改标准、整改时限。</w:t>
      </w:r>
    </w:p>
    <w:p w14:paraId="066DDA14">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Times New Roman"/>
          <w:sz w:val="32"/>
          <w:szCs w:val="32"/>
          <w:highlight w:val="none"/>
          <w:u w:val="none"/>
          <w:lang w:eastAsia="zh"/>
        </w:rPr>
      </w:pPr>
      <w:r>
        <w:rPr>
          <w:rFonts w:hint="default" w:ascii="Times New Roman" w:hAnsi="Times New Roman" w:eastAsia="仿宋_GB2312" w:cs="Times New Roman"/>
          <w:b/>
          <w:bCs/>
          <w:sz w:val="32"/>
          <w:szCs w:val="32"/>
          <w:u w:val="none"/>
        </w:rPr>
        <w:t>第十三条</w:t>
      </w:r>
      <w:r>
        <w:rPr>
          <w:rFonts w:hint="default" w:ascii="Times New Roman" w:hAnsi="Times New Roman" w:eastAsia="仿宋_GB2312" w:cs="Times New Roman"/>
          <w:sz w:val="32"/>
          <w:szCs w:val="32"/>
          <w:u w:val="none"/>
        </w:rPr>
        <w:t xml:space="preserve"> 限期整改及研判处置</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企业按期完成整改、补齐手续、倒排工期并签订书面履约承诺的，</w:t>
      </w:r>
      <w:r>
        <w:rPr>
          <w:rFonts w:hint="default" w:ascii="Times New Roman" w:hAnsi="Times New Roman" w:eastAsia="仿宋_GB2312" w:cs="Times New Roman"/>
          <w:sz w:val="32"/>
          <w:szCs w:val="32"/>
          <w:highlight w:val="none"/>
          <w:u w:val="none"/>
        </w:rPr>
        <w:t>重新复核计分，</w:t>
      </w:r>
      <w:r>
        <w:rPr>
          <w:rFonts w:hint="default" w:ascii="Times New Roman" w:hAnsi="Times New Roman" w:eastAsia="仿宋_GB2312" w:cs="Times New Roman"/>
          <w:sz w:val="32"/>
          <w:szCs w:val="32"/>
          <w:u w:val="none"/>
        </w:rPr>
        <w:t>纳入重点监管台账，暂缓退出程序。整改期满未完成整改、拒不整改、虚假整改、整改反弹的</w:t>
      </w:r>
      <w:r>
        <w:rPr>
          <w:rFonts w:hint="default" w:ascii="Times New Roman" w:hAnsi="Times New Roman" w:eastAsia="仿宋_GB2312" w:cs="Times New Roman"/>
          <w:sz w:val="32"/>
          <w:szCs w:val="32"/>
          <w:highlight w:val="none"/>
          <w:u w:val="none"/>
        </w:rPr>
        <w:t>，直接按考评结果定级，启动</w:t>
      </w:r>
      <w:r>
        <w:rPr>
          <w:rFonts w:hint="eastAsia" w:ascii="Times New Roman" w:hAnsi="Times New Roman" w:eastAsia="仿宋_GB2312" w:cs="Times New Roman"/>
          <w:sz w:val="32"/>
          <w:szCs w:val="32"/>
          <w:highlight w:val="none"/>
          <w:u w:val="none"/>
          <w:lang w:eastAsia="zh"/>
        </w:rPr>
        <w:t>相应处置措施</w:t>
      </w:r>
      <w:r>
        <w:rPr>
          <w:rFonts w:hint="default" w:ascii="Times New Roman" w:hAnsi="Times New Roman" w:eastAsia="仿宋_GB2312" w:cs="Times New Roman"/>
          <w:sz w:val="32"/>
          <w:szCs w:val="32"/>
          <w:highlight w:val="none"/>
          <w:u w:val="none"/>
        </w:rPr>
        <w:t>。</w:t>
      </w:r>
    </w:p>
    <w:p w14:paraId="0F321842">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第十四条</w:t>
      </w:r>
      <w:r>
        <w:rPr>
          <w:rFonts w:hint="default" w:ascii="Times New Roman" w:hAnsi="Times New Roman" w:eastAsia="仿宋_GB2312" w:cs="Times New Roman"/>
          <w:sz w:val="32"/>
          <w:szCs w:val="32"/>
          <w:u w:val="none"/>
        </w:rPr>
        <w:t xml:space="preserve"> 公示及退出认定</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拟退出项目在政府官方平台公示，公示期不少于5个工作日。公示无异议或异议不成立的，由地区发展改革委</w:t>
      </w:r>
      <w:r>
        <w:rPr>
          <w:rFonts w:hint="default" w:ascii="Times New Roman" w:hAnsi="Times New Roman" w:eastAsia="仿宋_GB2312" w:cs="Times New Roman"/>
          <w:sz w:val="32"/>
          <w:szCs w:val="32"/>
          <w:u w:val="none"/>
          <w:lang w:val="en-US" w:eastAsia="zh-CN"/>
        </w:rPr>
        <w:t>进行项目备案注销</w:t>
      </w:r>
      <w:r>
        <w:rPr>
          <w:rFonts w:hint="default" w:ascii="Times New Roman" w:hAnsi="Times New Roman" w:eastAsia="仿宋_GB2312" w:cs="Times New Roman"/>
          <w:sz w:val="32"/>
          <w:szCs w:val="32"/>
          <w:u w:val="none"/>
        </w:rPr>
        <w:t>。</w:t>
      </w:r>
    </w:p>
    <w:p w14:paraId="6447B237">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b/>
          <w:bCs/>
          <w:sz w:val="32"/>
          <w:szCs w:val="32"/>
          <w:u w:val="none"/>
        </w:rPr>
        <w:t>第十五条</w:t>
      </w:r>
      <w:r>
        <w:rPr>
          <w:rFonts w:hint="default" w:ascii="Times New Roman" w:hAnsi="Times New Roman" w:eastAsia="仿宋_GB2312" w:cs="Times New Roman"/>
          <w:sz w:val="32"/>
          <w:szCs w:val="32"/>
          <w:u w:val="none"/>
        </w:rPr>
        <w:t xml:space="preserve"> 手续废止及</w:t>
      </w:r>
      <w:r>
        <w:rPr>
          <w:rFonts w:hint="default" w:ascii="Times New Roman" w:hAnsi="Times New Roman" w:eastAsia="仿宋_GB2312" w:cs="Times New Roman"/>
          <w:sz w:val="32"/>
          <w:szCs w:val="32"/>
          <w:u w:val="none"/>
          <w:lang w:val="en-US" w:eastAsia="zh-CN"/>
        </w:rPr>
        <w:t>项目</w:t>
      </w:r>
      <w:r>
        <w:rPr>
          <w:rFonts w:hint="default" w:ascii="Times New Roman" w:hAnsi="Times New Roman" w:eastAsia="仿宋_GB2312" w:cs="Times New Roman"/>
          <w:sz w:val="32"/>
          <w:szCs w:val="32"/>
          <w:u w:val="none"/>
        </w:rPr>
        <w:t>处置</w:t>
      </w:r>
    </w:p>
    <w:p w14:paraId="44AE985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（一）依规废止项目核准、备案文件，从年度建设方案、并网规模清单中剔除，不再安排消纳计划及接入时序。</w:t>
      </w:r>
    </w:p>
    <w:p w14:paraId="1228691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（二）无偿收回项目对应新能源开发资源、建设规模，由主管部门统筹择优重新配置给守信企业及优质项目。</w:t>
      </w:r>
    </w:p>
    <w:p w14:paraId="5AAB72D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（三）违规占地、占林及造成生态扰动的，由属地及行业部门依法清理、生态治理，并依规追责。</w:t>
      </w:r>
    </w:p>
    <w:p w14:paraId="42487B0A">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第十六条</w:t>
      </w:r>
      <w:r>
        <w:rPr>
          <w:rFonts w:hint="default" w:ascii="Times New Roman" w:hAnsi="Times New Roman" w:eastAsia="仿宋_GB2312" w:cs="Times New Roman"/>
          <w:sz w:val="32"/>
          <w:szCs w:val="32"/>
          <w:u w:val="none"/>
        </w:rPr>
        <w:t xml:space="preserve"> 自愿退出办理流程</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企业提交书面退出申请、股东会决议、无债权债务及无信访遗留隐患承诺书，经县（市）</w:t>
      </w:r>
      <w:r>
        <w:rPr>
          <w:rFonts w:hint="default" w:ascii="Times New Roman" w:hAnsi="Times New Roman" w:eastAsia="仿宋_GB2312" w:cs="Times New Roman"/>
          <w:sz w:val="32"/>
          <w:szCs w:val="32"/>
          <w:u w:val="none"/>
          <w:lang w:val="en-US" w:eastAsia="zh-CN"/>
        </w:rPr>
        <w:t>人民政府</w:t>
      </w:r>
      <w:r>
        <w:rPr>
          <w:rFonts w:hint="default" w:ascii="Times New Roman" w:hAnsi="Times New Roman" w:eastAsia="仿宋_GB2312" w:cs="Times New Roman"/>
          <w:sz w:val="32"/>
          <w:szCs w:val="32"/>
          <w:u w:val="none"/>
        </w:rPr>
        <w:t>初审、行业主管部门复核、公示无异议后，办理备案废止、销号退出，不纳入失信黑名单、不作失信扣分记录，</w:t>
      </w:r>
      <w:r>
        <w:rPr>
          <w:rFonts w:hint="default" w:ascii="Times New Roman" w:hAnsi="Times New Roman" w:eastAsia="仿宋_GB2312" w:cs="Times New Roman"/>
          <w:sz w:val="32"/>
          <w:szCs w:val="32"/>
          <w:u w:val="none"/>
          <w:lang w:val="en-US" w:eastAsia="zh-CN"/>
        </w:rPr>
        <w:t>项目规模</w:t>
      </w:r>
      <w:r>
        <w:rPr>
          <w:rFonts w:hint="default" w:ascii="Times New Roman" w:hAnsi="Times New Roman" w:eastAsia="仿宋_GB2312" w:cs="Times New Roman"/>
          <w:sz w:val="32"/>
          <w:szCs w:val="32"/>
          <w:u w:val="none"/>
        </w:rPr>
        <w:t>统一收回</w:t>
      </w:r>
      <w:r>
        <w:rPr>
          <w:rFonts w:hint="default" w:ascii="Times New Roman" w:hAnsi="Times New Roman" w:eastAsia="仿宋_GB2312" w:cs="Times New Roman"/>
          <w:sz w:val="32"/>
          <w:szCs w:val="32"/>
          <w:u w:val="none"/>
          <w:lang w:val="en-US" w:eastAsia="zh-CN"/>
        </w:rPr>
        <w:t>由地区</w:t>
      </w:r>
      <w:r>
        <w:rPr>
          <w:rFonts w:hint="default" w:ascii="Times New Roman" w:hAnsi="Times New Roman" w:eastAsia="仿宋_GB2312" w:cs="Times New Roman"/>
          <w:sz w:val="32"/>
          <w:szCs w:val="32"/>
          <w:u w:val="none"/>
        </w:rPr>
        <w:t>统筹。</w:t>
      </w:r>
    </w:p>
    <w:p w14:paraId="51041BA7">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第十七条</w:t>
      </w:r>
      <w:r>
        <w:rPr>
          <w:rFonts w:hint="default" w:ascii="Times New Roman" w:hAnsi="Times New Roman" w:eastAsia="仿宋_GB2312" w:cs="Times New Roman"/>
          <w:sz w:val="32"/>
          <w:szCs w:val="32"/>
          <w:u w:val="none"/>
        </w:rPr>
        <w:t xml:space="preserve"> 分级失信惩戒</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按照本办法第八条评分对应处置措施执行，一般失信、严重失信实行分级分类监管、限制申报、行业通报、联合惩戒。</w:t>
      </w:r>
    </w:p>
    <w:p w14:paraId="19D99830">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第十八条</w:t>
      </w:r>
      <w:r>
        <w:rPr>
          <w:rFonts w:hint="default" w:ascii="Times New Roman" w:hAnsi="Times New Roman" w:eastAsia="仿宋_GB2312" w:cs="Times New Roman"/>
          <w:sz w:val="32"/>
          <w:szCs w:val="32"/>
          <w:u w:val="none"/>
        </w:rPr>
        <w:t xml:space="preserve"> 信用修复规则</w:t>
      </w:r>
    </w:p>
    <w:p w14:paraId="2ACCC45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sz w:val="32"/>
          <w:szCs w:val="32"/>
          <w:highlight w:val="none"/>
          <w:u w:val="none"/>
          <w:lang w:eastAsia="zh"/>
        </w:rPr>
      </w:pPr>
      <w:r>
        <w:rPr>
          <w:rFonts w:hint="default" w:ascii="Times New Roman" w:hAnsi="Times New Roman" w:eastAsia="仿宋_GB2312" w:cs="Times New Roman"/>
          <w:sz w:val="32"/>
          <w:szCs w:val="32"/>
          <w:u w:val="none"/>
        </w:rPr>
        <w:t>（一）一般失信企业，</w:t>
      </w:r>
      <w:r>
        <w:rPr>
          <w:rFonts w:hint="eastAsia" w:ascii="Times New Roman" w:hAnsi="Times New Roman" w:eastAsia="仿宋_GB2312" w:cs="Times New Roman"/>
          <w:sz w:val="32"/>
          <w:szCs w:val="32"/>
          <w:u w:val="none"/>
          <w:lang w:eastAsia="zh"/>
        </w:rPr>
        <w:t>原则上</w:t>
      </w:r>
      <w:r>
        <w:rPr>
          <w:rFonts w:hint="default" w:ascii="Times New Roman" w:hAnsi="Times New Roman" w:eastAsia="仿宋_GB2312" w:cs="Times New Roman"/>
          <w:sz w:val="32"/>
          <w:szCs w:val="32"/>
          <w:highlight w:val="none"/>
          <w:u w:val="none"/>
          <w:lang w:val="en-US" w:eastAsia="zh-CN"/>
        </w:rPr>
        <w:t>3个月</w:t>
      </w:r>
      <w:r>
        <w:rPr>
          <w:rFonts w:hint="default" w:ascii="Times New Roman" w:hAnsi="Times New Roman" w:eastAsia="仿宋_GB2312" w:cs="Times New Roman"/>
          <w:sz w:val="32"/>
          <w:szCs w:val="32"/>
          <w:highlight w:val="none"/>
          <w:u w:val="none"/>
        </w:rPr>
        <w:t>内全部整改到位</w:t>
      </w:r>
      <w:r>
        <w:rPr>
          <w:rFonts w:hint="default" w:ascii="Times New Roman" w:hAnsi="Times New Roman" w:eastAsia="仿宋_GB2312" w:cs="Times New Roman"/>
          <w:sz w:val="32"/>
          <w:szCs w:val="32"/>
          <w:u w:val="none"/>
        </w:rPr>
        <w:t>、承诺事项全面落实完毕，考评恢复基准分100分，同步解除项目申报限制</w:t>
      </w:r>
      <w:r>
        <w:rPr>
          <w:rFonts w:hint="eastAsia" w:ascii="Times New Roman" w:hAnsi="Times New Roman" w:eastAsia="仿宋_GB2312" w:cs="Times New Roman"/>
          <w:sz w:val="32"/>
          <w:szCs w:val="32"/>
          <w:highlight w:val="none"/>
          <w:u w:val="none"/>
          <w:lang w:eastAsia="zh"/>
        </w:rPr>
        <w:t>（若</w:t>
      </w:r>
      <w:r>
        <w:rPr>
          <w:rFonts w:hint="eastAsia" w:ascii="Times New Roman" w:hAnsi="Times New Roman" w:eastAsia="仿宋_GB2312" w:cs="Times New Roman"/>
          <w:sz w:val="32"/>
          <w:szCs w:val="32"/>
          <w:highlight w:val="none"/>
          <w:u w:val="none"/>
          <w:lang w:eastAsia="zh-CN"/>
        </w:rPr>
        <w:t>整改</w:t>
      </w:r>
      <w:r>
        <w:rPr>
          <w:rFonts w:hint="eastAsia" w:ascii="Times New Roman" w:hAnsi="Times New Roman" w:eastAsia="仿宋_GB2312" w:cs="Times New Roman"/>
          <w:sz w:val="32"/>
          <w:szCs w:val="32"/>
          <w:highlight w:val="none"/>
          <w:u w:val="none"/>
          <w:lang w:eastAsia="zh"/>
        </w:rPr>
        <w:t>时限超规定时间，</w:t>
      </w:r>
      <w:r>
        <w:rPr>
          <w:rFonts w:hint="eastAsia" w:ascii="Times New Roman" w:hAnsi="Times New Roman" w:eastAsia="仿宋_GB2312" w:cs="Times New Roman"/>
          <w:sz w:val="32"/>
          <w:szCs w:val="32"/>
          <w:highlight w:val="none"/>
          <w:u w:val="none"/>
          <w:lang w:eastAsia="zh-CN"/>
        </w:rPr>
        <w:t>将</w:t>
      </w:r>
      <w:r>
        <w:rPr>
          <w:rFonts w:hint="eastAsia" w:ascii="Times New Roman" w:hAnsi="Times New Roman" w:eastAsia="仿宋_GB2312" w:cs="Times New Roman"/>
          <w:sz w:val="32"/>
          <w:szCs w:val="32"/>
          <w:highlight w:val="none"/>
          <w:u w:val="none"/>
          <w:lang w:eastAsia="zh"/>
        </w:rPr>
        <w:t>按所超时</w:t>
      </w:r>
      <w:r>
        <w:rPr>
          <w:rFonts w:hint="eastAsia" w:ascii="Times New Roman" w:hAnsi="Times New Roman" w:eastAsia="仿宋_GB2312" w:cs="Times New Roman"/>
          <w:sz w:val="32"/>
          <w:szCs w:val="32"/>
          <w:highlight w:val="none"/>
          <w:u w:val="none"/>
          <w:lang w:eastAsia="zh-CN"/>
        </w:rPr>
        <w:t>间</w:t>
      </w:r>
      <w:r>
        <w:rPr>
          <w:rFonts w:hint="eastAsia" w:ascii="Times New Roman" w:hAnsi="Times New Roman" w:eastAsia="仿宋_GB2312" w:cs="Times New Roman"/>
          <w:sz w:val="32"/>
          <w:szCs w:val="32"/>
          <w:highlight w:val="none"/>
          <w:u w:val="none"/>
          <w:lang w:eastAsia="zh"/>
        </w:rPr>
        <w:t>推迟恢复）</w:t>
      </w:r>
      <w:r>
        <w:rPr>
          <w:rFonts w:hint="default" w:ascii="Times New Roman" w:hAnsi="Times New Roman" w:eastAsia="仿宋_GB2312" w:cs="Times New Roman"/>
          <w:sz w:val="32"/>
          <w:szCs w:val="32"/>
          <w:highlight w:val="none"/>
          <w:u w:val="none"/>
        </w:rPr>
        <w:t>。</w:t>
      </w:r>
    </w:p>
    <w:p w14:paraId="6FF258B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（二）严重失信被强制退出列入</w:t>
      </w:r>
      <w:r>
        <w:rPr>
          <w:rFonts w:hint="default" w:ascii="Times New Roman" w:hAnsi="Times New Roman" w:eastAsia="仿宋_GB2312" w:cs="Times New Roman"/>
          <w:sz w:val="32"/>
          <w:szCs w:val="32"/>
          <w:u w:val="none"/>
          <w:lang w:val="en-US" w:eastAsia="zh-CN"/>
        </w:rPr>
        <w:t>行业</w:t>
      </w:r>
      <w:r>
        <w:rPr>
          <w:rFonts w:hint="default" w:ascii="Times New Roman" w:hAnsi="Times New Roman" w:eastAsia="仿宋_GB2312" w:cs="Times New Roman"/>
          <w:sz w:val="32"/>
          <w:szCs w:val="32"/>
          <w:u w:val="none"/>
        </w:rPr>
        <w:t>黑名单企业，满</w:t>
      </w: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rPr>
        <w:t>年限制期满、项目遗留问题清零、生态治理及债务清偿全部到位，</w:t>
      </w:r>
      <w:r>
        <w:rPr>
          <w:rFonts w:hint="default" w:ascii="Times New Roman" w:hAnsi="Times New Roman" w:eastAsia="仿宋_GB2312" w:cs="Times New Roman"/>
          <w:b/>
          <w:bCs/>
          <w:sz w:val="32"/>
          <w:szCs w:val="32"/>
          <w:u w:val="none"/>
          <w:lang w:val="en-US" w:eastAsia="zh-CN"/>
        </w:rPr>
        <w:t>对地区经济有突出贡献的，</w:t>
      </w:r>
      <w:r>
        <w:rPr>
          <w:rFonts w:hint="default" w:ascii="Times New Roman" w:hAnsi="Times New Roman" w:eastAsia="仿宋_GB2312" w:cs="Times New Roman"/>
          <w:sz w:val="32"/>
          <w:szCs w:val="32"/>
          <w:u w:val="none"/>
        </w:rPr>
        <w:t>经</w:t>
      </w:r>
      <w:r>
        <w:rPr>
          <w:rFonts w:hint="default" w:ascii="Times New Roman" w:hAnsi="Times New Roman" w:eastAsia="仿宋_GB2312" w:cs="Times New Roman"/>
          <w:sz w:val="32"/>
          <w:szCs w:val="32"/>
          <w:u w:val="none"/>
          <w:lang w:val="en-US" w:eastAsia="zh-CN"/>
        </w:rPr>
        <w:t>地区发展改革委</w:t>
      </w:r>
      <w:r>
        <w:rPr>
          <w:rFonts w:hint="default" w:ascii="Times New Roman" w:hAnsi="Times New Roman" w:eastAsia="仿宋_GB2312" w:cs="Times New Roman"/>
          <w:sz w:val="32"/>
          <w:szCs w:val="32"/>
          <w:u w:val="none"/>
        </w:rPr>
        <w:t>会同相关部门联合核查同意后，可依规办理信用修复、移出</w:t>
      </w:r>
      <w:r>
        <w:rPr>
          <w:rFonts w:hint="default" w:ascii="Times New Roman" w:hAnsi="Times New Roman" w:eastAsia="仿宋_GB2312" w:cs="Times New Roman"/>
          <w:sz w:val="32"/>
          <w:szCs w:val="32"/>
          <w:u w:val="none"/>
          <w:lang w:val="en-US" w:eastAsia="zh-CN"/>
        </w:rPr>
        <w:t>行业</w:t>
      </w:r>
      <w:r>
        <w:rPr>
          <w:rFonts w:hint="default" w:ascii="Times New Roman" w:hAnsi="Times New Roman" w:eastAsia="仿宋_GB2312" w:cs="Times New Roman"/>
          <w:sz w:val="32"/>
          <w:szCs w:val="32"/>
          <w:u w:val="none"/>
        </w:rPr>
        <w:t>失信名单，原有项目</w:t>
      </w:r>
      <w:r>
        <w:rPr>
          <w:rFonts w:hint="default" w:ascii="Times New Roman" w:hAnsi="Times New Roman" w:eastAsia="仿宋_GB2312" w:cs="Times New Roman"/>
          <w:sz w:val="32"/>
          <w:szCs w:val="32"/>
          <w:u w:val="none"/>
          <w:lang w:val="en-US" w:eastAsia="zh-CN"/>
        </w:rPr>
        <w:t>规模</w:t>
      </w:r>
      <w:r>
        <w:rPr>
          <w:rFonts w:hint="default" w:ascii="Times New Roman" w:hAnsi="Times New Roman" w:eastAsia="仿宋_GB2312" w:cs="Times New Roman"/>
          <w:sz w:val="32"/>
          <w:szCs w:val="32"/>
          <w:u w:val="none"/>
        </w:rPr>
        <w:t>不予返还。</w:t>
      </w:r>
    </w:p>
    <w:p w14:paraId="059B300F">
      <w:pPr>
        <w:keepNext w:val="0"/>
        <w:keepLines w:val="0"/>
        <w:pageBreakBefore w:val="0"/>
        <w:widowControl w:val="0"/>
        <w:numPr>
          <w:ilvl w:val="0"/>
          <w:numId w:val="1"/>
        </w:numPr>
        <w:kinsoku/>
        <w:wordWrap/>
        <w:overflowPunct/>
        <w:topLinePunct w:val="0"/>
        <w:autoSpaceDE/>
        <w:autoSpaceDN/>
        <w:bidi w:val="0"/>
        <w:adjustRightInd/>
        <w:snapToGrid/>
        <w:spacing w:line="550" w:lineRule="exact"/>
        <w:ind w:left="-10" w:leftChars="0" w:firstLine="640" w:firstLineChars="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本办法由地区发展改革委负责解释。</w:t>
      </w:r>
    </w:p>
    <w:p w14:paraId="0BDAD77E">
      <w:pPr>
        <w:keepNext w:val="0"/>
        <w:keepLines w:val="0"/>
        <w:pageBreakBefore w:val="0"/>
        <w:widowControl w:val="0"/>
        <w:numPr>
          <w:ilvl w:val="0"/>
          <w:numId w:val="1"/>
        </w:numPr>
        <w:kinsoku/>
        <w:wordWrap/>
        <w:overflowPunct/>
        <w:topLinePunct w:val="0"/>
        <w:autoSpaceDE/>
        <w:autoSpaceDN/>
        <w:bidi w:val="0"/>
        <w:adjustRightInd/>
        <w:snapToGrid/>
        <w:spacing w:line="550" w:lineRule="exact"/>
        <w:ind w:left="-10" w:leftChars="0" w:firstLine="640" w:firstLineChars="0"/>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sz w:val="32"/>
          <w:szCs w:val="32"/>
          <w:highlight w:val="none"/>
          <w:u w:val="none"/>
          <w:lang w:eastAsia="zh-CN"/>
        </w:rPr>
        <w:t>如涉及不可抗力因素影响导致项目未能如期推进，</w:t>
      </w:r>
      <w:r>
        <w:rPr>
          <w:rFonts w:hint="eastAsia" w:ascii="Times New Roman" w:hAnsi="Times New Roman" w:eastAsia="仿宋_GB2312" w:cs="Times New Roman"/>
          <w:sz w:val="32"/>
          <w:szCs w:val="32"/>
          <w:highlight w:val="none"/>
          <w:u w:val="none"/>
          <w:lang w:val="en-US" w:eastAsia="zh-CN"/>
        </w:rPr>
        <w:t>可综合评估项目受不可抗力因素影响的施工周期，评估后予以延期</w:t>
      </w:r>
      <w:r>
        <w:rPr>
          <w:rFonts w:hint="eastAsia" w:ascii="Times New Roman" w:hAnsi="Times New Roman" w:eastAsia="仿宋_GB2312" w:cs="Times New Roman"/>
          <w:sz w:val="32"/>
          <w:szCs w:val="32"/>
          <w:highlight w:val="none"/>
          <w:u w:val="none"/>
          <w:lang w:eastAsia="zh-CN"/>
        </w:rPr>
        <w:t>考核。</w:t>
      </w:r>
    </w:p>
    <w:p w14:paraId="4770EF4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rPr>
        <w:t>第二十</w:t>
      </w:r>
      <w:r>
        <w:rPr>
          <w:rFonts w:hint="eastAsia" w:ascii="Times New Roman" w:hAnsi="Times New Roman" w:eastAsia="仿宋_GB2312" w:cs="Times New Roman"/>
          <w:sz w:val="32"/>
          <w:szCs w:val="32"/>
          <w:u w:val="none"/>
          <w:lang w:eastAsia="zh-CN"/>
        </w:rPr>
        <w:t>一</w:t>
      </w:r>
      <w:r>
        <w:rPr>
          <w:rFonts w:hint="default" w:ascii="Times New Roman" w:hAnsi="Times New Roman" w:eastAsia="仿宋_GB2312" w:cs="Times New Roman"/>
          <w:sz w:val="32"/>
          <w:szCs w:val="32"/>
          <w:u w:val="none"/>
        </w:rPr>
        <w:t>条 本办法自印发之日起施行，</w:t>
      </w:r>
      <w:r>
        <w:rPr>
          <w:rFonts w:hint="default" w:ascii="Times New Roman" w:hAnsi="Times New Roman" w:eastAsia="仿宋_GB2312" w:cs="Times New Roman"/>
          <w:sz w:val="32"/>
          <w:szCs w:val="32"/>
          <w:u w:val="none"/>
          <w:lang w:val="en-US" w:eastAsia="zh-CN"/>
        </w:rPr>
        <w:t>试行1年，</w:t>
      </w:r>
      <w:r>
        <w:rPr>
          <w:rFonts w:hint="default" w:ascii="Times New Roman" w:hAnsi="Times New Roman" w:eastAsia="仿宋_GB2312" w:cs="Times New Roman"/>
          <w:sz w:val="32"/>
          <w:szCs w:val="32"/>
          <w:u w:val="none"/>
        </w:rPr>
        <w:t>此前地区相关规定与本办法不一致的，以本办法为准。</w:t>
      </w:r>
      <w:r>
        <w:rPr>
          <w:rFonts w:hint="default" w:ascii="Times New Roman" w:hAnsi="Times New Roman" w:eastAsia="仿宋_GB2312" w:cs="Times New Roman"/>
          <w:sz w:val="32"/>
          <w:szCs w:val="32"/>
          <w:u w:val="none"/>
          <w:lang w:val="en-US" w:eastAsia="zh-CN"/>
        </w:rPr>
        <w:t>如有与国家、自治区相关政策规定冲突的，以国家、自治区政策规定为准。</w:t>
      </w:r>
    </w:p>
    <w:p w14:paraId="040F222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4533342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0254845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3A641CB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6DBB5CB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61686E2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1CCD87C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4C10744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727EA15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0383D20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5A4D0A1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703C04E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48AF810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2F1125A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207B59B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p w14:paraId="4353734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sectPr>
          <w:footerReference r:id="rId3" w:type="default"/>
          <w:pgSz w:w="11906" w:h="16838"/>
          <w:pgMar w:top="2098" w:right="1531" w:bottom="1984" w:left="1531" w:header="851" w:footer="1587" w:gutter="0"/>
          <w:pgNumType w:fmt="decimal"/>
          <w:cols w:space="425" w:num="1"/>
          <w:docGrid w:type="lines" w:linePitch="312" w:charSpace="0"/>
        </w:sectPr>
      </w:pPr>
    </w:p>
    <w:tbl>
      <w:tblPr>
        <w:tblStyle w:val="4"/>
        <w:tblW w:w="188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2782"/>
        <w:gridCol w:w="4860"/>
        <w:gridCol w:w="1200"/>
        <w:gridCol w:w="949"/>
        <w:gridCol w:w="1200"/>
        <w:gridCol w:w="7037"/>
      </w:tblGrid>
      <w:tr w14:paraId="55AA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8868" w:type="dxa"/>
            <w:gridSpan w:val="7"/>
            <w:tcBorders>
              <w:top w:val="nil"/>
              <w:left w:val="nil"/>
              <w:bottom w:val="nil"/>
              <w:right w:val="nil"/>
            </w:tcBorders>
            <w:shd w:val="clear" w:color="auto" w:fill="auto"/>
            <w:noWrap/>
            <w:vAlign w:val="center"/>
          </w:tcPr>
          <w:p w14:paraId="640F6E55">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企业履约评分表</w:t>
            </w:r>
          </w:p>
        </w:tc>
      </w:tr>
      <w:tr w14:paraId="3369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C654">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60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26D8">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项目单位：</w:t>
            </w:r>
          </w:p>
        </w:tc>
        <w:tc>
          <w:tcPr>
            <w:tcW w:w="91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53396">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装机规模(万千瓦)：**光伏/风电</w:t>
            </w:r>
          </w:p>
        </w:tc>
      </w:tr>
      <w:tr w14:paraId="766F0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C3D0">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项目所在地：</w:t>
            </w:r>
          </w:p>
        </w:tc>
        <w:tc>
          <w:tcPr>
            <w:tcW w:w="60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179B">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备案机构：</w:t>
            </w:r>
          </w:p>
        </w:tc>
        <w:tc>
          <w:tcPr>
            <w:tcW w:w="91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6865">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评分日期：*年*月*日</w:t>
            </w:r>
          </w:p>
        </w:tc>
      </w:tr>
      <w:tr w14:paraId="3179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886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E984E7">
            <w:pPr>
              <w:keepNext w:val="0"/>
              <w:keepLines w:val="0"/>
              <w:widowControl/>
              <w:suppressLineNumbers w:val="0"/>
              <w:spacing w:line="5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基准分：100分，得分85分及以上为守信；得分60—84分为一般失信；得分60分以下为严重失信，启动项目退出（或压减未建规模）并列入失信企业名单；如有强制退出情况直接按照强制退出处理。</w:t>
            </w:r>
          </w:p>
        </w:tc>
      </w:tr>
      <w:tr w14:paraId="0DEE9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88AD">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C13A">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评估内容</w:t>
            </w:r>
          </w:p>
        </w:tc>
        <w:tc>
          <w:tcPr>
            <w:tcW w:w="4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1D34">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事项</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443B">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扣分标准</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1251">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是否违规</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8706">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实扣分值</w:t>
            </w:r>
          </w:p>
        </w:tc>
        <w:tc>
          <w:tcPr>
            <w:tcW w:w="7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FAD9">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681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559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FE55D">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时序进度履约</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7B86">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备案后4个月内未开工（含4个月）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A49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BF00">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7AD7">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BF5D">
            <w:pPr>
              <w:spacing w:line="560" w:lineRule="exact"/>
              <w:jc w:val="center"/>
              <w:rPr>
                <w:rFonts w:hint="eastAsia" w:ascii="宋体" w:hAnsi="宋体" w:eastAsia="宋体" w:cs="宋体"/>
                <w:i w:val="0"/>
                <w:iCs w:val="0"/>
                <w:color w:val="000000"/>
                <w:sz w:val="22"/>
                <w:szCs w:val="22"/>
                <w:u w:val="none"/>
              </w:rPr>
            </w:pPr>
          </w:p>
        </w:tc>
      </w:tr>
      <w:tr w14:paraId="1B70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77D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7530">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BD2B">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备案后5—8个月（含8个月）未开工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5A6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2954">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12B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A92D">
            <w:pPr>
              <w:spacing w:line="560" w:lineRule="exact"/>
              <w:jc w:val="center"/>
              <w:rPr>
                <w:rFonts w:hint="eastAsia" w:ascii="宋体" w:hAnsi="宋体" w:eastAsia="宋体" w:cs="宋体"/>
                <w:i w:val="0"/>
                <w:iCs w:val="0"/>
                <w:color w:val="000000"/>
                <w:sz w:val="22"/>
                <w:szCs w:val="22"/>
                <w:u w:val="none"/>
              </w:rPr>
            </w:pPr>
          </w:p>
        </w:tc>
      </w:tr>
      <w:tr w14:paraId="5CDE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8B0A">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F7056">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C9EF">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备案后9—13个月（含13个月）未开工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60D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3F53">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D54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DBA8">
            <w:pPr>
              <w:spacing w:line="560" w:lineRule="exact"/>
              <w:jc w:val="center"/>
              <w:rPr>
                <w:rFonts w:hint="eastAsia" w:ascii="宋体" w:hAnsi="宋体" w:eastAsia="宋体" w:cs="宋体"/>
                <w:i w:val="0"/>
                <w:iCs w:val="0"/>
                <w:color w:val="000000"/>
                <w:sz w:val="22"/>
                <w:szCs w:val="22"/>
                <w:u w:val="none"/>
              </w:rPr>
            </w:pPr>
          </w:p>
        </w:tc>
      </w:tr>
      <w:tr w14:paraId="229DF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AB7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A9FA9">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BC81">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备案后14—18个月（含18个月）未开工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F7C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9803">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91C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0E9D">
            <w:pPr>
              <w:spacing w:line="560" w:lineRule="exact"/>
              <w:jc w:val="center"/>
              <w:rPr>
                <w:rFonts w:hint="eastAsia" w:ascii="宋体" w:hAnsi="宋体" w:eastAsia="宋体" w:cs="宋体"/>
                <w:i w:val="0"/>
                <w:iCs w:val="0"/>
                <w:color w:val="000000"/>
                <w:sz w:val="22"/>
                <w:szCs w:val="22"/>
                <w:u w:val="none"/>
              </w:rPr>
            </w:pPr>
          </w:p>
        </w:tc>
      </w:tr>
      <w:tr w14:paraId="0A5FA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C16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15657">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9928">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备案超18个月未实质开工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DE3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4EA4">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541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398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强制退出</w:t>
            </w:r>
          </w:p>
        </w:tc>
      </w:tr>
      <w:tr w14:paraId="0EB47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9C9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2CC43">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937E">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已开工，并网时间滞后，超过承诺1-3个月（含3个月）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AC5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ECC8">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B196">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763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暂停项目并网（暂停时限参考滞后时限，如滞后2个月，则建成后具备并网条件时暂停并网，4个月后启动并网流程）</w:t>
            </w:r>
          </w:p>
        </w:tc>
      </w:tr>
      <w:tr w14:paraId="33F1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B98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9DD8">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2644">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已开工，并网时间滞后，超过承诺4-6个月（含6个月）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16C3">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4CAB">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C4A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881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暂停项目并网（暂停时限参考滞后时限，如滞后4个月，则建成后具备并网条件时暂停并网，4个月后启动并网流程）</w:t>
            </w:r>
          </w:p>
        </w:tc>
      </w:tr>
      <w:tr w14:paraId="28D9F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CD5A">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B91CB">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DBC5">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已开工，并网时间滞后，超过承诺6个月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46A3">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B1EB">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C85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705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强制退出（或压减未建规模），如已建成具备并网条件，则暂停并网，暂停并网时间参考滞后时限，到期后再启动并网流程）</w:t>
            </w:r>
          </w:p>
        </w:tc>
      </w:tr>
      <w:tr w14:paraId="40F8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FEBE">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64F9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规模及投资履约</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892E">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擅自缩减、拆分项目（将项目分一期、二期，未按照备案规模推进建设，仅并网部分规模）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D4A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4B23">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B8CE">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CD0F">
            <w:pPr>
              <w:spacing w:line="560" w:lineRule="exact"/>
              <w:jc w:val="center"/>
              <w:rPr>
                <w:rFonts w:hint="eastAsia" w:ascii="宋体" w:hAnsi="宋体" w:eastAsia="宋体" w:cs="宋体"/>
                <w:i w:val="0"/>
                <w:iCs w:val="0"/>
                <w:color w:val="000000"/>
                <w:sz w:val="22"/>
                <w:szCs w:val="22"/>
                <w:u w:val="none"/>
              </w:rPr>
            </w:pPr>
          </w:p>
        </w:tc>
      </w:tr>
      <w:tr w14:paraId="0E595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663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7D9E6">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2DC6">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资本金、年度投资严重不到位(单次)、变更建设内容、建设地点、建设范围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8B3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B39C">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F4C6">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0557">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可累计</w:t>
            </w:r>
          </w:p>
        </w:tc>
      </w:tr>
      <w:tr w14:paraId="7CD6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641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8C2D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手续合规履约</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0EF1">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用地/林地/环评/水保手续逾期(每项)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97DB">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FA17">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D3F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F03A">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按项累加</w:t>
            </w:r>
          </w:p>
        </w:tc>
      </w:tr>
      <w:tr w14:paraId="199C0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99F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E5C91">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9C06">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违规建设且无法补办法定手续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DD9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5DA7">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474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08A3">
            <w:pPr>
              <w:spacing w:line="560" w:lineRule="exact"/>
              <w:jc w:val="center"/>
              <w:rPr>
                <w:rFonts w:hint="eastAsia" w:ascii="宋体" w:hAnsi="宋体" w:eastAsia="宋体" w:cs="宋体"/>
                <w:i w:val="0"/>
                <w:iCs w:val="0"/>
                <w:color w:val="000000"/>
                <w:sz w:val="22"/>
                <w:szCs w:val="22"/>
                <w:u w:val="none"/>
              </w:rPr>
            </w:pPr>
          </w:p>
        </w:tc>
      </w:tr>
      <w:tr w14:paraId="5A415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5F57">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782" w:type="dxa"/>
            <w:vMerge w:val="restart"/>
            <w:tcBorders>
              <w:top w:val="single" w:color="000000" w:sz="4" w:space="0"/>
              <w:left w:val="single" w:color="000000" w:sz="4" w:space="0"/>
              <w:bottom w:val="nil"/>
              <w:right w:val="single" w:color="000000" w:sz="4" w:space="0"/>
            </w:tcBorders>
            <w:shd w:val="clear" w:color="auto" w:fill="auto"/>
            <w:vAlign w:val="center"/>
          </w:tcPr>
          <w:p w14:paraId="497D897A">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权益转让秩序</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968D">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私下转股权、变更主体未报备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81FA">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1D79">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D0E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F3EE">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强制退出（或压减未建规模）</w:t>
            </w:r>
          </w:p>
        </w:tc>
      </w:tr>
      <w:tr w14:paraId="1CB1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DAB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782" w:type="dxa"/>
            <w:vMerge w:val="continue"/>
            <w:tcBorders>
              <w:top w:val="single" w:color="000000" w:sz="4" w:space="0"/>
              <w:left w:val="single" w:color="000000" w:sz="4" w:space="0"/>
              <w:bottom w:val="nil"/>
              <w:right w:val="single" w:color="000000" w:sz="4" w:space="0"/>
            </w:tcBorders>
            <w:shd w:val="clear" w:color="auto" w:fill="auto"/>
            <w:vAlign w:val="center"/>
          </w:tcPr>
          <w:p w14:paraId="77836814">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5B66">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囤积资源、倒卖项目及项目开发权益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296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983D">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E75D">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35F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强制退出+黑名单</w:t>
            </w:r>
          </w:p>
        </w:tc>
      </w:tr>
      <w:tr w14:paraId="5D490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624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DD0BE">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配套承诺履约</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502E">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未按备案规模建设配套储能（或备案后申请变更项目建设内容，不再配储）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B22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7357">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B5E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760E">
            <w:pPr>
              <w:spacing w:line="560" w:lineRule="exact"/>
              <w:jc w:val="center"/>
              <w:rPr>
                <w:rFonts w:hint="eastAsia" w:ascii="宋体" w:hAnsi="宋体" w:eastAsia="宋体" w:cs="宋体"/>
                <w:i w:val="0"/>
                <w:iCs w:val="0"/>
                <w:color w:val="000000"/>
                <w:sz w:val="22"/>
                <w:szCs w:val="22"/>
                <w:u w:val="none"/>
              </w:rPr>
            </w:pPr>
          </w:p>
        </w:tc>
      </w:tr>
      <w:tr w14:paraId="68A11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943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5E23">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EFC4">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产业配套、塔材塔用未落实(每项)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5598">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F4E9">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712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916B">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按项累加</w:t>
            </w:r>
          </w:p>
        </w:tc>
      </w:tr>
      <w:tr w14:paraId="0769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CBF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021AB">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9B60">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关联产业、电力消纳拒绝履约、长期搁置不实施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209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9CBE">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5B83">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304D">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启动整改退出</w:t>
            </w:r>
          </w:p>
        </w:tc>
      </w:tr>
      <w:tr w14:paraId="5B0EF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39D2">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EF65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安全环保劳资</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D328">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施工时的生态破坏未按照行业规定修复治理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614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9C6D">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1F3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BE19">
            <w:pPr>
              <w:spacing w:line="560" w:lineRule="exact"/>
              <w:jc w:val="center"/>
              <w:rPr>
                <w:rFonts w:hint="eastAsia" w:ascii="宋体" w:hAnsi="宋体" w:eastAsia="宋体" w:cs="宋体"/>
                <w:i w:val="0"/>
                <w:iCs w:val="0"/>
                <w:color w:val="000000"/>
                <w:sz w:val="22"/>
                <w:szCs w:val="22"/>
                <w:u w:val="none"/>
              </w:rPr>
            </w:pPr>
          </w:p>
        </w:tc>
      </w:tr>
      <w:tr w14:paraId="2C826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EDF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28C09">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BB0C">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发生较大及以上安责事故、严重生态破坏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78CD">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0276">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FF97">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F52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强制退出</w:t>
            </w:r>
          </w:p>
        </w:tc>
      </w:tr>
      <w:tr w14:paraId="0982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34C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F494A">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DC57">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拖欠工程款、农民工工资信访督办(单次)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8E86">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928D">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CBB3">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FF4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可累计</w:t>
            </w:r>
          </w:p>
        </w:tc>
      </w:tr>
      <w:tr w14:paraId="5F8D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560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F8663">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047E">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督办后仍拒不整改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7A46">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ECCF">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9CDD">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9AF8">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叠加扣分</w:t>
            </w:r>
          </w:p>
        </w:tc>
      </w:tr>
      <w:tr w14:paraId="1D29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693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9C92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日常监管报送</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D18E">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瞒报/虚报/拒报进度及投资数据(单次)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10A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E2D3">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453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1617">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可累计</w:t>
            </w:r>
          </w:p>
        </w:tc>
      </w:tr>
      <w:tr w14:paraId="67C7A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25D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30A9E">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3597">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无故缺席调度、约谈会议(单次)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E73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A354">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7D76">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D08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可累计</w:t>
            </w:r>
          </w:p>
        </w:tc>
      </w:tr>
      <w:tr w14:paraId="5C0CF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B3F5">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AE937">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4E35">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长期失联、拒绝现场核查、拒不接受监管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24CF">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9D23">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A0B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FE5D">
            <w:pPr>
              <w:spacing w:line="560" w:lineRule="exact"/>
              <w:jc w:val="center"/>
              <w:rPr>
                <w:rFonts w:hint="eastAsia" w:ascii="宋体" w:hAnsi="宋体" w:eastAsia="宋体" w:cs="宋体"/>
                <w:i w:val="0"/>
                <w:iCs w:val="0"/>
                <w:color w:val="000000"/>
                <w:sz w:val="22"/>
                <w:szCs w:val="22"/>
                <w:u w:val="none"/>
              </w:rPr>
            </w:pPr>
          </w:p>
        </w:tc>
      </w:tr>
      <w:tr w14:paraId="00CE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CFB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31648">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整改附加扣分</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AF60">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虚假整改、敷衍整改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B714">
            <w:pPr>
              <w:keepNext w:val="0"/>
              <w:keepLines w:val="0"/>
              <w:widowControl/>
              <w:suppressLineNumbers w:val="0"/>
              <w:spacing w:line="5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原扣分</w:t>
            </w:r>
          </w:p>
          <w:p w14:paraId="6808E1F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加倍</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0685">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C15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DE74">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对应事项扣分加倍</w:t>
            </w:r>
          </w:p>
        </w:tc>
      </w:tr>
      <w:tr w14:paraId="21C5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59B61780">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78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B55CD11">
            <w:pPr>
              <w:spacing w:line="560" w:lineRule="exact"/>
              <w:jc w:val="center"/>
              <w:rPr>
                <w:rFonts w:hint="eastAsia" w:ascii="宋体" w:hAnsi="宋体" w:eastAsia="宋体" w:cs="宋体"/>
                <w:i w:val="0"/>
                <w:iCs w:val="0"/>
                <w:color w:val="000000"/>
                <w:sz w:val="22"/>
                <w:szCs w:val="22"/>
                <w:u w:val="none"/>
              </w:rPr>
            </w:pPr>
          </w:p>
        </w:tc>
        <w:tc>
          <w:tcPr>
            <w:tcW w:w="4860" w:type="dxa"/>
            <w:tcBorders>
              <w:top w:val="single" w:color="000000" w:sz="4" w:space="0"/>
              <w:left w:val="single" w:color="000000" w:sz="4" w:space="0"/>
              <w:bottom w:val="single" w:color="auto" w:sz="4" w:space="0"/>
              <w:right w:val="single" w:color="000000" w:sz="4" w:space="0"/>
            </w:tcBorders>
            <w:shd w:val="clear" w:color="auto" w:fill="auto"/>
            <w:vAlign w:val="center"/>
          </w:tcPr>
          <w:p w14:paraId="21212546">
            <w:pPr>
              <w:keepNext w:val="0"/>
              <w:keepLines w:val="0"/>
              <w:widowControl/>
              <w:suppressLineNumbers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逾期无整改、拒不落实整改</w:t>
            </w:r>
          </w:p>
        </w:tc>
        <w:tc>
          <w:tcPr>
            <w:tcW w:w="1200" w:type="dxa"/>
            <w:tcBorders>
              <w:top w:val="single" w:color="000000" w:sz="4" w:space="0"/>
              <w:left w:val="single" w:color="000000" w:sz="4" w:space="0"/>
              <w:bottom w:val="single" w:color="auto" w:sz="4" w:space="0"/>
              <w:right w:val="single" w:color="000000" w:sz="4" w:space="0"/>
            </w:tcBorders>
            <w:shd w:val="clear" w:color="auto" w:fill="auto"/>
            <w:vAlign w:val="center"/>
          </w:tcPr>
          <w:p w14:paraId="1C443BC1">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再加扣30</w:t>
            </w:r>
          </w:p>
        </w:tc>
        <w:tc>
          <w:tcPr>
            <w:tcW w:w="94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445016">
            <w:pPr>
              <w:spacing w:line="560" w:lineRule="exact"/>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auto" w:sz="4" w:space="0"/>
              <w:right w:val="single" w:color="000000" w:sz="4" w:space="0"/>
            </w:tcBorders>
            <w:shd w:val="clear" w:color="auto" w:fill="auto"/>
            <w:vAlign w:val="center"/>
          </w:tcPr>
          <w:p w14:paraId="49AECAFC">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7037" w:type="dxa"/>
            <w:tcBorders>
              <w:top w:val="single" w:color="000000" w:sz="4" w:space="0"/>
              <w:left w:val="single" w:color="000000" w:sz="4" w:space="0"/>
              <w:bottom w:val="single" w:color="auto" w:sz="4" w:space="0"/>
              <w:right w:val="single" w:color="000000" w:sz="4" w:space="0"/>
            </w:tcBorders>
            <w:shd w:val="clear" w:color="auto" w:fill="auto"/>
            <w:vAlign w:val="center"/>
          </w:tcPr>
          <w:p w14:paraId="0406C989">
            <w:pPr>
              <w:keepNext w:val="0"/>
              <w:keepLines w:val="0"/>
              <w:widowControl/>
              <w:suppressLineNumbers w:val="0"/>
              <w:spacing w:line="5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叠加扣分</w:t>
            </w:r>
          </w:p>
        </w:tc>
      </w:tr>
      <w:tr w14:paraId="1E2E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CBD0A5">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总扣分合计</w:t>
            </w:r>
          </w:p>
        </w:tc>
        <w:tc>
          <w:tcPr>
            <w:tcW w:w="4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FC3B1">
            <w:pPr>
              <w:spacing w:line="560" w:lineRule="exact"/>
              <w:rPr>
                <w:rFonts w:hint="eastAsia" w:ascii="宋体" w:hAnsi="宋体" w:eastAsia="宋体" w:cs="宋体"/>
                <w:b/>
                <w:bCs/>
                <w:i w:val="0"/>
                <w:iCs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21C2C">
            <w:pPr>
              <w:spacing w:line="560" w:lineRule="exact"/>
              <w:jc w:val="center"/>
              <w:rPr>
                <w:rFonts w:hint="eastAsia" w:ascii="宋体" w:hAnsi="宋体" w:eastAsia="宋体" w:cs="宋体"/>
                <w:b/>
                <w:bCs/>
                <w:i w:val="0"/>
                <w:iCs w:val="0"/>
                <w:color w:val="000000"/>
                <w:sz w:val="22"/>
                <w:szCs w:val="22"/>
                <w:u w:val="none"/>
              </w:rPr>
            </w:pPr>
          </w:p>
        </w:tc>
        <w:tc>
          <w:tcPr>
            <w:tcW w:w="9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8584E5">
            <w:pPr>
              <w:spacing w:line="560" w:lineRule="exact"/>
              <w:rPr>
                <w:rFonts w:hint="eastAsia" w:ascii="宋体" w:hAnsi="宋体" w:eastAsia="宋体" w:cs="宋体"/>
                <w:b/>
                <w:bCs/>
                <w:i w:val="0"/>
                <w:iCs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40019">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70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6317AA">
            <w:pPr>
              <w:spacing w:line="560" w:lineRule="exact"/>
              <w:jc w:val="center"/>
              <w:rPr>
                <w:rFonts w:hint="eastAsia" w:ascii="宋体" w:hAnsi="宋体" w:eastAsia="宋体" w:cs="宋体"/>
                <w:i w:val="0"/>
                <w:iCs w:val="0"/>
                <w:color w:val="000000"/>
                <w:sz w:val="22"/>
                <w:szCs w:val="22"/>
                <w:u w:val="none"/>
              </w:rPr>
            </w:pPr>
          </w:p>
        </w:tc>
      </w:tr>
      <w:tr w14:paraId="2720D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472B85">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最终考评得分</w:t>
            </w:r>
          </w:p>
        </w:tc>
        <w:tc>
          <w:tcPr>
            <w:tcW w:w="4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76468">
            <w:pPr>
              <w:spacing w:line="560" w:lineRule="exact"/>
              <w:rPr>
                <w:rFonts w:hint="eastAsia" w:ascii="宋体" w:hAnsi="宋体" w:eastAsia="宋体" w:cs="宋体"/>
                <w:b/>
                <w:bCs/>
                <w:i w:val="0"/>
                <w:iCs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2439D">
            <w:pPr>
              <w:spacing w:line="560" w:lineRule="exact"/>
              <w:jc w:val="center"/>
              <w:rPr>
                <w:rFonts w:hint="eastAsia" w:ascii="宋体" w:hAnsi="宋体" w:eastAsia="宋体" w:cs="宋体"/>
                <w:b/>
                <w:bCs/>
                <w:i w:val="0"/>
                <w:iCs w:val="0"/>
                <w:color w:val="000000"/>
                <w:sz w:val="22"/>
                <w:szCs w:val="22"/>
                <w:u w:val="none"/>
              </w:rPr>
            </w:pPr>
          </w:p>
        </w:tc>
        <w:tc>
          <w:tcPr>
            <w:tcW w:w="9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93879F">
            <w:pPr>
              <w:spacing w:line="560" w:lineRule="exact"/>
              <w:rPr>
                <w:rFonts w:hint="eastAsia" w:ascii="宋体" w:hAnsi="宋体" w:eastAsia="宋体" w:cs="宋体"/>
                <w:b/>
                <w:bCs/>
                <w:i w:val="0"/>
                <w:iCs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19D25D">
            <w:pPr>
              <w:keepNext w:val="0"/>
              <w:keepLines w:val="0"/>
              <w:widowControl/>
              <w:suppressLineNumbers w:val="0"/>
              <w:spacing w:line="5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70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7D0FD8">
            <w:pPr>
              <w:spacing w:line="560" w:lineRule="exact"/>
              <w:jc w:val="center"/>
              <w:rPr>
                <w:rFonts w:hint="eastAsia" w:ascii="宋体" w:hAnsi="宋体" w:eastAsia="宋体" w:cs="宋体"/>
                <w:i w:val="0"/>
                <w:iCs w:val="0"/>
                <w:color w:val="000000"/>
                <w:sz w:val="22"/>
                <w:szCs w:val="22"/>
                <w:u w:val="none"/>
              </w:rPr>
            </w:pPr>
          </w:p>
        </w:tc>
      </w:tr>
      <w:tr w14:paraId="5AC50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6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439C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考评意见</w:t>
            </w:r>
          </w:p>
        </w:tc>
        <w:tc>
          <w:tcPr>
            <w:tcW w:w="820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B5220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□守信 □一般失信 □严重失信 □整改退出 □强制退出</w:t>
            </w:r>
          </w:p>
        </w:tc>
        <w:tc>
          <w:tcPr>
            <w:tcW w:w="70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517EA">
            <w:pPr>
              <w:jc w:val="center"/>
              <w:rPr>
                <w:rFonts w:hint="eastAsia" w:ascii="宋体" w:hAnsi="宋体" w:eastAsia="宋体" w:cs="宋体"/>
                <w:b/>
                <w:bCs/>
                <w:i w:val="0"/>
                <w:iCs w:val="0"/>
                <w:color w:val="000000"/>
                <w:sz w:val="22"/>
                <w:szCs w:val="22"/>
                <w:u w:val="none"/>
              </w:rPr>
            </w:pPr>
          </w:p>
        </w:tc>
      </w:tr>
    </w:tbl>
    <w:p w14:paraId="7C40648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u w:val="none"/>
          <w:lang w:val="en-US" w:eastAsia="zh-CN"/>
        </w:rPr>
      </w:pPr>
    </w:p>
    <w:sectPr>
      <w:pgSz w:w="23811" w:h="16838" w:orient="landscape"/>
      <w:pgMar w:top="1531" w:right="2098" w:bottom="1531" w:left="1984"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5273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37702">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137702">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C71F0E"/>
    <w:multiLevelType w:val="singleLevel"/>
    <w:tmpl w:val="FCC71F0E"/>
    <w:lvl w:ilvl="0" w:tentative="0">
      <w:start w:val="19"/>
      <w:numFmt w:val="chineseCounting"/>
      <w:suff w:val="space"/>
      <w:lvlText w:val="第%1条"/>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B40C5"/>
    <w:rsid w:val="29275A3A"/>
    <w:rsid w:val="2D7964CB"/>
    <w:rsid w:val="318934FE"/>
    <w:rsid w:val="325FDA15"/>
    <w:rsid w:val="32A42515"/>
    <w:rsid w:val="39BDFD29"/>
    <w:rsid w:val="3C795BD7"/>
    <w:rsid w:val="3D3ED117"/>
    <w:rsid w:val="3FBE024B"/>
    <w:rsid w:val="3FF5E47D"/>
    <w:rsid w:val="4DDF847A"/>
    <w:rsid w:val="55DDC68E"/>
    <w:rsid w:val="5BD7E946"/>
    <w:rsid w:val="5CAA0F94"/>
    <w:rsid w:val="637715DA"/>
    <w:rsid w:val="652D98B8"/>
    <w:rsid w:val="6EEFD034"/>
    <w:rsid w:val="6FFEFD3B"/>
    <w:rsid w:val="71E63479"/>
    <w:rsid w:val="734A3048"/>
    <w:rsid w:val="768B40C5"/>
    <w:rsid w:val="77FB1E4B"/>
    <w:rsid w:val="78515DC4"/>
    <w:rsid w:val="78B10306"/>
    <w:rsid w:val="7AE1FEFF"/>
    <w:rsid w:val="7BDE1124"/>
    <w:rsid w:val="7BFB5CDA"/>
    <w:rsid w:val="7DBB1176"/>
    <w:rsid w:val="7EF30AA5"/>
    <w:rsid w:val="7F1D635F"/>
    <w:rsid w:val="7FDFD8DE"/>
    <w:rsid w:val="7FF53C48"/>
    <w:rsid w:val="7FFF4767"/>
    <w:rsid w:val="8FE7CEBE"/>
    <w:rsid w:val="9DAF6582"/>
    <w:rsid w:val="ACD8DA23"/>
    <w:rsid w:val="B56F8D5E"/>
    <w:rsid w:val="BEDB5F0C"/>
    <w:rsid w:val="D6BF6352"/>
    <w:rsid w:val="D9DF56AF"/>
    <w:rsid w:val="DA2399F8"/>
    <w:rsid w:val="DFCE4578"/>
    <w:rsid w:val="DFD7B0F5"/>
    <w:rsid w:val="DFFD1184"/>
    <w:rsid w:val="E3FDDF6B"/>
    <w:rsid w:val="F52B442A"/>
    <w:rsid w:val="F79B6609"/>
    <w:rsid w:val="FB6F2444"/>
    <w:rsid w:val="FBBBB16A"/>
    <w:rsid w:val="FCF7AC61"/>
    <w:rsid w:val="FDFB8170"/>
    <w:rsid w:val="FF2D1346"/>
    <w:rsid w:val="FFDE255B"/>
    <w:rsid w:val="FFDF41E5"/>
    <w:rsid w:val="FFF7F980"/>
    <w:rsid w:val="FFFB30AE"/>
    <w:rsid w:val="FFFF4D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3131</Words>
  <Characters>3150</Characters>
  <Lines>0</Lines>
  <Paragraphs>0</Paragraphs>
  <TotalTime>7</TotalTime>
  <ScaleCrop>false</ScaleCrop>
  <LinksUpToDate>false</LinksUpToDate>
  <CharactersWithSpaces>3175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2026-05-29T11:45:00Z</dcterms:created>
  <dc:creator>闫晨凯</dc:creator>
  <cp:lastModifiedBy>user</cp:lastModifiedBy>
  <cp:lastPrinted>2026-08-04T10:23:00Z</cp:lastPrinted>
  <dcterms:modified xsi:type="dcterms:W3CDTF">2026-08-03T16:56:51Z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2A299FE2FD175A9672E6656A3C0B9B08_43</vt:lpwstr>
  </property>
  <property fmtid="{D5CDD505-2E9C-101B-9397-08002B2CF9AE}" pid="4" name="KSOTemplateDocerSaveRecord">
    <vt:lpwstr>eyJoZGlkIjoiMTc2ZDdjYTdmOTBmNGQ2YTA5YzFhYWNmODVmZDkyMTIiLCJ1c2VySWQiOiI0NDMwMTQ5NTAifQ==</vt:lpwstr>
  </property>
</Properties>
</file>