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line="56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塔城地区现代农事综合服务中心</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2026年度实施方案</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（征求意见稿）</w:t>
      </w:r>
    </w:p>
    <w:p>
      <w:pPr>
        <w:spacing w:before="0" w:after="80"/>
      </w:pP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为贯彻落实《中共中央 国务院关于锚定农业农村现代化、扎实推进乡村全面振兴的意见》和</w:t>
      </w:r>
      <w:r>
        <w:rPr>
          <w:rFonts w:hint="default" w:ascii="Times New Roman" w:hAnsi="Times New Roman" w:eastAsia="仿宋_GB2312" w:cs="Times New Roman"/>
          <w:sz w:val="32"/>
          <w:szCs w:val="32"/>
        </w:rPr>
        <w:t>2025年9</w:t>
      </w:r>
      <w:r>
        <w:rPr>
          <w:rFonts w:ascii="仿宋_GB2312" w:hAnsi="仿宋_GB2312" w:eastAsia="仿宋_GB2312" w:cs="仿宋_GB2312"/>
          <w:sz w:val="32"/>
          <w:szCs w:val="32"/>
        </w:rPr>
        <w:t>月六部门《关于加强现代农事综合服务中心建设的指导意见》精神，落实《塔城地区现代农事综合服务中心建设规划》部署，按照自下而上、试点先行、立足存量、先摸底后布点的原则，以沙湾市为试点载体先行先试</w:t>
      </w:r>
      <w:r>
        <w:rPr>
          <w:rFonts w:hint="default" w:ascii="Times New Roman" w:hAnsi="Times New Roman" w:eastAsia="仿宋_GB2312" w:cs="Times New Roman"/>
          <w:sz w:val="32"/>
          <w:szCs w:val="32"/>
        </w:rPr>
        <w:t>。2026</w:t>
      </w:r>
      <w:r>
        <w:rPr>
          <w:rFonts w:ascii="仿宋_GB2312" w:hAnsi="仿宋_GB2312" w:eastAsia="仿宋_GB2312" w:cs="仿宋_GB2312"/>
          <w:sz w:val="32"/>
          <w:szCs w:val="32"/>
        </w:rPr>
        <w:t>年集中抓好综合性数字农业服务平台建设、沙湾市现代农事综合服务中心组织架构与运营主体搭建两项重点，跑通服务模式、标准与商业逻辑，为全地区推广形成可复制、可推广的依据与模式。结合沙湾实际情况，制定本实施方案。</w:t>
      </w:r>
    </w:p>
    <w:p>
      <w:pPr>
        <w:pStyle w:val="2"/>
        <w:keepNext w:val="0"/>
        <w:keepLines w:val="0"/>
        <w:pageBreakBefore w:val="0"/>
        <w:kinsoku/>
        <w:wordWrap/>
        <w:overflowPunct/>
        <w:topLinePunct w:val="0"/>
        <w:autoSpaceDE/>
        <w:autoSpaceDN/>
        <w:bidi w:val="0"/>
        <w:spacing w:before="0" w:line="560" w:lineRule="exact"/>
        <w:textAlignment w:val="auto"/>
      </w:pPr>
      <w:bookmarkStart w:id="0" w:name="_Toc22552"/>
      <w:r>
        <w:t>一、总体要求</w:t>
      </w:r>
      <w:bookmarkEnd w:id="0"/>
    </w:p>
    <w:p>
      <w:pPr>
        <w:pStyle w:val="3"/>
        <w:keepNext w:val="0"/>
        <w:keepLines w:val="0"/>
        <w:pageBreakBefore w:val="0"/>
        <w:kinsoku/>
        <w:wordWrap/>
        <w:overflowPunct/>
        <w:topLinePunct w:val="0"/>
        <w:autoSpaceDE/>
        <w:autoSpaceDN/>
        <w:bidi w:val="0"/>
        <w:spacing w:before="0" w:line="560" w:lineRule="exact"/>
        <w:textAlignment w:val="auto"/>
      </w:pPr>
      <w:bookmarkStart w:id="1" w:name="_Toc15325"/>
      <w:r>
        <w:t>（一）指导思想</w:t>
      </w:r>
      <w:bookmarkEnd w:id="1"/>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以习近平新时代中国特色社会主义思想为指导，全面贯彻落实中央、自治区和地区关于“三农”工作、乡村振兴的决策部署，立足沙湾资源禀赋与产业实际，坚持以人民为中心、以农民增收为根本，坚持数字底座先建先行、立足存量嫁接赋能，以综合性数字农业服务平台为线上中枢、以沙湾市现代农事综合服务中心为线下服务节点，</w:t>
      </w:r>
      <w:r>
        <w:rPr>
          <w:rFonts w:hint="eastAsia" w:ascii="仿宋_GB2312" w:hAnsi="仿宋_GB2312" w:eastAsia="仿宋_GB2312" w:cs="仿宋_GB2312"/>
          <w:sz w:val="32"/>
          <w:szCs w:val="32"/>
        </w:rPr>
        <w:t>“整合区域内农机、专业合作社、供销社、龙头企业、村集体经济组织等</w:t>
      </w:r>
      <w:r>
        <w:rPr>
          <w:rFonts w:ascii="仿宋_GB2312" w:hAnsi="仿宋_GB2312" w:eastAsia="仿宋_GB2312" w:cs="仿宋_GB2312"/>
          <w:sz w:val="32"/>
          <w:szCs w:val="32"/>
        </w:rPr>
        <w:t>服务资源，为农户特别是小农户提供产前、产中、产后全链条农事服务，破解“小农户对接大市场”难题，推动沙湾农业生产组织方式向组织化、集约化、现代化升级，为全地区现代农事综合服务中心建设探索路径、形成样板。</w:t>
      </w:r>
    </w:p>
    <w:p>
      <w:pPr>
        <w:pStyle w:val="3"/>
        <w:keepNext w:val="0"/>
        <w:keepLines w:val="0"/>
        <w:pageBreakBefore w:val="0"/>
        <w:kinsoku/>
        <w:wordWrap/>
        <w:overflowPunct/>
        <w:topLinePunct w:val="0"/>
        <w:autoSpaceDE/>
        <w:autoSpaceDN/>
        <w:bidi w:val="0"/>
        <w:spacing w:before="0" w:line="560" w:lineRule="exact"/>
        <w:textAlignment w:val="auto"/>
      </w:pPr>
      <w:bookmarkStart w:id="2" w:name="_Toc15970"/>
      <w:r>
        <w:t>（二）基本原则</w:t>
      </w:r>
      <w:bookmarkEnd w:id="2"/>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b/>
          <w:bCs/>
          <w:sz w:val="32"/>
          <w:szCs w:val="32"/>
        </w:rPr>
        <w:t>1．数字先行、轻资产推进。</w:t>
      </w:r>
      <w:r>
        <w:rPr>
          <w:rFonts w:ascii="仿宋_GB2312" w:hAnsi="仿宋_GB2312" w:eastAsia="仿宋_GB2312" w:cs="仿宋_GB2312"/>
          <w:sz w:val="32"/>
          <w:szCs w:val="32"/>
        </w:rPr>
        <w:t>坚持综合性数字农业服务平台先建先行，先搭建服务全地区的线上平台基础，统筹接入现有数据平台；实体一级枢纽与中心依托现有场所、存量设施改造升级，不前置重资产建设。</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b/>
          <w:bCs/>
          <w:sz w:val="32"/>
          <w:szCs w:val="32"/>
        </w:rPr>
        <w:t>2．立足存量、嫁接赋能。</w:t>
      </w:r>
      <w:r>
        <w:rPr>
          <w:rFonts w:hint="eastAsia" w:ascii="仿宋_GB2312" w:hAnsi="仿宋_GB2312" w:eastAsia="仿宋_GB2312" w:cs="仿宋_GB2312"/>
          <w:sz w:val="32"/>
          <w:szCs w:val="32"/>
        </w:rPr>
        <w:t>不另起炉灶，充分尊重现有市场格局与各类经营主体，在沙湾市供销社及区域内现有涉农企业、数字平台、农业产业化龙头企业、农机服务主体、供销合作社(联合社)、专业合作社、家庭农场、村集体经济组织等存量基础上整合升级、协同共建，重在为现有经营主体嫁接数字化、智能化、服务化、品牌化功能；中心是带动各方共同发展、合作共赢的整合平台，在现有主体基础上开展工作，不替代、不挤出现有主体，不与各类主体争利。</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b/>
          <w:bCs/>
          <w:sz w:val="32"/>
          <w:szCs w:val="32"/>
        </w:rPr>
        <w:t>3．先行摸底、后行布点。</w:t>
      </w:r>
      <w:r>
        <w:rPr>
          <w:rFonts w:ascii="仿宋_GB2312" w:hAnsi="仿宋_GB2312" w:eastAsia="仿宋_GB2312" w:cs="仿宋_GB2312"/>
          <w:sz w:val="32"/>
          <w:szCs w:val="32"/>
        </w:rPr>
        <w:t>先行开展资源、产业、用地与需求摸底和产业研究，以客观依据指导中心布点与功能配置，避免脱离实际盲目布点。</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b/>
          <w:bCs/>
          <w:sz w:val="32"/>
          <w:szCs w:val="32"/>
        </w:rPr>
        <w:t>4．政府引导、市场运作。</w:t>
      </w:r>
      <w:r>
        <w:rPr>
          <w:rFonts w:ascii="仿宋_GB2312" w:hAnsi="仿宋_GB2312" w:eastAsia="仿宋_GB2312" w:cs="仿宋_GB2312"/>
          <w:sz w:val="32"/>
          <w:szCs w:val="32"/>
        </w:rPr>
        <w:t>发挥政府引导、监管与政策支持作用，发挥市场配置资源的决定性作用，由经营主体市场化运营、自我造血，公益性服务以政府购买方式保障，不搞行政强迫、不搞“一刀切”。</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b/>
          <w:bCs/>
          <w:sz w:val="32"/>
          <w:szCs w:val="32"/>
        </w:rPr>
        <w:t>5．因地制宜、一中心一议。</w:t>
      </w:r>
      <w:r>
        <w:rPr>
          <w:rFonts w:ascii="仿宋_GB2312" w:hAnsi="仿宋_GB2312" w:eastAsia="仿宋_GB2312" w:cs="仿宋_GB2312"/>
          <w:sz w:val="32"/>
          <w:szCs w:val="32"/>
        </w:rPr>
        <w:t>结合产业基础、资源禀赋与经营状况，按产业类型分类布点、宜大则大宜小则小，运营主体与股权结构不预设统一形式，由各中心一议确定。</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b/>
          <w:bCs/>
          <w:sz w:val="32"/>
          <w:szCs w:val="32"/>
        </w:rPr>
        <w:t>6．规范运营、防止垒大户。</w:t>
      </w:r>
      <w:r>
        <w:rPr>
          <w:rFonts w:ascii="仿宋_GB2312" w:hAnsi="仿宋_GB2312" w:eastAsia="仿宋_GB2312" w:cs="仿宋_GB2312"/>
          <w:sz w:val="32"/>
          <w:szCs w:val="32"/>
        </w:rPr>
        <w:t>中心与各类服务主体地位平等、无隶属关系，不以行政命令强制其他主体更名换牌、不违规赋予业务指导职责；扶持政策科学规范、公平精准，不将财政、金融、用地等资源集中于个别主体，防止“垒大户”与市场垄断、挤压中小主体；坚持规划引领、重在统筹联合与改造升级，坚决防止一哄而上、重复建设、无序竞争，严禁“运动式”建设、杜绝“形象工程”，不擅自授牌命名，切实为基层减负。</w:t>
      </w:r>
    </w:p>
    <w:p>
      <w:pPr>
        <w:pStyle w:val="3"/>
        <w:keepNext w:val="0"/>
        <w:keepLines w:val="0"/>
        <w:pageBreakBefore w:val="0"/>
        <w:kinsoku/>
        <w:wordWrap/>
        <w:overflowPunct/>
        <w:topLinePunct w:val="0"/>
        <w:autoSpaceDE/>
        <w:autoSpaceDN/>
        <w:bidi w:val="0"/>
        <w:spacing w:before="0" w:line="560" w:lineRule="exact"/>
        <w:textAlignment w:val="auto"/>
      </w:pPr>
      <w:bookmarkStart w:id="3" w:name="_Toc6664"/>
      <w:r>
        <w:t>（三）试点定位</w:t>
      </w:r>
      <w:bookmarkEnd w:id="3"/>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选择沙湾市先行先建，基于其产业、主体、数字与改革四方面的现实基础，在塔城三市四县中最具试点条件。</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一是产业基础全、典型性强。</w:t>
      </w:r>
      <w:r>
        <w:rPr>
          <w:rFonts w:hint="eastAsia" w:ascii="仿宋_GB2312" w:hAnsi="仿宋_GB2312" w:eastAsia="仿宋_GB2312" w:cs="仿宋_GB2312"/>
          <w:sz w:val="32"/>
          <w:szCs w:val="32"/>
        </w:rPr>
        <w:t>沙湾是新疆重要优质棉生产基地、全国首批优质棉县（市）之一，棉花常年种植</w:t>
      </w:r>
      <w:r>
        <w:rPr>
          <w:rFonts w:hint="default" w:ascii="Times New Roman" w:hAnsi="Times New Roman" w:eastAsia="仿宋_GB2312" w:cs="Times New Roman"/>
          <w:sz w:val="32"/>
          <w:szCs w:val="32"/>
        </w:rPr>
        <w:t>约170万亩、机采棉综合机械化率达100%；2025年获批国家现代农</w:t>
      </w:r>
      <w:r>
        <w:rPr>
          <w:rFonts w:hint="eastAsia" w:ascii="仿宋_GB2312" w:hAnsi="仿宋_GB2312" w:eastAsia="仿宋_GB2312" w:cs="仿宋_GB2312"/>
          <w:sz w:val="32"/>
          <w:szCs w:val="32"/>
        </w:rPr>
        <w:t>业产业园（塔城地区首个国家级），并具备牛羊、大盘鸡等畜牧特色与农机研发制造基础，产业门类覆盖粮油、特色、畜牧多类，便于一地验证多类中心模式。</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二是经营主体实、组织化程度高。</w:t>
      </w:r>
      <w:r>
        <w:rPr>
          <w:rFonts w:hint="eastAsia" w:ascii="仿宋_GB2312" w:hAnsi="仿宋_GB2312" w:eastAsia="仿宋_GB2312" w:cs="仿宋_GB2312"/>
          <w:sz w:val="32"/>
          <w:szCs w:val="32"/>
        </w:rPr>
        <w:t>已培育双泉合作社（国家级示范社，社员</w:t>
      </w:r>
      <w:r>
        <w:rPr>
          <w:rFonts w:hint="default" w:ascii="Times New Roman" w:hAnsi="Times New Roman" w:eastAsia="仿宋_GB2312" w:cs="Times New Roman"/>
          <w:sz w:val="32"/>
          <w:szCs w:val="32"/>
        </w:rPr>
        <w:t>2887户、连片经营4.86万亩）、农科金岳联合社（年服务约占全市耕地53%）、宏基与鑫业（全疆采棉机改装基地，鑫业为自治区首批农机区域综合服务中心样板、塔城仅入选2家）</w:t>
      </w:r>
      <w:r>
        <w:rPr>
          <w:rFonts w:hint="eastAsia" w:ascii="仿宋_GB2312" w:hAnsi="仿宋_GB2312" w:eastAsia="仿宋_GB2312" w:cs="仿宋_GB2312"/>
          <w:sz w:val="32"/>
          <w:szCs w:val="32"/>
        </w:rPr>
        <w:t>，多方协同条件成熟。</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三是数字基础好、走在全疆前列。</w:t>
      </w:r>
      <w:r>
        <w:rPr>
          <w:rFonts w:hint="eastAsia" w:ascii="仿宋_GB2312" w:hAnsi="仿宋_GB2312" w:eastAsia="仿宋_GB2312" w:cs="仿宋_GB2312"/>
          <w:sz w:val="32"/>
          <w:szCs w:val="32"/>
        </w:rPr>
        <w:t>乡村振兴大数据中心（国有企业运营、覆盖棉花全产业链，超七成县市前来观摩）、鑫辉耀农链智服、数字棉田与“数字棉业DCI”全产业链标准体系、“农户社区模式”应用等已投入运行，“沙湾模式”数字化领先。</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四是改革意愿强、政策关注度高。</w:t>
      </w:r>
      <w:r>
        <w:rPr>
          <w:rFonts w:hint="eastAsia" w:ascii="仿宋_GB2312" w:hAnsi="仿宋_GB2312" w:eastAsia="仿宋_GB2312" w:cs="仿宋_GB2312"/>
          <w:sz w:val="32"/>
          <w:szCs w:val="32"/>
        </w:rPr>
        <w:t>沙湾系国家级农村产权制度改革先进县、全国农村产权交易规范化试点县，正推进合作社联盟化重组与二轮承包到期后的长期托管流转探索，并受自治区各级高度关注。</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hint="eastAsia" w:ascii="仿宋_GB2312" w:hAnsi="仿宋_GB2312" w:eastAsia="仿宋_GB2312" w:cs="仿宋_GB2312"/>
          <w:sz w:val="32"/>
          <w:szCs w:val="32"/>
        </w:rPr>
        <w:t>综上，以沙湾为</w:t>
      </w:r>
      <w:r>
        <w:rPr>
          <w:rFonts w:hint="default" w:ascii="Times New Roman" w:hAnsi="Times New Roman" w:eastAsia="仿宋_GB2312" w:cs="Times New Roman"/>
          <w:sz w:val="32"/>
          <w:szCs w:val="32"/>
        </w:rPr>
        <w:t>2026</w:t>
      </w:r>
      <w:r>
        <w:rPr>
          <w:rFonts w:hint="eastAsia" w:ascii="仿宋_GB2312" w:hAnsi="仿宋_GB2312" w:eastAsia="仿宋_GB2312" w:cs="仿宋_GB2312"/>
          <w:sz w:val="32"/>
          <w:szCs w:val="32"/>
        </w:rPr>
        <w:t>年先行先建载体，可借其成熟基础快速跑通体系框架，</w:t>
      </w:r>
      <w:r>
        <w:rPr>
          <w:rFonts w:ascii="仿宋_GB2312" w:hAnsi="仿宋_GB2312" w:eastAsia="仿宋_GB2312" w:cs="仿宋_GB2312"/>
          <w:sz w:val="32"/>
          <w:szCs w:val="32"/>
        </w:rPr>
        <w:t>将沙湾市试点建设成为全地区现代农事综合服务中心建设的先行先建区，先行验证“</w:t>
      </w:r>
      <w:r>
        <w:rPr>
          <w:rFonts w:hint="default" w:ascii="Times New Roman" w:hAnsi="Times New Roman" w:eastAsia="仿宋_GB2312" w:cs="Times New Roman"/>
          <w:sz w:val="32"/>
          <w:szCs w:val="32"/>
        </w:rPr>
        <w:t>1</w:t>
      </w:r>
      <w:r>
        <w:rPr>
          <w:rFonts w:ascii="仿宋_GB2312" w:hAnsi="仿宋_GB2312" w:eastAsia="仿宋_GB2312" w:cs="仿宋_GB2312"/>
          <w:sz w:val="32"/>
          <w:szCs w:val="32"/>
        </w:rPr>
        <w:t>+N+X”组织架构、运营主体培育、服务模式、服务标准与可持续商业逻辑，形成可复制、可推广的县（市）级样板，为全地区三市四县梯次推广提供方法与依据。</w:t>
      </w:r>
    </w:p>
    <w:p>
      <w:pPr>
        <w:pStyle w:val="3"/>
        <w:keepNext w:val="0"/>
        <w:keepLines w:val="0"/>
        <w:pageBreakBefore w:val="0"/>
        <w:kinsoku/>
        <w:wordWrap/>
        <w:overflowPunct/>
        <w:topLinePunct w:val="0"/>
        <w:autoSpaceDE/>
        <w:autoSpaceDN/>
        <w:bidi w:val="0"/>
        <w:spacing w:before="0" w:line="560" w:lineRule="exact"/>
        <w:textAlignment w:val="auto"/>
      </w:pPr>
      <w:bookmarkStart w:id="4" w:name="_Toc22374"/>
      <w:r>
        <w:t>（四）年度目标</w:t>
      </w:r>
      <w:bookmarkEnd w:id="4"/>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hint="default" w:ascii="Times New Roman" w:hAnsi="Times New Roman" w:eastAsia="仿宋_GB2312" w:cs="Times New Roman"/>
          <w:sz w:val="32"/>
          <w:szCs w:val="32"/>
        </w:rPr>
        <w:t>2026年为试点</w:t>
      </w:r>
      <w:r>
        <w:rPr>
          <w:rFonts w:ascii="仿宋_GB2312" w:hAnsi="仿宋_GB2312" w:eastAsia="仿宋_GB2312" w:cs="仿宋_GB2312"/>
          <w:sz w:val="32"/>
          <w:szCs w:val="32"/>
        </w:rPr>
        <w:t>起步、打基础之年，集中实现以下目标。</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hint="eastAsia" w:cs="仿宋_GB2312"/>
          <w:b/>
          <w:bCs/>
          <w:sz w:val="32"/>
          <w:szCs w:val="32"/>
          <w:lang w:val="en-US" w:eastAsia="zh-CN"/>
        </w:rPr>
        <w:t>1.</w:t>
      </w:r>
      <w:r>
        <w:rPr>
          <w:rFonts w:ascii="仿宋_GB2312" w:hAnsi="仿宋_GB2312" w:eastAsia="仿宋_GB2312" w:cs="仿宋_GB2312"/>
          <w:b/>
          <w:bCs/>
          <w:sz w:val="32"/>
          <w:szCs w:val="32"/>
        </w:rPr>
        <w:t>平台基础建成。</w:t>
      </w:r>
      <w:r>
        <w:rPr>
          <w:rFonts w:ascii="仿宋_GB2312" w:hAnsi="仿宋_GB2312" w:eastAsia="仿宋_GB2312" w:cs="仿宋_GB2312"/>
          <w:sz w:val="32"/>
          <w:szCs w:val="32"/>
        </w:rPr>
        <w:t>建成服务全地区的综合性数字农业服务平台线上平台基础，统筹接入现有数据平台，初步搭建农业大数据“一张图”基础框架。</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hint="eastAsia" w:cs="仿宋_GB2312"/>
          <w:b/>
          <w:bCs/>
          <w:sz w:val="32"/>
          <w:szCs w:val="32"/>
          <w:lang w:val="en-US" w:eastAsia="zh-CN"/>
        </w:rPr>
        <w:t>2.</w:t>
      </w:r>
      <w:r>
        <w:rPr>
          <w:rFonts w:ascii="仿宋_GB2312" w:hAnsi="仿宋_GB2312" w:eastAsia="仿宋_GB2312" w:cs="仿宋_GB2312"/>
          <w:b/>
          <w:bCs/>
          <w:sz w:val="32"/>
          <w:szCs w:val="32"/>
        </w:rPr>
        <w:t>组织架构与运营主体明确。</w:t>
      </w:r>
      <w:r>
        <w:rPr>
          <w:rFonts w:ascii="仿宋_GB2312" w:hAnsi="仿宋_GB2312" w:eastAsia="仿宋_GB2312" w:cs="仿宋_GB2312"/>
          <w:sz w:val="32"/>
          <w:szCs w:val="32"/>
        </w:rPr>
        <w:t>组建建设联席会议与工作专班，落地“1+N+X”组织架构，按产业类型培育明确沙湾市现代农事综合服务中心的运营主体，明确主体协同分工与统一标识协同机制。</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hint="eastAsia" w:cs="仿宋_GB2312"/>
          <w:b/>
          <w:bCs/>
          <w:sz w:val="32"/>
          <w:szCs w:val="32"/>
          <w:lang w:val="en-US" w:eastAsia="zh-CN"/>
        </w:rPr>
        <w:t>3.</w:t>
      </w:r>
      <w:r>
        <w:rPr>
          <w:rFonts w:ascii="仿宋_GB2312" w:hAnsi="仿宋_GB2312" w:eastAsia="仿宋_GB2312" w:cs="仿宋_GB2312"/>
          <w:b/>
          <w:bCs/>
          <w:sz w:val="32"/>
          <w:szCs w:val="32"/>
        </w:rPr>
        <w:t>摸底研究完成。</w:t>
      </w:r>
      <w:r>
        <w:rPr>
          <w:rFonts w:ascii="仿宋_GB2312" w:hAnsi="仿宋_GB2312" w:eastAsia="仿宋_GB2312" w:cs="仿宋_GB2312"/>
          <w:sz w:val="32"/>
          <w:szCs w:val="32"/>
        </w:rPr>
        <w:t>完成沙湾市资源、产业、用地与需求摸底和产业研究，形成中心布点与功能配置依据。</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hint="eastAsia" w:cs="仿宋_GB2312"/>
          <w:b/>
          <w:bCs/>
          <w:sz w:val="32"/>
          <w:szCs w:val="32"/>
          <w:lang w:val="en-US" w:eastAsia="zh-CN"/>
        </w:rPr>
        <w:t>4.</w:t>
      </w:r>
      <w:r>
        <w:rPr>
          <w:rFonts w:ascii="仿宋_GB2312" w:hAnsi="仿宋_GB2312" w:eastAsia="仿宋_GB2312" w:cs="仿宋_GB2312"/>
          <w:b/>
          <w:bCs/>
          <w:sz w:val="32"/>
          <w:szCs w:val="32"/>
        </w:rPr>
        <w:t>试点中心布点建设启动。</w:t>
      </w:r>
      <w:r>
        <w:rPr>
          <w:rFonts w:ascii="仿宋_GB2312" w:hAnsi="仿宋_GB2312" w:eastAsia="仿宋_GB2312" w:cs="仿宋_GB2312"/>
          <w:sz w:val="32"/>
          <w:szCs w:val="32"/>
        </w:rPr>
        <w:t>基于摸底研究在沙湾因地制宜布点，启动中心建设与运营，先行验证服务模式、标准与商业逻辑。</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hint="eastAsia" w:cs="仿宋_GB2312"/>
          <w:b/>
          <w:bCs/>
          <w:sz w:val="32"/>
          <w:szCs w:val="32"/>
          <w:lang w:val="en-US" w:eastAsia="zh-CN"/>
        </w:rPr>
        <w:t>5.</w:t>
      </w:r>
      <w:r>
        <w:rPr>
          <w:rFonts w:hint="eastAsia" w:ascii="仿宋_GB2312" w:hAnsi="仿宋_GB2312" w:eastAsia="仿宋_GB2312" w:cs="仿宋_GB2312"/>
          <w:b/>
          <w:bCs/>
          <w:sz w:val="32"/>
          <w:szCs w:val="32"/>
        </w:rPr>
        <w:t>投融资方案与资金筹措对接。</w:t>
      </w:r>
      <w:r>
        <w:rPr>
          <w:rFonts w:hint="eastAsia" w:ascii="仿宋_GB2312" w:hAnsi="仿宋_GB2312" w:eastAsia="仿宋_GB2312" w:cs="仿宋_GB2312"/>
          <w:sz w:val="32"/>
          <w:szCs w:val="32"/>
        </w:rPr>
        <w:t>研究形成框架性投融资建议方案（含资金来源、用途与产业基金等选项），主动对接政府、国资与金融机构，争取资金筹措落实。</w:t>
      </w:r>
    </w:p>
    <w:p>
      <w:pPr>
        <w:pStyle w:val="2"/>
        <w:keepNext w:val="0"/>
        <w:keepLines w:val="0"/>
        <w:pageBreakBefore w:val="0"/>
        <w:kinsoku/>
        <w:wordWrap/>
        <w:overflowPunct/>
        <w:topLinePunct w:val="0"/>
        <w:autoSpaceDE/>
        <w:autoSpaceDN/>
        <w:bidi w:val="0"/>
        <w:spacing w:before="0" w:line="560" w:lineRule="exact"/>
        <w:textAlignment w:val="auto"/>
      </w:pPr>
      <w:bookmarkStart w:id="5" w:name="_Toc141"/>
      <w:r>
        <w:t>二、综合性数字农业服务平台建设</w:t>
      </w:r>
      <w:bookmarkEnd w:id="5"/>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综合性数字农业服务平台建设是本年度的核心建设内容。坚持数字底座先建先行，先建成服务全地区的线上平台基础，沙湾市作为首个应用与验证场景。</w:t>
      </w:r>
    </w:p>
    <w:p>
      <w:pPr>
        <w:pStyle w:val="3"/>
        <w:keepNext w:val="0"/>
        <w:keepLines w:val="0"/>
        <w:pageBreakBefore w:val="0"/>
        <w:kinsoku/>
        <w:wordWrap/>
        <w:overflowPunct/>
        <w:topLinePunct w:val="0"/>
        <w:autoSpaceDE/>
        <w:autoSpaceDN/>
        <w:bidi w:val="0"/>
        <w:spacing w:before="0" w:line="560" w:lineRule="exact"/>
        <w:textAlignment w:val="auto"/>
      </w:pPr>
      <w:bookmarkStart w:id="6" w:name="_Toc10942"/>
      <w:r>
        <w:t>（一）平台定位与建设思路</w:t>
      </w:r>
      <w:bookmarkEnd w:id="6"/>
    </w:p>
    <w:p>
      <w:pPr>
        <w:keepNext w:val="0"/>
        <w:keepLines w:val="0"/>
        <w:pageBreakBefore w:val="0"/>
        <w:kinsoku/>
        <w:wordWrap/>
        <w:overflowPunct/>
        <w:topLinePunct w:val="0"/>
        <w:autoSpaceDE/>
        <w:autoSpaceDN/>
        <w:bidi w:val="0"/>
        <w:spacing w:before="0" w:beforeLines="0" w:line="560" w:lineRule="exact"/>
        <w:textAlignment w:val="auto"/>
        <w:rPr>
          <w:rFonts w:hint="eastAsia"/>
        </w:rPr>
      </w:pPr>
      <w:r>
        <w:rPr>
          <w:rFonts w:hint="eastAsia"/>
        </w:rPr>
        <w:t>综合性数字农业服务平台并非凭空新建，而是立足塔城已有数字家底整合升级、迭代提升。地区层面，“数塔”智慧农业大数据平台已运行一年有余，整合国家、自治区、地方各级涉农数据，以“</w:t>
      </w:r>
      <w:r>
        <w:rPr>
          <w:rFonts w:hint="default" w:ascii="Times New Roman" w:hAnsi="Times New Roman" w:cs="Times New Roman"/>
        </w:rPr>
        <w:t>5</w:t>
      </w:r>
      <w:r>
        <w:rPr>
          <w:rFonts w:hint="eastAsia"/>
        </w:rPr>
        <w:t>G＋物联网＋北斗＋无人机”主动采集替代人工上报，建成春耕生产、农资保障、农机大数据、农户画像、资金监管等</w:t>
      </w:r>
      <w:r>
        <w:rPr>
          <w:rFonts w:hint="default" w:ascii="Times New Roman" w:hAnsi="Times New Roman" w:cs="Times New Roman"/>
        </w:rPr>
        <w:t>专题，支撑地区、县市、乡镇、农户四级穿透查询，已服务800余</w:t>
      </w:r>
      <w:r>
        <w:rPr>
          <w:rFonts w:hint="eastAsia"/>
        </w:rPr>
        <w:t>万亩春耕任务，初步形成“政府决策驾驶舱＋产业服务操作台”。沙湾层面，乡村振兴大数据中心（国有企业运营、覆盖棉花全产业链）、鑫辉耀农链智服（市场化数字生态平台）、数字棉田与“数字棉业DCI”全产业链标准体系、“农户社区模式”应用等已投入运行，数字化基础全疆领先。综合性数字农业服务平台以“塔城农业大脑”为数字中枢，即在上述存量平台与数据基础上统筹接入、贯通升级，避免重复建设。</w:t>
      </w:r>
    </w:p>
    <w:p>
      <w:pPr>
        <w:keepNext w:val="0"/>
        <w:keepLines w:val="0"/>
        <w:pageBreakBefore w:val="0"/>
        <w:kinsoku/>
        <w:wordWrap/>
        <w:overflowPunct/>
        <w:topLinePunct w:val="0"/>
        <w:autoSpaceDE/>
        <w:autoSpaceDN/>
        <w:bidi w:val="0"/>
        <w:spacing w:before="0" w:beforeLines="0" w:line="560" w:lineRule="exact"/>
        <w:textAlignment w:val="auto"/>
        <w:rPr>
          <w:rFonts w:hint="eastAsia" w:eastAsia="仿宋_GB2312"/>
          <w:lang w:eastAsia="zh-CN"/>
        </w:rPr>
      </w:pPr>
      <w:r>
        <w:rPr>
          <w:rFonts w:hint="eastAsia"/>
        </w:rPr>
        <w:t>综合性数字农业服务平台是中心体系的线上中枢，定位为服务全塔城地区的统一数字平台。平台采取“线上数字平台＋线下服务网络”融合架构：线上建设统一数字平台，承载数据汇聚、服务调度与在线服务；线下以实体农事服务中心为服务网络节点。</w:t>
      </w:r>
      <w:r>
        <w:rPr>
          <w:rFonts w:hint="default" w:ascii="Times New Roman" w:hAnsi="Times New Roman" w:cs="Times New Roman"/>
        </w:rPr>
        <w:t>2026</w:t>
      </w:r>
      <w:r>
        <w:rPr>
          <w:rFonts w:hint="eastAsia"/>
        </w:rPr>
        <w:t>年坚持平台软件先建先行、轻资产推进，先建成服务全地区的线上平台基础；实体一级枢纽依托现有场所作为平台运营载体，不前置重资产建设</w:t>
      </w:r>
      <w:r>
        <w:rPr>
          <w:rFonts w:hint="eastAsia"/>
          <w:lang w:eastAsia="zh-CN"/>
        </w:rPr>
        <w:t>。</w:t>
      </w:r>
    </w:p>
    <w:p>
      <w:pPr>
        <w:pStyle w:val="3"/>
        <w:keepNext w:val="0"/>
        <w:keepLines w:val="0"/>
        <w:pageBreakBefore w:val="0"/>
        <w:kinsoku/>
        <w:wordWrap/>
        <w:overflowPunct/>
        <w:topLinePunct w:val="0"/>
        <w:autoSpaceDE/>
        <w:autoSpaceDN/>
        <w:bidi w:val="0"/>
        <w:spacing w:before="0" w:line="560" w:lineRule="exact"/>
        <w:textAlignment w:val="auto"/>
      </w:pPr>
      <w:bookmarkStart w:id="7" w:name="_Toc7917"/>
      <w:r>
        <w:t>（二）线上平台基础建设</w:t>
      </w:r>
      <w:bookmarkEnd w:id="7"/>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围绕农业生产耕、种、管、收、储、销全链条，搭建集生产资料集采配送、农机智能调度、农技指导与培训、产销对接与品牌赋能、金融保险配套、仓储物流与产后服务、公益性服务承接等于一体的平台功能基础框架。</w:t>
      </w:r>
      <w:r>
        <w:rPr>
          <w:rFonts w:hint="default" w:ascii="Times New Roman" w:hAnsi="Times New Roman" w:eastAsia="仿宋_GB2312" w:cs="Times New Roman"/>
          <w:sz w:val="32"/>
          <w:szCs w:val="32"/>
        </w:rPr>
        <w:t>2026</w:t>
      </w:r>
      <w:r>
        <w:rPr>
          <w:rFonts w:ascii="仿宋_GB2312" w:hAnsi="仿宋_GB2312" w:eastAsia="仿宋_GB2312" w:cs="仿宋_GB2312"/>
          <w:sz w:val="32"/>
          <w:szCs w:val="32"/>
        </w:rPr>
        <w:t>年先建成基础框架与核心功能并上线运行，在沙湾先行接入与应用，其余功能随建设进度逐步完善。</w:t>
      </w:r>
    </w:p>
    <w:p>
      <w:pPr>
        <w:pStyle w:val="3"/>
        <w:keepNext w:val="0"/>
        <w:keepLines w:val="0"/>
        <w:pageBreakBefore w:val="0"/>
        <w:kinsoku/>
        <w:wordWrap/>
        <w:overflowPunct/>
        <w:topLinePunct w:val="0"/>
        <w:autoSpaceDE/>
        <w:autoSpaceDN/>
        <w:bidi w:val="0"/>
        <w:spacing w:before="0" w:line="560" w:lineRule="exact"/>
        <w:textAlignment w:val="auto"/>
      </w:pPr>
      <w:bookmarkStart w:id="8" w:name="_Toc32525"/>
      <w:r>
        <w:t>（三）现有平台统筹接入与数据打通</w:t>
      </w:r>
      <w:bookmarkEnd w:id="8"/>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hint="eastAsia" w:ascii="仿宋_GB2312" w:hAnsi="仿宋_GB2312" w:eastAsia="仿宋_GB2312" w:cs="仿宋_GB2312"/>
          <w:sz w:val="32"/>
          <w:szCs w:val="32"/>
        </w:rPr>
        <w:t>在上述数字基础上，</w:t>
      </w:r>
      <w:r>
        <w:rPr>
          <w:rFonts w:ascii="仿宋_GB2312" w:hAnsi="仿宋_GB2312" w:eastAsia="仿宋_GB2312" w:cs="仿宋_GB2312"/>
          <w:sz w:val="32"/>
          <w:szCs w:val="32"/>
        </w:rPr>
        <w:t>坚持统筹接入、避免重复建设。将地区数字农业平台（数塔）作为政府数据底座统筹接入，归集耕地、草场、农机、农资、农户、养殖、气象、金融等多维数据；与沙湾市乡村振兴大数据中心打通连接，实现政务数据与市场化运营的衔接；在沙湾试点接入现有市场化数字平台与农户服务应用，丰富线上服务场景。通过统一接入，逐步打通跨部门、跨层级、跨平台数据壁垒，搭建农业大数据“一张图”基础框架。</w:t>
      </w:r>
    </w:p>
    <w:p>
      <w:pPr>
        <w:pStyle w:val="3"/>
        <w:keepNext w:val="0"/>
        <w:keepLines w:val="0"/>
        <w:pageBreakBefore w:val="0"/>
        <w:kinsoku/>
        <w:wordWrap/>
        <w:overflowPunct/>
        <w:topLinePunct w:val="0"/>
        <w:autoSpaceDE/>
        <w:autoSpaceDN/>
        <w:bidi w:val="0"/>
        <w:spacing w:before="0" w:line="560" w:lineRule="exact"/>
        <w:textAlignment w:val="auto"/>
      </w:pPr>
      <w:bookmarkStart w:id="9" w:name="_Toc10705"/>
      <w:r>
        <w:t>（四）数据标准与接口规范</w:t>
      </w:r>
      <w:bookmarkEnd w:id="9"/>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推进统一数据标准与设备接入规范建设，明确数据格式、编码、接口与设备接入要求，由工作专班组织、吸纳专业技术力量协助编制、政府审定发布；建设开放接口，实现现有数据平台与智能装备的统一接入、按需调用，并预留与金融、保险、政务等外部系统对接能力；明确农户、经营主体、政府与平台各方的数据权属、分级授权与使用规则，落实数据安全与隐私合规，为产业链数据资产化提供合规基础。</w:t>
      </w:r>
    </w:p>
    <w:p>
      <w:pPr>
        <w:pStyle w:val="3"/>
        <w:keepNext w:val="0"/>
        <w:keepLines w:val="0"/>
        <w:pageBreakBefore w:val="0"/>
        <w:kinsoku/>
        <w:wordWrap/>
        <w:overflowPunct/>
        <w:topLinePunct w:val="0"/>
        <w:autoSpaceDE/>
        <w:autoSpaceDN/>
        <w:bidi w:val="0"/>
        <w:spacing w:before="0" w:line="560" w:lineRule="exact"/>
        <w:textAlignment w:val="auto"/>
      </w:pPr>
      <w:bookmarkStart w:id="10" w:name="_Toc1162"/>
      <w:r>
        <w:t>（五）一级枢纽运营载体</w:t>
      </w:r>
      <w:bookmarkEnd w:id="10"/>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实体一级枢纽作为平台的运营与指挥调度载体，2026年依托现有场所部署、轻资产起步，承担平台运营、数据汇聚与服务调度功能；起降场、智能农机总库、维修保障等重资产设施按需配置、随业务发展逐步建设，不作为本年度前置条件。</w:t>
      </w:r>
    </w:p>
    <w:p>
      <w:pPr>
        <w:pStyle w:val="2"/>
        <w:keepNext w:val="0"/>
        <w:keepLines w:val="0"/>
        <w:pageBreakBefore w:val="0"/>
        <w:kinsoku/>
        <w:wordWrap/>
        <w:overflowPunct/>
        <w:topLinePunct w:val="0"/>
        <w:autoSpaceDE/>
        <w:autoSpaceDN/>
        <w:bidi w:val="0"/>
        <w:spacing w:before="0" w:line="560" w:lineRule="exact"/>
        <w:textAlignment w:val="auto"/>
      </w:pPr>
      <w:bookmarkStart w:id="11" w:name="_Toc28165"/>
      <w:r>
        <w:t>三、需求摸底</w:t>
      </w:r>
      <w:r>
        <w:rPr>
          <w:rFonts w:hint="eastAsia"/>
          <w:lang w:val="en-US" w:eastAsia="zh-CN"/>
        </w:rPr>
        <w:t>与</w:t>
      </w:r>
      <w:r>
        <w:t>产业研究</w:t>
      </w:r>
      <w:bookmarkEnd w:id="11"/>
    </w:p>
    <w:p>
      <w:pPr>
        <w:pStyle w:val="3"/>
        <w:keepNext w:val="0"/>
        <w:keepLines w:val="0"/>
        <w:pageBreakBefore w:val="0"/>
        <w:kinsoku/>
        <w:wordWrap/>
        <w:overflowPunct/>
        <w:topLinePunct w:val="0"/>
        <w:autoSpaceDE/>
        <w:autoSpaceDN/>
        <w:bidi w:val="0"/>
        <w:spacing w:before="0" w:line="560" w:lineRule="exact"/>
        <w:textAlignment w:val="auto"/>
      </w:pPr>
      <w:bookmarkStart w:id="12" w:name="_Toc25742"/>
      <w:r>
        <w:t>（一）摸底组织与方法</w:t>
      </w:r>
      <w:bookmarkEnd w:id="12"/>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由沙湾市工作专班牵头组织，吸纳专业技术力量支撑，采取资料收集、实地踏勘、入户走访、座谈交流、数据比对等方法，对沙湾市资源、产业、用地、需求及运营主体情况进行全面摸底和产业研究分析，形成客观、可用的一线素材与决策依据。</w:t>
      </w:r>
    </w:p>
    <w:p>
      <w:pPr>
        <w:pStyle w:val="3"/>
        <w:keepNext w:val="0"/>
        <w:keepLines w:val="0"/>
        <w:pageBreakBefore w:val="0"/>
        <w:kinsoku/>
        <w:wordWrap/>
        <w:overflowPunct/>
        <w:topLinePunct w:val="0"/>
        <w:autoSpaceDE/>
        <w:autoSpaceDN/>
        <w:bidi w:val="0"/>
        <w:spacing w:before="0" w:line="560" w:lineRule="exact"/>
        <w:textAlignment w:val="auto"/>
      </w:pPr>
      <w:bookmarkStart w:id="13" w:name="_Toc18484"/>
      <w:r>
        <w:t>（二）资源与用地摸底</w:t>
      </w:r>
      <w:bookmarkEnd w:id="13"/>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摸清沙湾耕地、草场、水利与高效节水、农机装备、仓储烘干与加工流通设施等存量资源底数；摸清可用于农资仓储、农产品加工、产地仓、服务网点等的建设用地条件与可利用的现有场所，为中心选址与依托存量布点提供依据。</w:t>
      </w:r>
    </w:p>
    <w:p>
      <w:pPr>
        <w:pStyle w:val="3"/>
        <w:keepNext w:val="0"/>
        <w:keepLines w:val="0"/>
        <w:pageBreakBefore w:val="0"/>
        <w:kinsoku/>
        <w:wordWrap/>
        <w:overflowPunct/>
        <w:topLinePunct w:val="0"/>
        <w:autoSpaceDE/>
        <w:autoSpaceDN/>
        <w:bidi w:val="0"/>
        <w:spacing w:before="0" w:line="560" w:lineRule="exact"/>
        <w:textAlignment w:val="auto"/>
      </w:pPr>
      <w:bookmarkStart w:id="14" w:name="_Toc26352"/>
      <w:r>
        <w:t>（三）产业摸底与研究</w:t>
      </w:r>
      <w:bookmarkEnd w:id="14"/>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围绕沙湾主导产业与特色产业开展产业研究。</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棉花方面，摸清种植规模、机采棉机械化水平、国家现代农业产业园、数字棉田与全过程溯源等基础及精深加工、品牌化短板；农机方面，摸清研发制造、进口农机维修改装、社会化服务与跨区作业等能力及统筹协同短板；</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畜牧方面，摸清牛羊养殖规模与育肥加工基础、家禽（大盘鸡）养殖、屠宰加工、餐饮流通、质量溯源等基础及精深加工短板；玉米、加工番茄、加工辣椒、设施蔬菜、食品加工、棉籽加工等产业，摸清规模、加工与市场基础。在此基础上分析各产业链短板与服务需求，明确中心布点与功能配置方向。</w:t>
      </w:r>
    </w:p>
    <w:p>
      <w:pPr>
        <w:pStyle w:val="3"/>
        <w:keepNext w:val="0"/>
        <w:keepLines w:val="0"/>
        <w:pageBreakBefore w:val="0"/>
        <w:kinsoku/>
        <w:wordWrap/>
        <w:overflowPunct/>
        <w:topLinePunct w:val="0"/>
        <w:autoSpaceDE/>
        <w:autoSpaceDN/>
        <w:bidi w:val="0"/>
        <w:spacing w:before="0" w:line="560" w:lineRule="exact"/>
        <w:textAlignment w:val="auto"/>
      </w:pPr>
      <w:bookmarkStart w:id="15" w:name="_Toc3940"/>
      <w:r>
        <w:t>（四）服务需求摸底</w:t>
      </w:r>
      <w:bookmarkEnd w:id="15"/>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摸清农户、</w:t>
      </w:r>
      <w:r>
        <w:rPr>
          <w:rFonts w:hint="eastAsia" w:cs="仿宋_GB2312"/>
          <w:sz w:val="32"/>
          <w:szCs w:val="32"/>
          <w:lang w:val="en-US" w:eastAsia="zh-CN"/>
        </w:rPr>
        <w:t>专业</w:t>
      </w:r>
      <w:r>
        <w:rPr>
          <w:rFonts w:ascii="仿宋_GB2312" w:hAnsi="仿宋_GB2312" w:eastAsia="仿宋_GB2312" w:cs="仿宋_GB2312"/>
          <w:sz w:val="32"/>
          <w:szCs w:val="32"/>
        </w:rPr>
        <w:t>合作社、家庭农场、龙头企业等各类主体在农资集采、托管服务、农机作业与维修、烘干仓储、产销对接、金融保险等方面的真实需求与痛点，按产业、按环节梳理需求清单，使中心功能配置精准对接需求。</w:t>
      </w:r>
    </w:p>
    <w:p>
      <w:pPr>
        <w:pStyle w:val="3"/>
        <w:keepNext w:val="0"/>
        <w:keepLines w:val="0"/>
        <w:pageBreakBefore w:val="0"/>
        <w:kinsoku/>
        <w:wordWrap/>
        <w:overflowPunct/>
        <w:topLinePunct w:val="0"/>
        <w:autoSpaceDE/>
        <w:autoSpaceDN/>
        <w:bidi w:val="0"/>
        <w:spacing w:before="0" w:line="560" w:lineRule="exact"/>
        <w:textAlignment w:val="auto"/>
      </w:pPr>
      <w:bookmarkStart w:id="16" w:name="_Toc8955"/>
      <w:r>
        <w:t>（五）运营主体摸底</w:t>
      </w:r>
      <w:bookmarkEnd w:id="16"/>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摸清沙湾本地国有企业、农业产业化龙头企业、农机服务主体、供销合作社(联合社)、专业合作社、村集体经济组织、基层供销社等可承担中心建设运营与服务承载的主体情况，评估其资质、信用、场所、运营与协同能力，为按产业类型培育明确运营主体、按规定程序择优确定统筹运营主体提供客观依据。</w:t>
      </w:r>
    </w:p>
    <w:p>
      <w:pPr>
        <w:pStyle w:val="3"/>
        <w:keepNext w:val="0"/>
        <w:keepLines w:val="0"/>
        <w:pageBreakBefore w:val="0"/>
        <w:kinsoku/>
        <w:wordWrap/>
        <w:overflowPunct/>
        <w:topLinePunct w:val="0"/>
        <w:autoSpaceDE/>
        <w:autoSpaceDN/>
        <w:bidi w:val="0"/>
        <w:spacing w:before="0" w:line="560" w:lineRule="exact"/>
        <w:textAlignment w:val="auto"/>
      </w:pPr>
      <w:bookmarkStart w:id="17" w:name="_Toc12431"/>
      <w:r>
        <w:t>（六）摸底成果</w:t>
      </w:r>
      <w:bookmarkEnd w:id="17"/>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摸底与产业研究形成资源与用地台账、产业图谱与短板清单、服务需求清单、运营主体名录与布点建议报告等成果，作为中心布点、功能配置与运营主体确定的客观依据。</w:t>
      </w:r>
    </w:p>
    <w:p>
      <w:pPr>
        <w:pStyle w:val="2"/>
        <w:keepNext w:val="0"/>
        <w:keepLines w:val="0"/>
        <w:pageBreakBefore w:val="0"/>
        <w:kinsoku/>
        <w:wordWrap/>
        <w:overflowPunct/>
        <w:topLinePunct w:val="0"/>
        <w:autoSpaceDE/>
        <w:autoSpaceDN/>
        <w:bidi w:val="0"/>
        <w:spacing w:before="0" w:line="560" w:lineRule="exact"/>
        <w:textAlignment w:val="auto"/>
      </w:pPr>
      <w:bookmarkStart w:id="18" w:name="_Toc8501"/>
      <w:r>
        <w:t>四、组织架构与运营主体搭建</w:t>
      </w:r>
      <w:bookmarkEnd w:id="18"/>
    </w:p>
    <w:p>
      <w:pPr>
        <w:keepNext w:val="0"/>
        <w:keepLines w:val="0"/>
        <w:pageBreakBefore w:val="0"/>
        <w:kinsoku/>
        <w:wordWrap/>
        <w:overflowPunct/>
        <w:topLinePunct w:val="0"/>
        <w:autoSpaceDE/>
        <w:autoSpaceDN/>
        <w:bidi w:val="0"/>
        <w:spacing w:before="0" w:beforeLines="0" w:line="560" w:lineRule="exact"/>
        <w:textAlignment w:val="auto"/>
      </w:pPr>
      <w:r>
        <w:rPr>
          <w:rFonts w:hint="eastAsia"/>
        </w:rPr>
        <w:t>组织架构与运营主体搭建是本年度的核心任务。围绕"统筹、运营、落地、协同"，组建专职推进枢纽、落地"</w:t>
      </w:r>
      <w:r>
        <w:rPr>
          <w:rFonts w:hint="default" w:ascii="Times New Roman" w:hAnsi="Times New Roman" w:cs="Times New Roman"/>
        </w:rPr>
        <w:t>1</w:t>
      </w:r>
      <w:r>
        <w:rPr>
          <w:rFonts w:hint="eastAsia"/>
        </w:rPr>
        <w:t>+N+X"组织架构、按产业类型培育明确运营主体，并配套统一标识协同等机制。贯穿其中的核心逻辑，是把现有分散的服务力量集成为"一种力量"、以制度安排让各类主体愿意跟。实体中心不新设机构、不另造主体，依托</w:t>
      </w:r>
      <w:r>
        <w:rPr>
          <w:rFonts w:hint="default" w:ascii="Times New Roman" w:hAnsi="Times New Roman" w:cs="Times New Roman"/>
        </w:rPr>
        <w:t>"1+</w:t>
      </w:r>
      <w:r>
        <w:rPr>
          <w:rFonts w:hint="eastAsia"/>
        </w:rPr>
        <w:t>N+X"架构，按市场化、自愿原则把区域内涉农国有企业、农业产业化龙头企业、农机服务龙头企业、专业合作社、供销合作社（联合社）、家庭农场、村集体经济组织等存量力量统一纳入、统一标识、统一标准，聚合为一体化服务力量；同时以制度供给保障各类主体"愿意跟、留得住、有奔头"——坚持市场化自愿加入、地位平等，以"服务合同＋收益分润＋保底收购"等利益联结让跟着干有钱赚，以统一标识与政府购买服务让加入者有单接、有背书，以准入准出与动态评估让规则公平、优者常在，实现集成不吞并、统一不替代、带动不争利。</w:t>
      </w:r>
    </w:p>
    <w:p>
      <w:pPr>
        <w:pStyle w:val="3"/>
        <w:keepNext w:val="0"/>
        <w:keepLines w:val="0"/>
        <w:pageBreakBefore w:val="0"/>
        <w:kinsoku/>
        <w:wordWrap/>
        <w:overflowPunct/>
        <w:topLinePunct w:val="0"/>
        <w:autoSpaceDE/>
        <w:autoSpaceDN/>
        <w:bidi w:val="0"/>
        <w:spacing w:before="0" w:line="560" w:lineRule="exact"/>
        <w:textAlignment w:val="auto"/>
      </w:pPr>
      <w:bookmarkStart w:id="19" w:name="_Toc27597"/>
      <w:r>
        <w:t>（一）建设联席会议与工作专班</w:t>
      </w:r>
      <w:bookmarkEnd w:id="19"/>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依托建设规划确定的专职推进枢纽，按地区、沙湾两级实体化运作。</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b/>
          <w:bCs/>
          <w:sz w:val="32"/>
          <w:szCs w:val="32"/>
        </w:rPr>
        <w:t>1．联席会议。</w:t>
      </w:r>
      <w:r>
        <w:rPr>
          <w:rFonts w:ascii="仿宋_GB2312" w:hAnsi="仿宋_GB2312" w:eastAsia="仿宋_GB2312" w:cs="仿宋_GB2312"/>
          <w:sz w:val="32"/>
          <w:szCs w:val="32"/>
        </w:rPr>
        <w:t>地区层面由地区联席会议统揽试点建设重大事项决策、跨部门统筹协调、政策与资金支持、目标分解与考核；沙湾市层面对应成立现代农事综合服务中心建设联席会议，由市人民政府分管负责同志牵头、相关部门主要负责同志为成员，负责本级决策统筹、用地与要素保障、组织</w:t>
      </w:r>
      <w:r>
        <w:rPr>
          <w:rFonts w:hint="eastAsia" w:cs="仿宋_GB2312"/>
          <w:sz w:val="32"/>
          <w:szCs w:val="32"/>
          <w:lang w:val="en-US" w:eastAsia="zh-CN"/>
        </w:rPr>
        <w:t>协调</w:t>
      </w:r>
      <w:r>
        <w:rPr>
          <w:rFonts w:ascii="仿宋_GB2312" w:hAnsi="仿宋_GB2312" w:eastAsia="仿宋_GB2312" w:cs="仿宋_GB2312"/>
          <w:sz w:val="32"/>
          <w:szCs w:val="32"/>
        </w:rPr>
        <w:t>与督办落实，并与地区联席会议相衔接。</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b/>
          <w:bCs/>
          <w:sz w:val="32"/>
          <w:szCs w:val="32"/>
        </w:rPr>
        <w:t>2．工作专班。</w:t>
      </w:r>
      <w:r>
        <w:rPr>
          <w:rFonts w:ascii="仿宋_GB2312" w:hAnsi="仿宋_GB2312" w:eastAsia="仿宋_GB2312" w:cs="仿宋_GB2312"/>
          <w:sz w:val="32"/>
          <w:szCs w:val="32"/>
        </w:rPr>
        <w:t>地区与沙湾两级分别设立工作专班、实体化集中办公。地区工作专班牵头综合性数字农业服务平台建设、数据标准与接口规范编制、对上衔接与申报储备，指导沙湾试点；沙湾市工作专班挂靠市农业农村局，从农业农村、发改、财政、自然资源、水利、供销、金融等部门抽调人员组成，必要时吸纳专业技术与专家力量支撑，承担摸底与产业研究、布点落地、运营主体培育与统一标识纳入、准入与评估试行、对接</w:t>
      </w:r>
      <w:r>
        <w:rPr>
          <w:rFonts w:hint="eastAsia" w:cs="仿宋_GB2312"/>
          <w:sz w:val="32"/>
          <w:szCs w:val="32"/>
          <w:lang w:val="en-US" w:eastAsia="zh-CN"/>
        </w:rPr>
        <w:t>专业</w:t>
      </w:r>
      <w:r>
        <w:rPr>
          <w:rFonts w:ascii="仿宋_GB2312" w:hAnsi="仿宋_GB2312" w:eastAsia="仿宋_GB2312" w:cs="仿宋_GB2312"/>
          <w:sz w:val="32"/>
          <w:szCs w:val="32"/>
        </w:rPr>
        <w:t>合作社与涉农企业、考核监测等职责。</w:t>
      </w:r>
    </w:p>
    <w:p>
      <w:pPr>
        <w:pStyle w:val="3"/>
        <w:keepNext w:val="0"/>
        <w:keepLines w:val="0"/>
        <w:pageBreakBefore w:val="0"/>
        <w:kinsoku/>
        <w:wordWrap/>
        <w:overflowPunct/>
        <w:topLinePunct w:val="0"/>
        <w:autoSpaceDE/>
        <w:autoSpaceDN/>
        <w:bidi w:val="0"/>
        <w:spacing w:before="0" w:line="560" w:lineRule="exact"/>
        <w:textAlignment w:val="auto"/>
      </w:pPr>
      <w:bookmarkStart w:id="20" w:name="_Toc15452"/>
      <w:r>
        <w:t>（二）各方职责分工</w:t>
      </w:r>
      <w:bookmarkEnd w:id="20"/>
    </w:p>
    <w:p>
      <w:pPr>
        <w:keepNext w:val="0"/>
        <w:keepLines w:val="0"/>
        <w:pageBreakBefore w:val="0"/>
        <w:widowControl w:val="0"/>
        <w:kinsoku/>
        <w:wordWrap/>
        <w:overflowPunct/>
        <w:topLinePunct w:val="0"/>
        <w:autoSpaceDE/>
        <w:autoSpaceDN/>
        <w:bidi w:val="0"/>
        <w:snapToGrid w:val="0"/>
        <w:spacing w:before="0" w:beforeLines="0" w:after="0" w:line="520" w:lineRule="exact"/>
        <w:ind w:firstLine="640"/>
        <w:jc w:val="both"/>
        <w:textAlignment w:val="auto"/>
        <w:rPr>
          <w:rFonts w:hint="eastAsia" w:eastAsia="仿宋_GB2312"/>
          <w:lang w:eastAsia="zh-CN"/>
        </w:rPr>
      </w:pPr>
      <w:r>
        <w:rPr>
          <w:rFonts w:ascii="仿宋_GB2312" w:hAnsi="仿宋_GB2312" w:eastAsia="仿宋_GB2312" w:cs="仿宋_GB2312"/>
          <w:sz w:val="32"/>
          <w:szCs w:val="32"/>
        </w:rPr>
        <w:t>明确试点各方职责如下</w:t>
      </w:r>
      <w:r>
        <w:rPr>
          <w:rFonts w:hint="eastAsia" w:cs="仿宋_GB2312"/>
          <w:sz w:val="32"/>
          <w:szCs w:val="32"/>
          <w:lang w:eastAsia="zh-CN"/>
        </w:rPr>
        <w:t>：</w:t>
      </w:r>
    </w:p>
    <w:tbl>
      <w:tblPr>
        <w:tblStyle w:val="1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610"/>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责任主体</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 w:eastAsia="仿宋_GB2312" w:cs="仿宋"/>
                <w:sz w:val="28"/>
              </w:rPr>
            </w:pPr>
            <w:r>
              <w:rPr>
                <w:rFonts w:hint="eastAsia" w:ascii="仿宋_GB2312" w:hAnsi="仿宋" w:eastAsia="仿宋_GB2312" w:cs="仿宋"/>
                <w:b w:val="0"/>
                <w:bCs w:val="0"/>
                <w:sz w:val="28"/>
                <w:szCs w:val="28"/>
              </w:rPr>
              <w:t>地区联席会议</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 w:eastAsia="仿宋_GB2312" w:cs="仿宋"/>
                <w:sz w:val="28"/>
              </w:rPr>
            </w:pPr>
            <w:r>
              <w:rPr>
                <w:rFonts w:hint="eastAsia" w:ascii="仿宋_GB2312" w:hAnsi="仿宋" w:eastAsia="仿宋_GB2312" w:cs="仿宋"/>
                <w:b w:val="0"/>
                <w:bCs w:val="0"/>
                <w:sz w:val="28"/>
                <w:szCs w:val="28"/>
              </w:rPr>
              <w:t>统揽决策、跨部门统筹协调、政策与资金支持、目标分解与考核；审定平台建设、数据标准、试点布局等重大事项。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 w:eastAsia="仿宋_GB2312" w:cs="仿宋"/>
                <w:sz w:val="28"/>
              </w:rPr>
            </w:pPr>
            <w:r>
              <w:rPr>
                <w:rFonts w:hint="eastAsia" w:ascii="仿宋_GB2312" w:hAnsi="仿宋" w:eastAsia="仿宋_GB2312" w:cs="仿宋"/>
                <w:b w:val="0"/>
                <w:bCs w:val="0"/>
                <w:sz w:val="28"/>
                <w:szCs w:val="28"/>
              </w:rPr>
              <w:t>地区农业农村局、地区工作专班</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 w:eastAsia="仿宋_GB2312" w:cs="仿宋"/>
                <w:sz w:val="28"/>
              </w:rPr>
            </w:pPr>
            <w:r>
              <w:rPr>
                <w:rFonts w:hint="eastAsia" w:ascii="仿宋_GB2312" w:hAnsi="仿宋" w:eastAsia="仿宋_GB2312" w:cs="仿宋"/>
                <w:b w:val="0"/>
                <w:bCs w:val="0"/>
                <w:sz w:val="28"/>
                <w:szCs w:val="28"/>
              </w:rPr>
              <w:t>牵头综合性数字农业服务平台建设，统筹接入数塔，组织数据标准与接口规范编制；指导沙湾试点，对上衔接自治区与国家，归口申报储备。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 w:eastAsia="仿宋_GB2312" w:cs="仿宋"/>
                <w:sz w:val="28"/>
              </w:rPr>
            </w:pPr>
            <w:r>
              <w:rPr>
                <w:rFonts w:hint="eastAsia" w:ascii="仿宋_GB2312" w:hAnsi="仿宋" w:eastAsia="仿宋_GB2312" w:cs="仿宋"/>
                <w:b w:val="0"/>
                <w:bCs w:val="0"/>
                <w:sz w:val="28"/>
                <w:szCs w:val="28"/>
              </w:rPr>
              <w:t>数塔运营主体（政府数据中心）</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 w:eastAsia="仿宋_GB2312" w:cs="仿宋"/>
                <w:sz w:val="28"/>
              </w:rPr>
            </w:pPr>
            <w:r>
              <w:rPr>
                <w:rFonts w:hint="eastAsia" w:ascii="仿宋_GB2312" w:hAnsi="仿宋" w:eastAsia="仿宋_GB2312" w:cs="仿宋"/>
                <w:b w:val="0"/>
                <w:bCs w:val="0"/>
                <w:sz w:val="28"/>
                <w:szCs w:val="28"/>
              </w:rPr>
              <w:t>作为政府数据底座按统一标准开放接入、归集涉农数据，与沙湾市乡村振兴大数据中心打通，支撑补贴核查、保险定损等数据应用。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 w:eastAsia="仿宋_GB2312" w:cs="仿宋"/>
                <w:sz w:val="28"/>
              </w:rPr>
            </w:pPr>
            <w:r>
              <w:rPr>
                <w:rFonts w:hint="eastAsia" w:ascii="仿宋_GB2312" w:hAnsi="仿宋" w:eastAsia="仿宋_GB2312" w:cs="仿宋"/>
                <w:b w:val="0"/>
                <w:bCs w:val="0"/>
                <w:sz w:val="28"/>
                <w:szCs w:val="28"/>
              </w:rPr>
              <w:t>沙湾市联席会议</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 w:eastAsia="仿宋_GB2312" w:cs="仿宋"/>
                <w:sz w:val="28"/>
              </w:rPr>
            </w:pPr>
            <w:r>
              <w:rPr>
                <w:rFonts w:hint="eastAsia" w:ascii="仿宋_GB2312" w:hAnsi="仿宋" w:eastAsia="仿宋_GB2312" w:cs="仿宋"/>
                <w:b w:val="0"/>
                <w:bCs w:val="0"/>
                <w:sz w:val="28"/>
                <w:szCs w:val="28"/>
              </w:rPr>
              <w:t>本级决策统筹、用地与要素保障、组织发动、督办落实。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沙湾市农业农村局、沙湾市工作专班</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牵头资源、产业、用地与需求摸底和产业研究，组织中心布点落地、运营主体培育与统一标识纳入、准入与评估试行，对接本地专业合作社与涉农企业，组织本级政府购买公益性服务。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沙湾市乡村振兴大数据中心运营主体</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与综合性数字农业服务平台打通对接，以政务数据赋能市场化运营。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中心运营主体（国有企业、龙头企业、专业合作社、供销合作社等各类符合条件的经营主体，按规定程序择优确定）</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市场化建设运营中心，配置功能模组，承担产前产中产后一站式服务与应急救灾作业，实现自我造血。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专业合作社与涉农企业</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按市场化、自愿原则加入中心、地位平等，按业务条线承担农机作业、维修改装、加工、流通与末端触达。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农户与村集体经济组织</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村集体提供场地、组织农户、归集需求、参与管理增收、打通服务“最后一公里”；农户以土地经营权、资金、劳动力等参与并共享收益。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1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技术支撑机构（按照有关规定引入的科研机构与专业服务机构）</w:t>
            </w:r>
          </w:p>
        </w:tc>
        <w:tc>
          <w:tcPr>
            <w:tcW w:w="5564"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提供技术、平台、标准与申报支撑。</w:t>
            </w:r>
          </w:p>
        </w:tc>
      </w:tr>
    </w:tbl>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试点工作由地区联席会议统揽，地区与沙湾两级工作专班实体化集中办公统筹推进；沙湾试点由沙湾市联席会议与工作专班具体统筹、地区工作专班指导，挂图推进、明确节点与责任。</w:t>
      </w:r>
    </w:p>
    <w:p>
      <w:pPr>
        <w:pStyle w:val="3"/>
        <w:keepNext w:val="0"/>
        <w:keepLines w:val="0"/>
        <w:pageBreakBefore w:val="0"/>
        <w:kinsoku/>
        <w:wordWrap/>
        <w:overflowPunct/>
        <w:topLinePunct w:val="0"/>
        <w:autoSpaceDE/>
        <w:autoSpaceDN/>
        <w:bidi w:val="0"/>
        <w:spacing w:before="0" w:line="560" w:lineRule="exact"/>
        <w:textAlignment w:val="auto"/>
      </w:pPr>
      <w:bookmarkStart w:id="21" w:name="_Toc26590"/>
      <w:r>
        <w:t>（三）“</w:t>
      </w:r>
      <w:r>
        <w:rPr>
          <w:rFonts w:hint="default" w:ascii="Times New Roman" w:hAnsi="Times New Roman" w:cs="Times New Roman"/>
        </w:rPr>
        <w:t>1</w:t>
      </w:r>
      <w:r>
        <w:t>+N+X”组织架构落地</w:t>
      </w:r>
      <w:bookmarkEnd w:id="21"/>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按照“</w:t>
      </w:r>
      <w:r>
        <w:rPr>
          <w:rFonts w:hint="default" w:ascii="Times New Roman" w:hAnsi="Times New Roman" w:eastAsia="仿宋_GB2312" w:cs="Times New Roman"/>
          <w:sz w:val="32"/>
          <w:szCs w:val="32"/>
        </w:rPr>
        <w:t>1</w:t>
      </w:r>
      <w:r>
        <w:rPr>
          <w:rFonts w:ascii="仿宋_GB2312" w:hAnsi="仿宋_GB2312" w:eastAsia="仿宋_GB2312" w:cs="仿宋_GB2312"/>
          <w:sz w:val="32"/>
          <w:szCs w:val="32"/>
        </w:rPr>
        <w:t>+N+X”组织架构在沙湾落地。“</w:t>
      </w:r>
      <w:r>
        <w:rPr>
          <w:rFonts w:hint="default" w:ascii="Times New Roman" w:hAnsi="Times New Roman" w:eastAsia="仿宋_GB2312" w:cs="Times New Roman"/>
          <w:sz w:val="32"/>
          <w:szCs w:val="32"/>
        </w:rPr>
        <w:t>1”</w:t>
      </w:r>
      <w:r>
        <w:rPr>
          <w:rFonts w:ascii="仿宋_GB2312" w:hAnsi="仿宋_GB2312" w:eastAsia="仿宋_GB2312" w:cs="仿宋_GB2312"/>
          <w:sz w:val="32"/>
          <w:szCs w:val="32"/>
        </w:rPr>
        <w:t>为统筹中枢，沙湾各类实体中心与服务节点全部接入服务全地区的综合性数字农业服务平台，由平台统筹调度、中心执行；“N”为沙湾市现代农事综合服务中心，是落地服务的实体节点，以承担运营核心的经营主体为运营内核，按产业类型与服务需求因地制宜布局；“X”为中心统筹集成、模块化配置的功能模组，按产业差异与建设时序灵活组合、按需配置。</w:t>
      </w:r>
    </w:p>
    <w:p>
      <w:pPr>
        <w:pStyle w:val="3"/>
        <w:keepNext w:val="0"/>
        <w:keepLines w:val="0"/>
        <w:pageBreakBefore w:val="0"/>
        <w:kinsoku/>
        <w:wordWrap/>
        <w:overflowPunct/>
        <w:topLinePunct w:val="0"/>
        <w:autoSpaceDE/>
        <w:autoSpaceDN/>
        <w:bidi w:val="0"/>
        <w:spacing w:before="0" w:line="560" w:lineRule="exact"/>
        <w:textAlignment w:val="auto"/>
      </w:pPr>
      <w:bookmarkStart w:id="22" w:name="_Toc17212"/>
      <w:r>
        <w:t>（四）按产业类型培育运营主体</w:t>
      </w:r>
      <w:bookmarkEnd w:id="22"/>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立足存量、按产业类型培育明确运营主体。依托区域内现有农机服务龙头企业、专业合作社、供销合作社（联合社）、家庭农场、村集体经济组织、基层供销社等升级培育，按产权属性区分国资、民营、混合所有制、合作社等类型，不预设统一组织形式与股权结构。建设与运营主体应为依法登记、信用良好的经营主体，具有相对固定的场所；每个中心由一家建设主体牵头建设、原则上不超过三家运营主体协同运营，产权清晰、权责相适、利益分配合理。统筹运营主体的确定，按照有关规定，以摸底研究为据，通过公开征集、综合比选等方式按“一中心一议”择优确定。同时，通过功能嫁接、统一标识纳入、政府购买服务等方式，市场化、择优、公平地培育壮大农业产业化龙头企业、专业合作社、供销合作社（联合社）等经营主体，强化联农带农，不向个别主体集中资源、防止垒大户。</w:t>
      </w:r>
    </w:p>
    <w:p>
      <w:pPr>
        <w:pStyle w:val="3"/>
        <w:keepNext w:val="0"/>
        <w:keepLines w:val="0"/>
        <w:pageBreakBefore w:val="0"/>
        <w:kinsoku/>
        <w:wordWrap/>
        <w:overflowPunct/>
        <w:topLinePunct w:val="0"/>
        <w:autoSpaceDE/>
        <w:autoSpaceDN/>
        <w:bidi w:val="0"/>
        <w:spacing w:before="0" w:line="560" w:lineRule="exact"/>
        <w:textAlignment w:val="auto"/>
      </w:pPr>
      <w:bookmarkStart w:id="23" w:name="_Toc14116"/>
      <w:r>
        <w:t>（五）多主体融合与利益联结</w:t>
      </w:r>
      <w:bookmarkEnd w:id="23"/>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推动多主体股权与业务深度融合、构建紧密型利益联结机制。在组织上，推行联合组建、合署办公、持股联管、一体化运营等方式，盘活存量资源、打破主体壁垒；在产权与核算上，可采取“分账管理、独立核算”的运行模式，明晰产权归属、规范财务运行；在利益分配上，以“服务合同＋收益分润＋保底收购”为基本联结方式，引导农户以土地经营权、资金、劳动力等多种形式入股参与，构建“股金＋租金＋薪金＋佣金＋增值收益”的农户增收机制，收益分配比例定期公示、接受监督。沙湾市大泉乡烧坊庄子村双泉合作社等本地成熟实践，可作为组织化与利益联结的实践基础予以借鉴提升。</w:t>
      </w:r>
    </w:p>
    <w:p>
      <w:pPr>
        <w:pStyle w:val="3"/>
        <w:keepNext w:val="0"/>
        <w:keepLines w:val="0"/>
        <w:pageBreakBefore w:val="0"/>
        <w:kinsoku/>
        <w:wordWrap/>
        <w:overflowPunct/>
        <w:topLinePunct w:val="0"/>
        <w:autoSpaceDE/>
        <w:autoSpaceDN/>
        <w:bidi w:val="0"/>
        <w:spacing w:before="0" w:line="560" w:lineRule="exact"/>
        <w:textAlignment w:val="auto"/>
      </w:pPr>
      <w:bookmarkStart w:id="24" w:name="_Toc10832"/>
      <w:r>
        <w:t>（六）统一标识协同机制</w:t>
      </w:r>
      <w:bookmarkEnd w:id="24"/>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为盘活存量、避免重复建设，对中心实行多主体统一标识协同机制。同一中心由运营主体牵头、相关主体自愿加入，统一名称标识与服务标准，将区域内现有农事服务主体、农机合作社、</w:t>
      </w:r>
      <w:r>
        <w:rPr>
          <w:rFonts w:hint="eastAsia" w:cs="仿宋_GB2312"/>
          <w:sz w:val="32"/>
          <w:szCs w:val="32"/>
          <w:lang w:eastAsia="zh-CN"/>
        </w:rPr>
        <w:t>基层供销社</w:t>
      </w:r>
      <w:r>
        <w:rPr>
          <w:rFonts w:ascii="仿宋_GB2312" w:hAnsi="仿宋_GB2312" w:eastAsia="仿宋_GB2312" w:cs="仿宋_GB2312"/>
          <w:sz w:val="32"/>
          <w:szCs w:val="32"/>
        </w:rPr>
        <w:t>等存量主体整合纳入中心体系；各加入主体保留自身经营属性，在中心内按统一标准运营、按分工承担相应业务、接受统一考核，实现存量资源整合升级与多主体分工协同。</w:t>
      </w:r>
    </w:p>
    <w:p>
      <w:pPr>
        <w:pStyle w:val="3"/>
        <w:keepNext w:val="0"/>
        <w:keepLines w:val="0"/>
        <w:pageBreakBefore w:val="0"/>
        <w:kinsoku/>
        <w:wordWrap/>
        <w:overflowPunct/>
        <w:topLinePunct w:val="0"/>
        <w:autoSpaceDE/>
        <w:autoSpaceDN/>
        <w:bidi w:val="0"/>
        <w:spacing w:before="0" w:line="560" w:lineRule="exact"/>
        <w:textAlignment w:val="auto"/>
      </w:pPr>
      <w:bookmarkStart w:id="25" w:name="_Toc332"/>
      <w:r>
        <w:t>（七）准入准出、动态评估与标准机制（试行框架）</w:t>
      </w:r>
      <w:bookmarkEnd w:id="25"/>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hint="default" w:ascii="Times New Roman" w:hAnsi="Times New Roman" w:eastAsia="仿宋_GB2312" w:cs="Times New Roman"/>
          <w:sz w:val="32"/>
          <w:szCs w:val="32"/>
        </w:rPr>
        <w:t>2026</w:t>
      </w:r>
      <w:r>
        <w:rPr>
          <w:rFonts w:ascii="仿宋_GB2312" w:hAnsi="仿宋_GB2312" w:eastAsia="仿宋_GB2312" w:cs="仿宋_GB2312"/>
          <w:sz w:val="32"/>
          <w:szCs w:val="32"/>
        </w:rPr>
        <w:t>年先行建立准入准出、动态评估与标准机制试行框架，由工作专班牵头、政府审定。</w:t>
      </w:r>
      <w:r>
        <w:rPr>
          <w:rFonts w:hint="eastAsia" w:ascii="仿宋_GB2312" w:hAnsi="仿宋_GB2312" w:eastAsia="仿宋_GB2312" w:cs="仿宋_GB2312"/>
          <w:sz w:val="32"/>
          <w:szCs w:val="32"/>
        </w:rPr>
        <w:t>坚持市场化、自愿加入，各类运营主体、</w:t>
      </w:r>
      <w:r>
        <w:rPr>
          <w:rFonts w:hint="eastAsia" w:cs="仿宋_GB2312"/>
          <w:sz w:val="32"/>
          <w:szCs w:val="32"/>
          <w:lang w:val="en-US" w:eastAsia="zh-CN"/>
        </w:rPr>
        <w:t>专业</w:t>
      </w:r>
      <w:r>
        <w:rPr>
          <w:rFonts w:hint="eastAsia" w:ascii="仿宋_GB2312" w:hAnsi="仿宋_GB2312" w:eastAsia="仿宋_GB2312" w:cs="仿宋_GB2312"/>
          <w:sz w:val="32"/>
          <w:szCs w:val="32"/>
        </w:rPr>
        <w:t>合作社、涉农企业等按市场化原则自愿加入中心、地位平等、无隶属关系。</w:t>
      </w:r>
      <w:r>
        <w:rPr>
          <w:rFonts w:ascii="仿宋_GB2312" w:hAnsi="仿宋_GB2312" w:eastAsia="仿宋_GB2312" w:cs="仿宋_GB2312"/>
          <w:sz w:val="32"/>
          <w:szCs w:val="32"/>
        </w:rPr>
        <w:t>明确运营主体、供应商与服务的准入条件；建立动态考核与退出替补机制，对达不到服务标准的主体予以退出、由替补主体接替；按产前、产中、产后环节先行明确试行的服务与作业标准原则。准入、评级与标准的具体办法，与地区《现代农事综合服务中心建设内容及技术要求》《现代化农事服务中心星级评价标准》及自治区认定办法相衔接，逐步完善。</w:t>
      </w:r>
    </w:p>
    <w:p>
      <w:pPr>
        <w:pStyle w:val="2"/>
        <w:keepNext w:val="0"/>
        <w:keepLines w:val="0"/>
        <w:pageBreakBefore w:val="0"/>
        <w:kinsoku/>
        <w:wordWrap/>
        <w:overflowPunct/>
        <w:topLinePunct w:val="0"/>
        <w:autoSpaceDE/>
        <w:autoSpaceDN/>
        <w:bidi w:val="0"/>
        <w:spacing w:before="0" w:line="560" w:lineRule="exact"/>
        <w:textAlignment w:val="auto"/>
      </w:pPr>
      <w:bookmarkStart w:id="26" w:name="_Toc21324"/>
      <w:r>
        <w:t>五、布点与试点建设</w:t>
      </w:r>
      <w:bookmarkEnd w:id="26"/>
    </w:p>
    <w:p>
      <w:pPr>
        <w:pStyle w:val="3"/>
        <w:keepNext w:val="0"/>
        <w:keepLines w:val="0"/>
        <w:pageBreakBefore w:val="0"/>
        <w:kinsoku/>
        <w:wordWrap/>
        <w:overflowPunct/>
        <w:topLinePunct w:val="0"/>
        <w:autoSpaceDE/>
        <w:autoSpaceDN/>
        <w:bidi w:val="0"/>
        <w:spacing w:before="0" w:line="560" w:lineRule="exact"/>
        <w:textAlignment w:val="auto"/>
      </w:pPr>
      <w:bookmarkStart w:id="27" w:name="_Toc24358"/>
      <w:r>
        <w:t>（一）布点总体方案</w:t>
      </w:r>
      <w:bookmarkEnd w:id="27"/>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基于摸底研究，按产业类型、宜大则大宜小则小、依托存量的原则在沙湾布点。2026年形成“一个综合性锚点中心＋两个专项中心＋若干专业服务站点”的布点格局，按需配置功能模组、统一接入综合性数字农业服务平台。具体中心数量、选址与功能以摸底研究和布局规划为准。</w:t>
      </w:r>
    </w:p>
    <w:tbl>
      <w:tblPr>
        <w:tblStyle w:val="15"/>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58"/>
        <w:gridCol w:w="138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bCs w:val="0"/>
                <w:kern w:val="2"/>
                <w:sz w:val="28"/>
                <w:szCs w:val="28"/>
                <w:lang w:val="en-US" w:eastAsia="zh-CN" w:bidi="ar-SA"/>
              </w:rPr>
            </w:pPr>
            <w:r>
              <w:rPr>
                <w:rFonts w:hint="eastAsia" w:ascii="黑体" w:hAnsi="黑体" w:eastAsia="黑体" w:cs="黑体"/>
                <w:b/>
                <w:bCs w:val="0"/>
                <w:kern w:val="2"/>
                <w:sz w:val="28"/>
                <w:szCs w:val="28"/>
                <w:lang w:val="en-US" w:eastAsia="zh-CN" w:bidi="ar-SA"/>
              </w:rPr>
              <w:t>中心名称</w:t>
            </w:r>
          </w:p>
        </w:tc>
        <w:tc>
          <w:tcPr>
            <w:tcW w:w="0" w:type="auto"/>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bCs w:val="0"/>
                <w:kern w:val="2"/>
                <w:sz w:val="28"/>
                <w:szCs w:val="28"/>
                <w:lang w:val="en-US" w:eastAsia="zh-CN" w:bidi="ar-SA"/>
              </w:rPr>
            </w:pPr>
            <w:r>
              <w:rPr>
                <w:rFonts w:hint="eastAsia" w:ascii="黑体" w:hAnsi="黑体" w:eastAsia="黑体" w:cs="黑体"/>
                <w:b/>
                <w:bCs w:val="0"/>
                <w:kern w:val="2"/>
                <w:sz w:val="28"/>
                <w:szCs w:val="28"/>
                <w:lang w:val="en-US" w:eastAsia="zh-CN" w:bidi="ar-SA"/>
              </w:rPr>
              <w:t>产业类型</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bCs w:val="0"/>
                <w:kern w:val="2"/>
                <w:sz w:val="28"/>
                <w:szCs w:val="28"/>
                <w:lang w:val="en-US" w:eastAsia="zh-CN" w:bidi="ar-SA"/>
              </w:rPr>
            </w:pPr>
            <w:r>
              <w:rPr>
                <w:rFonts w:hint="eastAsia" w:ascii="黑体" w:hAnsi="黑体" w:eastAsia="黑体" w:cs="黑体"/>
                <w:b/>
                <w:bCs w:val="0"/>
                <w:kern w:val="2"/>
                <w:sz w:val="28"/>
                <w:szCs w:val="28"/>
                <w:lang w:val="en-US" w:eastAsia="zh-CN" w:bidi="ar-SA"/>
              </w:rPr>
              <w:t>运营主体培育方向与确定方式</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bCs w:val="0"/>
                <w:kern w:val="2"/>
                <w:sz w:val="28"/>
                <w:szCs w:val="28"/>
                <w:lang w:val="en-US" w:eastAsia="zh-CN" w:bidi="ar-SA"/>
              </w:rPr>
            </w:pPr>
            <w:r>
              <w:rPr>
                <w:rFonts w:hint="eastAsia" w:ascii="黑体" w:hAnsi="黑体" w:eastAsia="黑体" w:cs="黑体"/>
                <w:b/>
                <w:bCs w:val="0"/>
                <w:kern w:val="2"/>
                <w:sz w:val="28"/>
                <w:szCs w:val="28"/>
                <w:lang w:val="en-US" w:eastAsia="zh-CN" w:bidi="ar-SA"/>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棉花综合中心（锚点）</w:t>
            </w:r>
          </w:p>
        </w:tc>
        <w:tc>
          <w:tcPr>
            <w:tcW w:w="0" w:type="auto"/>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特色产业类</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按规定通过公开征集、综合比选择优确定牵头主体；产业园运营主体、国有企业、农机服务联合社、基层供销社等符合条件主体平等参与</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适配性种养、全要素集采、全程数智化作业、统防统治、烘干仓储、轧花与棉籽加工衔接、品牌与溯源、金融保险撮合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农机研发制造专项中心</w:t>
            </w:r>
          </w:p>
        </w:tc>
        <w:tc>
          <w:tcPr>
            <w:tcW w:w="0" w:type="auto"/>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农机研发制造（支撑型）</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区域内具备研发制造、维修改装、作业验证能力的存量主体协同参与；牵头统筹主体按规定公开择优确定</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农机维修保养、进口农机维修改装与国产化升级、新装备试验示范与中试熟化、农机社会化服务与跨区作业调度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畜牧专项中心（牛羊＋家禽）</w:t>
            </w:r>
          </w:p>
        </w:tc>
        <w:tc>
          <w:tcPr>
            <w:tcW w:w="0" w:type="auto"/>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畜牧类</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牛羊、家禽养殖与加工流通主体及相关行业协会等协同承载；牵头运营主体按规定公开择优确定</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牛羊与家禽规模化养殖服务、饲草料加工配送、畜禽健康与防疫、屠宰加工与冷链衔接、质量溯源、产销对接与品牌赋能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258"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专业服务站点（若干）</w:t>
            </w:r>
          </w:p>
        </w:tc>
        <w:tc>
          <w:tcPr>
            <w:tcW w:w="138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末端服务</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现有专业合作社、基层供销社、村集体经济组织等</w:t>
            </w:r>
          </w:p>
        </w:tc>
        <w:tc>
          <w:tcPr>
            <w:tcW w:w="3020"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就近提供单一或少数功能的末端服务与触达</w:t>
            </w:r>
          </w:p>
        </w:tc>
      </w:tr>
    </w:tbl>
    <w:p>
      <w:pPr>
        <w:keepNext w:val="0"/>
        <w:keepLines w:val="0"/>
        <w:pageBreakBefore w:val="0"/>
        <w:kinsoku/>
        <w:wordWrap/>
        <w:overflowPunct/>
        <w:topLinePunct w:val="0"/>
        <w:autoSpaceDE/>
        <w:autoSpaceDN/>
        <w:bidi w:val="0"/>
        <w:spacing w:before="0" w:beforeLines="0" w:after="0" w:line="560" w:lineRule="exact"/>
        <w:ind w:firstLine="640"/>
        <w:textAlignment w:val="auto"/>
      </w:pPr>
      <w:r>
        <w:rPr>
          <w:rFonts w:ascii="仿宋_GB2312" w:hAnsi="仿宋_GB2312" w:eastAsia="仿宋_GB2312" w:cs="仿宋_GB2312"/>
          <w:sz w:val="28"/>
          <w:szCs w:val="28"/>
        </w:rPr>
        <w:t>注：上表为基于现有调研提出的建议方案，作为与地方政府及各主体协商的起点；中心数量、选址、承载主体与功能以摸底研究和布局规划确定优化，承载主体按“一中心一议”协商。</w:t>
      </w:r>
    </w:p>
    <w:p>
      <w:pPr>
        <w:pStyle w:val="3"/>
        <w:keepNext w:val="0"/>
        <w:keepLines w:val="0"/>
        <w:pageBreakBefore w:val="0"/>
        <w:kinsoku/>
        <w:wordWrap/>
        <w:overflowPunct/>
        <w:topLinePunct w:val="0"/>
        <w:autoSpaceDE/>
        <w:autoSpaceDN/>
        <w:bidi w:val="0"/>
        <w:spacing w:before="0" w:line="560" w:lineRule="exact"/>
        <w:textAlignment w:val="auto"/>
      </w:pPr>
      <w:bookmarkStart w:id="28" w:name="_Toc25080"/>
      <w:r>
        <w:t>（二）棉花综合中心</w:t>
      </w:r>
      <w:bookmarkEnd w:id="28"/>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依托沙湾国家现代农业产业园（棉花主导，“一核三区一带”布局）布局棉花综合性锚点中心，统筹利用产业园良种繁育、科研示范、生产加工等基础以及数字棉田、全过程溯源认证体系。</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运营主体按照有关规定，通过公开征集、综合比选等方式择优确定牵头主体，产业园运营主体、国有企业、规模化农机服务联合社、基层供销社等各类符合条件的经营主体平等参与、共同承载；选址依托产业园核心区现有场所、轻资产起步；建设规模按棉花产业规模与服务需求确定、宜大则大。重点提供适配性种养、全要素集采、全程数智化作业、统防统治、烘干仓储、棉花轧花与棉籽加工衔接、区域公用品牌与溯源、金融保险撮合等服务，向纺织等下游延伸，补齐精深加工与品牌化短板。</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上述构成为建议方案，作为与地方政府及各主体协商的起点，最终经摸底研究与“一中心一议”确定优化。</w:t>
      </w:r>
    </w:p>
    <w:p>
      <w:pPr>
        <w:pStyle w:val="3"/>
        <w:keepNext w:val="0"/>
        <w:keepLines w:val="0"/>
        <w:pageBreakBefore w:val="0"/>
        <w:kinsoku/>
        <w:wordWrap/>
        <w:overflowPunct/>
        <w:topLinePunct w:val="0"/>
        <w:autoSpaceDE/>
        <w:autoSpaceDN/>
        <w:bidi w:val="0"/>
        <w:spacing w:before="0" w:line="560" w:lineRule="exact"/>
        <w:textAlignment w:val="auto"/>
      </w:pPr>
      <w:bookmarkStart w:id="29" w:name="_Toc8848"/>
      <w:r>
        <w:t>（三）农机研发</w:t>
      </w:r>
      <w:r>
        <w:rPr>
          <w:rFonts w:hint="eastAsia"/>
          <w:lang w:eastAsia="zh-CN"/>
        </w:rPr>
        <w:t>制造</w:t>
      </w:r>
      <w:r>
        <w:t>专项中心。</w:t>
      </w:r>
      <w:bookmarkEnd w:id="29"/>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依托沙湾农机研发制造与维修改装基础、结合沙湾国家农业科技园区“现代农机装备制造与服务”方向布局农机研发</w:t>
      </w:r>
      <w:r>
        <w:rPr>
          <w:rFonts w:hint="eastAsia" w:cs="仿宋_GB2312"/>
          <w:sz w:val="32"/>
          <w:szCs w:val="32"/>
          <w:lang w:eastAsia="zh-CN"/>
        </w:rPr>
        <w:t>制造</w:t>
      </w:r>
      <w:r>
        <w:rPr>
          <w:rFonts w:ascii="仿宋_GB2312" w:hAnsi="仿宋_GB2312" w:eastAsia="仿宋_GB2312" w:cs="仿宋_GB2312"/>
          <w:sz w:val="32"/>
          <w:szCs w:val="32"/>
        </w:rPr>
        <w:t>专项中心，以“研发制造＋维修改装＋作业验证”协同格局为核心构成。</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区域内已有相应存量基础：农机研发制造主体宏基农机具备高效播种机、采棉机改打包、激光除草、残膜回收、中亚跨境播种机等研发制造能力；农机维修改装龙头鑫业农机合作社为自治区首批农机区域综合服务中心样板、全疆约翰迪尔采棉机改装基地；双泉合作社等土地规模化经营主体可支撑作业验证。</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发挥研发制造、维修改装、作业验证各方优势、形成合力，支持相关主体按市场化原则组建紧密型运营主体，统一对外承接业务、内部分工协同；牵头主体按照有关规定，以摸底研究为据，通过公开征集、综合比选等方式按"一中心一议"择优确定。</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选址依托现有研发制造与维修改装场所及科技园区。重点提供农机维修保养、进口农机维修改装与国产化升级、新装备试验示范与中试熟化、农机社会化服务与跨区作业调度等服务，对接国家级农机检验检测与试验体系，推动采棉机等装备国产化应用与本地农机制造，并对接面向中亚的农机装备拓展。</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上述构成为建议方案，最终经摸底研究与“一中心一议”确定优化。</w:t>
      </w:r>
    </w:p>
    <w:p>
      <w:pPr>
        <w:pStyle w:val="3"/>
        <w:keepNext w:val="0"/>
        <w:keepLines w:val="0"/>
        <w:pageBreakBefore w:val="0"/>
        <w:kinsoku/>
        <w:wordWrap/>
        <w:overflowPunct/>
        <w:topLinePunct w:val="0"/>
        <w:autoSpaceDE/>
        <w:autoSpaceDN/>
        <w:bidi w:val="0"/>
        <w:spacing w:before="0" w:line="560" w:lineRule="exact"/>
        <w:textAlignment w:val="auto"/>
      </w:pPr>
      <w:bookmarkStart w:id="30" w:name="_Toc4370"/>
      <w:r>
        <w:t>（四）畜牧专项中心</w:t>
      </w:r>
      <w:bookmarkEnd w:id="30"/>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依托沙湾畜牧养殖基础布局畜牧专项中心，以牛羊养殖为规模底盘、家禽（大盘鸡）全产业链为特色重点。</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牛羊以本地规模化养殖、育肥与加工主体为承载（养殖规模待摸底确定）；</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家禽依托沙湾大盘鸡特色产业与大盘鸡质量溯源体系，养殖依托本地家禽养殖合作社，加工流通依托大盘鸡产业链加工企业（宝源食品科技、广海记、阳光食品、宇恒食品等），并由沙湾市大盘鸡协会等组织协同；</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运营主体按照有关规定，通过公开征集、综合比选等方式择优确定牵头主体，养殖加工流通企业、专业合作社、行业协会等各类符合条件主体平等参与。重点提供牛羊与家禽规模化养殖服务、饲草料加工配送、畜禽健康与防疫管理、屠宰加工与冷链保鲜衔接、质量溯源、产销对接与品牌赋能等服务，补齐家禽精深加工（卤味调味品、团膳快餐、羽绒制品、蛋液加工等）短板，以大盘鸡名片带动养殖、加工、品牌融合发展；餐饮、文旅等环节由相关主体承接，不纳入中心建设范围。</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上述构成为建议方案，牛羊养殖规模与承载主体经摸底研究与“一中心一议”确定优化。</w:t>
      </w:r>
    </w:p>
    <w:p>
      <w:pPr>
        <w:pStyle w:val="3"/>
        <w:keepNext w:val="0"/>
        <w:keepLines w:val="0"/>
        <w:pageBreakBefore w:val="0"/>
        <w:kinsoku/>
        <w:wordWrap/>
        <w:overflowPunct/>
        <w:topLinePunct w:val="0"/>
        <w:autoSpaceDE/>
        <w:autoSpaceDN/>
        <w:bidi w:val="0"/>
        <w:spacing w:before="0" w:line="560" w:lineRule="exact"/>
        <w:textAlignment w:val="auto"/>
      </w:pPr>
      <w:bookmarkStart w:id="31" w:name="_Toc21080"/>
      <w:r>
        <w:t>（五）专业服务站点</w:t>
      </w:r>
      <w:bookmarkEnd w:id="31"/>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依托现有</w:t>
      </w:r>
      <w:r>
        <w:rPr>
          <w:rFonts w:hint="eastAsia" w:cs="仿宋_GB2312"/>
          <w:sz w:val="32"/>
          <w:szCs w:val="32"/>
          <w:lang w:val="en-US" w:eastAsia="zh-CN"/>
        </w:rPr>
        <w:t>专业</w:t>
      </w:r>
      <w:r>
        <w:rPr>
          <w:rFonts w:ascii="仿宋_GB2312" w:hAnsi="仿宋_GB2312" w:eastAsia="仿宋_GB2312" w:cs="仿宋_GB2312"/>
          <w:sz w:val="32"/>
          <w:szCs w:val="32"/>
        </w:rPr>
        <w:t>合作社、村集体经济组织设施布局若干专业服务站点，就近提供单一或少数功能的末端服务与触达，作为“小农户对接大市场”的第一触点。</w:t>
      </w:r>
    </w:p>
    <w:p>
      <w:pPr>
        <w:pStyle w:val="3"/>
        <w:keepNext w:val="0"/>
        <w:keepLines w:val="0"/>
        <w:pageBreakBefore w:val="0"/>
        <w:kinsoku/>
        <w:wordWrap/>
        <w:overflowPunct/>
        <w:topLinePunct w:val="0"/>
        <w:autoSpaceDE/>
        <w:autoSpaceDN/>
        <w:bidi w:val="0"/>
        <w:spacing w:before="0" w:line="560" w:lineRule="exact"/>
        <w:textAlignment w:val="auto"/>
      </w:pPr>
      <w:bookmarkStart w:id="32" w:name="_Toc20240"/>
      <w:r>
        <w:t>（六）功能配置</w:t>
      </w:r>
      <w:bookmarkEnd w:id="32"/>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中心功能分核心功能与拓展功能。</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核心功能为全程数智化作业与全域体系化农事服务。</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拓展功能按必配、选配配置：</w:t>
      </w:r>
      <w:r>
        <w:rPr>
          <w:rFonts w:hint="eastAsia" w:ascii="仿宋_GB2312" w:hAnsi="仿宋_GB2312" w:eastAsia="仿宋_GB2312" w:cs="仿宋_GB2312"/>
          <w:sz w:val="32"/>
          <w:szCs w:val="32"/>
        </w:rPr>
        <w:t>产前以全要素集采为必配，集中育苗与种子加工差异化配置（育苗线特色产业类中心必配、其他类型选配；种子加工线选配）</w:t>
      </w:r>
      <w:r>
        <w:rPr>
          <w:rFonts w:ascii="仿宋_GB2312" w:hAnsi="仿宋_GB2312" w:eastAsia="仿宋_GB2312" w:cs="仿宋_GB2312"/>
          <w:sz w:val="32"/>
          <w:szCs w:val="32"/>
        </w:rPr>
        <w:t>；产中以数字化管理调度、农机维修保养、技术培训实训、农技服务、应急救灾为必配，饲草料加工配送为选配；产后以烘干仓储为必配，农产品初加工与冷链保鲜、产销对接与品牌赋能、农业废弃物资源化利用为选配；全程以新技术新装备试验示范、农事研学与农业文旅、金融保险撮合为选配。各中心按产业差异与建设时序差异化配置。</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坚持“平急两用、一专多能”，平时提供市场化农事服务，急时承接防灾减灾与应急救灾。常态化组建农业应急救灾作业服务队、强化应急指挥调度，针对暴风雪、旱灾、风灾等灾害开展抢险救灾本地作业与跨区支援；通过政府购买服务承接应急救灾、重大动植物疫病防控、农产品质量安全检测等公益性服务，实现公益性服务与经营性服务有机结合。</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聚焦小农户规模小、装备缺、技术弱、成本高的痛点，推出菜单式、轻量化、定制化农事服务包，开展上门对接、连片托管、代耕代种、代防代治、代烘代储代销等便民服务，依托村集体经济组织打通服务“最后一公里”，确保小农户平等享受农机装备、农技指导、农资供应等服务资源，推动小农户与现代农业有机衔接。</w:t>
      </w:r>
    </w:p>
    <w:p>
      <w:pPr>
        <w:pStyle w:val="3"/>
        <w:keepNext w:val="0"/>
        <w:keepLines w:val="0"/>
        <w:pageBreakBefore w:val="0"/>
        <w:kinsoku/>
        <w:wordWrap/>
        <w:overflowPunct/>
        <w:topLinePunct w:val="0"/>
        <w:autoSpaceDE/>
        <w:autoSpaceDN/>
        <w:bidi w:val="0"/>
        <w:spacing w:before="0" w:line="560" w:lineRule="exact"/>
        <w:textAlignment w:val="auto"/>
      </w:pPr>
      <w:bookmarkStart w:id="33" w:name="_Toc8828"/>
      <w:r>
        <w:t>（七）对接</w:t>
      </w:r>
      <w:r>
        <w:rPr>
          <w:rFonts w:hint="eastAsia"/>
          <w:lang w:val="en-US" w:eastAsia="zh-CN"/>
        </w:rPr>
        <w:t>专业</w:t>
      </w:r>
      <w:r>
        <w:t>合作社与涉农企业</w:t>
      </w:r>
      <w:bookmarkEnd w:id="33"/>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中心是统筹服务资源、补齐服务短板的一站式集成平台，重点聚焦市场需求迫切、资金投入较大、单个服务主体做不了、做不好的环节；各类农业服务主体及供销等机构均可依托平台发挥作用，加强与粮食储备、供销等协同，盘活现有服务资源。</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hint="eastAsia" w:ascii="仿宋_GB2312" w:hAnsi="仿宋_GB2312" w:eastAsia="仿宋_GB2312" w:cs="仿宋_GB2312"/>
          <w:sz w:val="32"/>
          <w:szCs w:val="32"/>
        </w:rPr>
        <w:t>按业务条线分工、经统一标识协同机制，体系化组织中心与沙湾本地各类主体对接协同。主要对接安排按主体类别如下</w:t>
      </w:r>
      <w:r>
        <w:rPr>
          <w:rFonts w:ascii="仿宋_GB2312" w:hAnsi="仿宋_GB2312" w:eastAsia="仿宋_GB2312" w:cs="仿宋_GB2312"/>
          <w:sz w:val="32"/>
          <w:szCs w:val="32"/>
        </w:rPr>
        <w:t>。</w:t>
      </w:r>
    </w:p>
    <w:tbl>
      <w:tblPr>
        <w:tblStyle w:val="1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695"/>
        <w:gridCol w:w="5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3695"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bCs w:val="0"/>
                <w:kern w:val="2"/>
                <w:sz w:val="28"/>
                <w:szCs w:val="28"/>
                <w:lang w:val="en-US" w:eastAsia="zh-CN" w:bidi="ar-SA"/>
              </w:rPr>
            </w:pPr>
            <w:r>
              <w:rPr>
                <w:rFonts w:hint="eastAsia" w:ascii="黑体" w:hAnsi="黑体" w:eastAsia="黑体" w:cs="黑体"/>
                <w:b/>
                <w:bCs w:val="0"/>
                <w:kern w:val="2"/>
                <w:sz w:val="28"/>
                <w:szCs w:val="28"/>
                <w:lang w:val="en-US" w:eastAsia="zh-CN" w:bidi="ar-SA"/>
              </w:rPr>
              <w:t>对接主体（按类别）</w:t>
            </w:r>
          </w:p>
        </w:tc>
        <w:tc>
          <w:tcPr>
            <w:tcW w:w="5479"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bCs w:val="0"/>
                <w:kern w:val="2"/>
                <w:sz w:val="28"/>
                <w:szCs w:val="28"/>
                <w:lang w:val="en-US" w:eastAsia="zh-CN" w:bidi="ar-SA"/>
              </w:rPr>
            </w:pPr>
            <w:r>
              <w:rPr>
                <w:rFonts w:hint="eastAsia" w:ascii="黑体" w:hAnsi="黑体" w:eastAsia="黑体" w:cs="黑体"/>
                <w:b/>
                <w:bCs w:val="0"/>
                <w:kern w:val="2"/>
                <w:sz w:val="28"/>
                <w:szCs w:val="28"/>
                <w:lang w:val="en-US" w:eastAsia="zh-CN" w:bidi="ar-SA"/>
              </w:rPr>
              <w:t>在中心体系中的定位与对接方式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95"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数据主体：数塔、沙湾乡村振兴大数据中心（鑫垚）、鑫辉耀农链智服、农户社区应用</w:t>
            </w:r>
          </w:p>
        </w:tc>
        <w:tc>
          <w:tcPr>
            <w:tcW w:w="5479"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数塔作为地区政府数据底座统筹接入；沙湾乡村振兴大数据中心（鑫垚）打通对接、以政务数据赋能市场化运营；现有市场化数字平台与农户服务应用按需接入，丰富线上服务场景。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95"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农机研发制造主体：宏基农机、鑫业农机合作社</w:t>
            </w:r>
          </w:p>
        </w:tc>
        <w:tc>
          <w:tcPr>
            <w:tcW w:w="5479"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纳入农机研发制造专项中心。宏基承担研发制造、新装备试验示范与作业验证；鑫业承担进口农机维修、采棉机打包改装与国产发动机替换、农机社会化服务与跨区作业调度。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95"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土地规模化与村级组织化主体：双泉合作社、农科金岳联合社</w:t>
            </w:r>
          </w:p>
        </w:tc>
        <w:tc>
          <w:tcPr>
            <w:tcW w:w="5479"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双泉以专业服务站点纳入中心体系，承载土地托管流转、规模化作业组织与末端触达（社员2887户、连片经营4.86万亩，覆盖3乡9村及兵团连队，国家级示范社），其组织化与利益联结实践予以借鉴提升；农科金岳联合社按自愿原则统一标识纳入，承担规模化农机作业与社会化服务（年服务约占全市耕地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95"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畜牧（牛羊＋家禽）主体：本地牛羊养殖加工主体、家禽养殖合作社、大盘鸡加工企业（宝源食品科技、广海记、阳光食品、宇恒食品等）、沙湾市大盘鸡协会</w:t>
            </w:r>
          </w:p>
        </w:tc>
        <w:tc>
          <w:tcPr>
            <w:tcW w:w="5479"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纳入畜牧专项中心。牛羊主体承担规模化养殖、育肥与屠宰加工（规模待摸底）；家禽链承担养殖、屠宰加工、质量溯源与产销对接，大盘鸡协会协同组织养殖与加工标准、品牌与溯源。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3695"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流通与存量服务主体：沙湾市供销社及基层供销社、农机服务合作社等</w:t>
            </w:r>
          </w:p>
        </w:tc>
        <w:tc>
          <w:tcPr>
            <w:tcW w:w="5479" w:type="dxa"/>
            <w:tcBorders>
              <w:top w:val="single" w:color="auto" w:sz="4" w:space="0"/>
              <w:left w:val="single" w:color="auto" w:sz="4" w:space="0"/>
              <w:bottom w:val="single" w:color="auto" w:sz="4" w:space="0"/>
              <w:right w:val="single" w:color="auto" w:sz="4" w:space="0"/>
            </w:tcBorders>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snapToGrid w:val="0"/>
              <w:spacing w:before="0" w:beforeLines="0"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按自愿原则统一标识纳入中心体系，按业务条线承担农机作业、农资集采配送与流通等。 </w:t>
            </w:r>
          </w:p>
        </w:tc>
      </w:tr>
    </w:tbl>
    <w:p>
      <w:pPr>
        <w:keepNext w:val="0"/>
        <w:keepLines w:val="0"/>
        <w:pageBreakBefore w:val="0"/>
        <w:kinsoku/>
        <w:wordWrap/>
        <w:overflowPunct/>
        <w:topLinePunct w:val="0"/>
        <w:autoSpaceDE/>
        <w:autoSpaceDN/>
        <w:bidi w:val="0"/>
        <w:spacing w:before="0" w:beforeLines="0" w:after="0" w:line="560" w:lineRule="exact"/>
        <w:ind w:firstLine="64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注：上表为目前已明确的重点对接主体，按“明确一家、对接一家”先行对接；其余符合条件的主体随摸底完善、按自愿原则纳入，预留后续接入接口；对接坚持市场化、自愿、平等原则，同类主体均可按同等条件加入，具体合作以依法协商签约为准。</w:t>
      </w:r>
    </w:p>
    <w:p>
      <w:pPr>
        <w:keepNext w:val="0"/>
        <w:keepLines w:val="0"/>
        <w:pageBreakBefore w:val="0"/>
        <w:kinsoku/>
        <w:wordWrap/>
        <w:overflowPunct/>
        <w:topLinePunct w:val="0"/>
        <w:autoSpaceDE/>
        <w:autoSpaceDN/>
        <w:bidi w:val="0"/>
        <w:spacing w:before="0" w:beforeLines="0" w:after="0" w:line="5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按主体现有基础实行差异化施策，分“提升赋能、补强提升、填补空白”三档。</w:t>
      </w:r>
    </w:p>
    <w:p>
      <w:pPr>
        <w:keepNext w:val="0"/>
        <w:keepLines w:val="0"/>
        <w:pageBreakBefore w:val="0"/>
        <w:kinsoku/>
        <w:wordWrap/>
        <w:overflowPunct/>
        <w:topLinePunct w:val="0"/>
        <w:autoSpaceDE/>
        <w:autoSpaceDN/>
        <w:bidi w:val="0"/>
        <w:spacing w:before="0" w:beforeLines="0" w:after="0" w:line="5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一是对基础好的主体进一步赋能：双泉合作社（国家级示范社，社员</w:t>
      </w:r>
      <w:r>
        <w:rPr>
          <w:rFonts w:hint="default" w:ascii="Times New Roman" w:hAnsi="Times New Roman" w:eastAsia="仿宋_GB2312" w:cs="Times New Roman"/>
          <w:sz w:val="28"/>
          <w:szCs w:val="28"/>
        </w:rPr>
        <w:t>2887</w:t>
      </w:r>
      <w:r>
        <w:rPr>
          <w:rFonts w:hint="eastAsia" w:ascii="仿宋_GB2312" w:hAnsi="仿宋_GB2312" w:eastAsia="仿宋_GB2312" w:cs="仿宋_GB2312"/>
          <w:sz w:val="28"/>
          <w:szCs w:val="28"/>
        </w:rPr>
        <w:t>户、连片经营</w:t>
      </w:r>
      <w:r>
        <w:rPr>
          <w:rFonts w:hint="eastAsia" w:ascii="Times New Roman" w:hAnsi="Times New Roman" w:eastAsia="仿宋_GB2312" w:cs="Times New Roman"/>
          <w:sz w:val="28"/>
          <w:szCs w:val="28"/>
        </w:rPr>
        <w:t>4.86</w:t>
      </w:r>
      <w:r>
        <w:rPr>
          <w:rFonts w:hint="eastAsia" w:ascii="仿宋_GB2312" w:hAnsi="仿宋_GB2312" w:eastAsia="仿宋_GB2312" w:cs="仿宋_GB2312"/>
          <w:sz w:val="28"/>
          <w:szCs w:val="28"/>
        </w:rPr>
        <w:t>万亩，“三统一”组织化成熟）、农科金岳联合社（年服务约占全市耕地</w:t>
      </w:r>
      <w:r>
        <w:rPr>
          <w:rFonts w:hint="eastAsia" w:ascii="Times New Roman" w:hAnsi="Times New Roman" w:eastAsia="仿宋_GB2312" w:cs="Times New Roman"/>
          <w:sz w:val="28"/>
          <w:szCs w:val="28"/>
        </w:rPr>
        <w:t>53</w:t>
      </w:r>
      <w:r>
        <w:rPr>
          <w:rFonts w:hint="eastAsia" w:ascii="仿宋_GB2312" w:hAnsi="仿宋_GB2312" w:eastAsia="仿宋_GB2312" w:cs="仿宋_GB2312"/>
          <w:sz w:val="28"/>
          <w:szCs w:val="28"/>
        </w:rPr>
        <w:t>%）、宏基与鑫业（全国劳模领衔、全疆采棉机改装基地）、沙湾市乡村振兴大数据中心等，坚持嫁接赋能、不重复建设，重点补齐后端产业链与品牌、期货（合作社）、专利与流动资金（农机企业）、商业模式闭环（数字平台）等短板，并提炼其组织化与治理经验形成可复制标准；地区“数塔”平台同步下沉接入，为沙湾各主体提供数据底座支撑。</w:t>
      </w:r>
    </w:p>
    <w:p>
      <w:pPr>
        <w:keepNext w:val="0"/>
        <w:keepLines w:val="0"/>
        <w:pageBreakBefore w:val="0"/>
        <w:kinsoku/>
        <w:wordWrap/>
        <w:overflowPunct/>
        <w:topLinePunct w:val="0"/>
        <w:autoSpaceDE/>
        <w:autoSpaceDN/>
        <w:bidi w:val="0"/>
        <w:spacing w:before="0" w:beforeLines="0" w:after="0" w:line="5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是对基础较薄弱的主体补强提升：积峰等农机合作社（重资产、季节性闲置、数字化“用不起”）、村级农资经营点等，通过轻量化低成本数字化、跨区跨境调度盘活闲置产能、装备升级与补贴优化，纳入末端专业服务站点升级改造。</w:t>
      </w:r>
    </w:p>
    <w:p>
      <w:pPr>
        <w:keepNext w:val="0"/>
        <w:keepLines w:val="0"/>
        <w:pageBreakBefore w:val="0"/>
        <w:kinsoku/>
        <w:wordWrap/>
        <w:overflowPunct/>
        <w:topLinePunct w:val="0"/>
        <w:autoSpaceDE/>
        <w:autoSpaceDN/>
        <w:bidi w:val="0"/>
        <w:spacing w:before="0" w:beforeLines="0" w:after="0" w:line="5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是对空白环节填补建设：产地烘干与冷链、精深加工、区域公用品牌与期货、质量化验与溯源、金融保险产品、特色作物与畜牧智能装备、标准体系等目前基本空白的环节，依托中心新建功能与专项模组予以填补。</w:t>
      </w:r>
    </w:p>
    <w:p>
      <w:pPr>
        <w:keepNext w:val="0"/>
        <w:keepLines w:val="0"/>
        <w:pageBreakBefore w:val="0"/>
        <w:kinsoku/>
        <w:wordWrap/>
        <w:overflowPunct/>
        <w:topLinePunct w:val="0"/>
        <w:autoSpaceDE/>
        <w:autoSpaceDN/>
        <w:bidi w:val="0"/>
        <w:spacing w:before="0" w:beforeLines="0" w:after="0" w:line="56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上述三档划分基于现阶段摸底情况,随后续对接摸底数据的深入与完善,将对本部分内容作进一步细化调整。</w:t>
      </w:r>
    </w:p>
    <w:p>
      <w:pPr>
        <w:pStyle w:val="3"/>
        <w:keepNext w:val="0"/>
        <w:keepLines w:val="0"/>
        <w:pageBreakBefore w:val="0"/>
        <w:kinsoku/>
        <w:wordWrap/>
        <w:overflowPunct/>
        <w:topLinePunct w:val="0"/>
        <w:autoSpaceDE/>
        <w:autoSpaceDN/>
        <w:bidi w:val="0"/>
        <w:spacing w:before="0" w:line="560" w:lineRule="exact"/>
        <w:textAlignment w:val="auto"/>
      </w:pPr>
      <w:bookmarkStart w:id="34" w:name="_Toc27114"/>
      <w:r>
        <w:t>（八）建设与运营启动</w:t>
      </w:r>
      <w:bookmarkEnd w:id="34"/>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试点中心建设坚持立足存量、轻资产推进，优先利用现有农事服务中心、</w:t>
      </w:r>
      <w:r>
        <w:rPr>
          <w:rFonts w:hint="eastAsia" w:cs="仿宋_GB2312"/>
          <w:sz w:val="32"/>
          <w:szCs w:val="32"/>
          <w:lang w:val="en-US" w:eastAsia="zh-CN"/>
        </w:rPr>
        <w:t>专业</w:t>
      </w:r>
      <w:r>
        <w:rPr>
          <w:rFonts w:ascii="仿宋_GB2312" w:hAnsi="仿宋_GB2312" w:eastAsia="仿宋_GB2312" w:cs="仿宋_GB2312"/>
          <w:sz w:val="32"/>
          <w:szCs w:val="32"/>
        </w:rPr>
        <w:t>合作社、产业园等存量设施升级改造，控制新增重资产投资；按建设标准与运营规程配置功能模组、接入平台。多元共建的中心鼓励建设运营分离，建设期完成后通过股权投资、租赁等方式交经营性主体专业化运营，实现运营轻资产化。</w:t>
      </w:r>
      <w:r>
        <w:rPr>
          <w:rFonts w:hint="default" w:ascii="Times New Roman" w:hAnsi="Times New Roman" w:eastAsia="仿宋_GB2312" w:cs="Times New Roman"/>
          <w:sz w:val="32"/>
          <w:szCs w:val="32"/>
        </w:rPr>
        <w:t>2026</w:t>
      </w:r>
      <w:r>
        <w:rPr>
          <w:rFonts w:ascii="仿宋_GB2312" w:hAnsi="仿宋_GB2312" w:eastAsia="仿宋_GB2312" w:cs="仿宋_GB2312"/>
          <w:sz w:val="32"/>
          <w:szCs w:val="32"/>
        </w:rPr>
        <w:t>年启动中心建设与运营，先行验证服务模式、服务标准与商业逻辑，</w:t>
      </w:r>
      <w:r>
        <w:rPr>
          <w:rFonts w:hint="eastAsia" w:ascii="仿宋_GB2312" w:hAnsi="仿宋_GB2312" w:eastAsia="仿宋_GB2312" w:cs="仿宋_GB2312"/>
          <w:sz w:val="32"/>
          <w:szCs w:val="32"/>
        </w:rPr>
        <w:t>形成可复制、可推广的依据。建成后按实际规模与运营成效，对照《现代农事综合服务中心建设内容及技术要求》《现代化农事服务中心星级评价标准》与自治区认定办法，适时申报认定为现代农事综合服务中心、评定相应规模类别与星级等级，并积极争取国家级试点示范</w:t>
      </w:r>
      <w:r>
        <w:rPr>
          <w:rFonts w:ascii="仿宋_GB2312" w:hAnsi="仿宋_GB2312" w:eastAsia="仿宋_GB2312" w:cs="仿宋_GB2312"/>
          <w:sz w:val="32"/>
          <w:szCs w:val="32"/>
        </w:rPr>
        <w:t>。</w:t>
      </w:r>
    </w:p>
    <w:p>
      <w:pPr>
        <w:pStyle w:val="2"/>
        <w:keepNext w:val="0"/>
        <w:keepLines w:val="0"/>
        <w:pageBreakBefore w:val="0"/>
        <w:kinsoku/>
        <w:wordWrap/>
        <w:overflowPunct/>
        <w:topLinePunct w:val="0"/>
        <w:autoSpaceDE/>
        <w:autoSpaceDN/>
        <w:bidi w:val="0"/>
        <w:spacing w:before="0" w:line="560" w:lineRule="exact"/>
        <w:textAlignment w:val="auto"/>
      </w:pPr>
      <w:bookmarkStart w:id="35" w:name="_Toc13117"/>
      <w:r>
        <w:t>六、配套保障措施</w:t>
      </w:r>
      <w:bookmarkEnd w:id="35"/>
    </w:p>
    <w:p>
      <w:pPr>
        <w:pStyle w:val="3"/>
        <w:keepNext w:val="0"/>
        <w:keepLines w:val="0"/>
        <w:pageBreakBefore w:val="0"/>
        <w:kinsoku/>
        <w:wordWrap/>
        <w:overflowPunct/>
        <w:topLinePunct w:val="0"/>
        <w:autoSpaceDE/>
        <w:autoSpaceDN/>
        <w:bidi w:val="0"/>
        <w:spacing w:before="0" w:line="560" w:lineRule="exact"/>
        <w:textAlignment w:val="auto"/>
      </w:pPr>
      <w:bookmarkStart w:id="36" w:name="_Toc2655"/>
      <w:r>
        <w:t>（一）组织保障</w:t>
      </w:r>
      <w:bookmarkEnd w:id="36"/>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依托建设联席会议与工作专班，统筹推进、跨部门协调与督办落实，建立季调度、半年通报、年度评价机制，确保试点任务落地见效。</w:t>
      </w:r>
    </w:p>
    <w:p>
      <w:pPr>
        <w:pStyle w:val="3"/>
        <w:keepNext w:val="0"/>
        <w:keepLines w:val="0"/>
        <w:pageBreakBefore w:val="0"/>
        <w:kinsoku/>
        <w:wordWrap/>
        <w:overflowPunct/>
        <w:topLinePunct w:val="0"/>
        <w:autoSpaceDE/>
        <w:autoSpaceDN/>
        <w:bidi w:val="0"/>
        <w:spacing w:before="0" w:line="560" w:lineRule="exact"/>
        <w:textAlignment w:val="auto"/>
      </w:pPr>
      <w:bookmarkStart w:id="37" w:name="_Toc30163"/>
      <w:r>
        <w:t>（二）政策保障</w:t>
      </w:r>
      <w:bookmarkEnd w:id="37"/>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统筹用好涉农项目资金，按规定以以奖代补、项目扶持、贷款贴息等方式支持平台、农资仓储、社会化服务设施建设；做好农业社会化服务、高标准农田、壮大村集体经济等项目与中心建设的统筹衔接，对符合条件的项目和主体按规定程序予以支持；农村建设用地重点保障农资仓储、农产品加工、产地仓、服务网点用地需求，将中心建设用地纳入乡镇重大项目建设用地一体规划、开通审批绿色通道，设施农业用地（机库棚、烘干车间等）按规定享受政策优惠，允许农村集体经济组织按国家统一部署通过集体经营性建设用地入市等方式参与建设；围绕农资经营、农业社会化服务、合作社管理、财务规范、数智化操作等分期分批开展培训。涉及经营主体确定、财政资金支持、集中采购等事项，均依照《公平竞争审查条例》及政府采购、招标投标等有关规定实施，各类经营主体依法平等参与、公平竞争。</w:t>
      </w:r>
    </w:p>
    <w:p>
      <w:pPr>
        <w:pStyle w:val="3"/>
        <w:keepNext w:val="0"/>
        <w:keepLines w:val="0"/>
        <w:pageBreakBefore w:val="0"/>
        <w:kinsoku/>
        <w:wordWrap/>
        <w:overflowPunct/>
        <w:topLinePunct w:val="0"/>
        <w:autoSpaceDE/>
        <w:autoSpaceDN/>
        <w:bidi w:val="0"/>
        <w:spacing w:before="0" w:line="560" w:lineRule="exact"/>
        <w:textAlignment w:val="auto"/>
      </w:pPr>
      <w:bookmarkStart w:id="38" w:name="_Toc602"/>
      <w:r>
        <w:t>（三）资金保障</w:t>
      </w:r>
      <w:bookmarkEnd w:id="38"/>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坚持多元投入、依法统筹。中心与平台建设运营资金按照国家和自治区有关规定统筹各类政府性资金与市场化投入予以保障，具体资金构成、支持方式与规模结合摸底结果和项目论证、按程序另行研究确定；同时以数字信贷、保险增信、“期货＋保险”等创新金融工具撬动金融与社会资本支持运营。鼓励金融机构开发面向农机购置、农事服务、农资集采（含赊销、订单农资）等场景的专属信贷产品，以农机具、厂房设施等资产开展抵押融资试点，推广农机作业综合保险，探索开展“投、贷、保、补”政策工具重组试点。对接对象上，在已有政策性、开发性金融与商业保险合作基础上，拓展对接国有商业银行、股份制商业银行等银行机构，农业信贷担保机构，以及农业保险机构与农业再保险机构；以平台作业与履约数据形成大数据风控、叠加保险兜底提升授信额度，推动数据增信落地。</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资金筹措作为本年度重点工作之一，研究形成框架性投融资方案、主动对接政府与各主体争取落实。在用好上述政府性资金与信贷、保险等工具的基础上，探索设立产业基金以撬动社会资本：方向上以政策性金融和地方国资为引导、产业资本与社会资本共同参与，市场化运作、专业化管理，重点投向平台与基础设施、运营主体培育、加工冷链与品牌等环节，坚持政府引导不兜底、风险共担，以股权投资、分红、阶段性退出等方式实现良性循环。以上为建议性方案，基金是否设立及规模、出资比例、具体运作方案，由政府与各级主体协商确定，本年度先行研究并对接争取落实。</w:t>
      </w:r>
    </w:p>
    <w:p>
      <w:pPr>
        <w:pStyle w:val="3"/>
        <w:keepNext w:val="0"/>
        <w:keepLines w:val="0"/>
        <w:pageBreakBefore w:val="0"/>
        <w:kinsoku/>
        <w:wordWrap/>
        <w:overflowPunct/>
        <w:topLinePunct w:val="0"/>
        <w:autoSpaceDE/>
        <w:autoSpaceDN/>
        <w:bidi w:val="0"/>
        <w:spacing w:before="0" w:line="560" w:lineRule="exact"/>
        <w:textAlignment w:val="auto"/>
      </w:pPr>
      <w:bookmarkStart w:id="39" w:name="_Toc19404"/>
      <w:r>
        <w:t>（四）要素保障</w:t>
      </w:r>
      <w:bookmarkEnd w:id="39"/>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在用地、用能、数据接入、人才等方面提供支持，依托现有场所与存量设施保障中心建设运营，协调数据平台接入与数据共享，加强数智化操作、农机维修与科技推广人才培训与引进。</w:t>
      </w:r>
    </w:p>
    <w:p>
      <w:pPr>
        <w:pStyle w:val="3"/>
        <w:keepNext w:val="0"/>
        <w:keepLines w:val="0"/>
        <w:pageBreakBefore w:val="0"/>
        <w:kinsoku/>
        <w:wordWrap/>
        <w:overflowPunct/>
        <w:topLinePunct w:val="0"/>
        <w:autoSpaceDE/>
        <w:autoSpaceDN/>
        <w:bidi w:val="0"/>
        <w:spacing w:before="0" w:line="560" w:lineRule="exact"/>
        <w:textAlignment w:val="auto"/>
      </w:pPr>
      <w:bookmarkStart w:id="40" w:name="_Toc20306"/>
      <w:r>
        <w:t>（五）政策跟踪与申报储备</w:t>
      </w:r>
      <w:bookmarkEnd w:id="40"/>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做好国家级、自治区级试点与现代农事综合服务中心认定的政策跟踪与申报储备。系统梳理沙湾改革亮点与试点成效、建立申报素材库，动态跟踪国家农村综合性改革试点试验、农业社会化服务创新试点、中心认定等政策窗口，条件成熟即组织申报，争取政策与资金支持。</w:t>
      </w:r>
    </w:p>
    <w:p>
      <w:pPr>
        <w:pStyle w:val="3"/>
        <w:keepNext w:val="0"/>
        <w:keepLines w:val="0"/>
        <w:pageBreakBefore w:val="0"/>
        <w:kinsoku/>
        <w:wordWrap/>
        <w:overflowPunct/>
        <w:topLinePunct w:val="0"/>
        <w:autoSpaceDE/>
        <w:autoSpaceDN/>
        <w:bidi w:val="0"/>
        <w:spacing w:before="0" w:line="560" w:lineRule="exact"/>
        <w:textAlignment w:val="auto"/>
      </w:pPr>
      <w:bookmarkStart w:id="41" w:name="_Toc24156"/>
      <w:r>
        <w:t>（六）监督保障</w:t>
      </w:r>
      <w:bookmarkEnd w:id="41"/>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ascii="仿宋_GB2312" w:hAnsi="仿宋_GB2312" w:eastAsia="仿宋_GB2312" w:cs="仿宋_GB2312"/>
          <w:sz w:val="32"/>
          <w:szCs w:val="32"/>
        </w:rPr>
        <w:t>健全财务公开、审计监督、民主评议与动态监测制度，定期开展资产、财务、项目专项检查，规范服务质量、价格与安全，严防侵占集体资产、套取扶持资金、损害成员利益等行为，确保试点稳步推进。</w:t>
      </w:r>
    </w:p>
    <w:p>
      <w:pPr>
        <w:pStyle w:val="2"/>
        <w:keepNext w:val="0"/>
        <w:keepLines w:val="0"/>
        <w:pageBreakBefore w:val="0"/>
        <w:kinsoku/>
        <w:wordWrap/>
        <w:overflowPunct/>
        <w:topLinePunct w:val="0"/>
        <w:autoSpaceDE/>
        <w:autoSpaceDN/>
        <w:bidi w:val="0"/>
        <w:spacing w:before="0" w:line="560" w:lineRule="exact"/>
        <w:textAlignment w:val="auto"/>
      </w:pPr>
      <w:bookmarkStart w:id="42" w:name="_Toc30943"/>
      <w:r>
        <w:t>七、进度安排</w:t>
      </w:r>
      <w:bookmarkEnd w:id="42"/>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pPr>
      <w:r>
        <w:rPr>
          <w:rFonts w:hint="default" w:ascii="Times New Roman" w:hAnsi="Times New Roman" w:eastAsia="仿宋_GB2312" w:cs="Times New Roman"/>
          <w:sz w:val="32"/>
          <w:szCs w:val="32"/>
        </w:rPr>
        <w:t>2026年下半年（7—12</w:t>
      </w:r>
      <w:r>
        <w:rPr>
          <w:rFonts w:ascii="仿宋_GB2312" w:hAnsi="仿宋_GB2312" w:eastAsia="仿宋_GB2312" w:cs="仿宋_GB2312"/>
          <w:sz w:val="32"/>
          <w:szCs w:val="32"/>
        </w:rPr>
        <w:t>月）坚持平台先建先行、摸底先于布点，组织搭建与试点建设梯次推进。各项任务进度安排如下。</w:t>
      </w:r>
    </w:p>
    <w:tbl>
      <w:tblPr>
        <w:tblStyle w:val="1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852"/>
        <w:gridCol w:w="620"/>
        <w:gridCol w:w="621"/>
        <w:gridCol w:w="621"/>
        <w:gridCol w:w="820"/>
        <w:gridCol w:w="82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4852" w:type="dxa"/>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任务事项</w:t>
            </w:r>
          </w:p>
        </w:tc>
        <w:tc>
          <w:tcPr>
            <w:tcW w:w="0" w:type="auto"/>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7月</w:t>
            </w:r>
          </w:p>
        </w:tc>
        <w:tc>
          <w:tcPr>
            <w:tcW w:w="0" w:type="auto"/>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8月</w:t>
            </w:r>
          </w:p>
        </w:tc>
        <w:tc>
          <w:tcPr>
            <w:tcW w:w="0" w:type="auto"/>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9月</w:t>
            </w:r>
          </w:p>
        </w:tc>
        <w:tc>
          <w:tcPr>
            <w:tcW w:w="0" w:type="auto"/>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10月</w:t>
            </w:r>
          </w:p>
        </w:tc>
        <w:tc>
          <w:tcPr>
            <w:tcW w:w="0" w:type="auto"/>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11月</w:t>
            </w:r>
          </w:p>
        </w:tc>
        <w:tc>
          <w:tcPr>
            <w:tcW w:w="820" w:type="dxa"/>
            <w:tcMar>
              <w:top w:w="60" w:type="dxa"/>
              <w:left w:w="110" w:type="dxa"/>
              <w:bottom w:w="60" w:type="dxa"/>
              <w:right w:w="11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52" w:type="dxa"/>
            <w:tcMar>
              <w:top w:w="60" w:type="dxa"/>
              <w:left w:w="110" w:type="dxa"/>
              <w:bottom w:w="60" w:type="dxa"/>
              <w:right w:w="11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 w:hAnsi="仿宋" w:eastAsia="仿宋" w:cs="仿宋"/>
                <w:sz w:val="28"/>
              </w:rPr>
            </w:pPr>
            <w:r>
              <w:rPr>
                <w:rFonts w:hint="eastAsia" w:ascii="仿宋" w:hAnsi="仿宋" w:eastAsia="仿宋" w:cs="仿宋"/>
                <w:b w:val="0"/>
                <w:bCs w:val="0"/>
                <w:sz w:val="28"/>
                <w:szCs w:val="28"/>
              </w:rPr>
              <w:t>成立联席会议、设立工作专班</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8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52" w:type="dxa"/>
            <w:tcMar>
              <w:top w:w="60" w:type="dxa"/>
              <w:left w:w="110" w:type="dxa"/>
              <w:bottom w:w="60" w:type="dxa"/>
              <w:right w:w="11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 w:hAnsi="仿宋" w:eastAsia="仿宋" w:cs="仿宋"/>
                <w:sz w:val="28"/>
              </w:rPr>
            </w:pPr>
            <w:r>
              <w:rPr>
                <w:rFonts w:hint="eastAsia" w:ascii="仿宋" w:hAnsi="仿宋" w:eastAsia="仿宋" w:cs="仿宋"/>
                <w:b w:val="0"/>
                <w:bCs w:val="0"/>
                <w:sz w:val="28"/>
                <w:szCs w:val="28"/>
              </w:rPr>
              <w:t>综合性数字农业服务平台线上基础建设</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8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52" w:type="dxa"/>
            <w:tcMar>
              <w:top w:w="60" w:type="dxa"/>
              <w:left w:w="110" w:type="dxa"/>
              <w:bottom w:w="60" w:type="dxa"/>
              <w:right w:w="11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 w:hAnsi="仿宋" w:eastAsia="仿宋" w:cs="仿宋"/>
                <w:sz w:val="28"/>
              </w:rPr>
            </w:pPr>
            <w:r>
              <w:rPr>
                <w:rFonts w:hint="eastAsia" w:ascii="仿宋" w:hAnsi="仿宋" w:eastAsia="仿宋" w:cs="仿宋"/>
                <w:b w:val="0"/>
                <w:bCs w:val="0"/>
                <w:sz w:val="28"/>
                <w:szCs w:val="28"/>
              </w:rPr>
              <w:t>现有平台接入、数据打通与标准接口规范</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8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52" w:type="dxa"/>
            <w:tcMar>
              <w:top w:w="60" w:type="dxa"/>
              <w:left w:w="110" w:type="dxa"/>
              <w:bottom w:w="60" w:type="dxa"/>
              <w:right w:w="11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 w:hAnsi="仿宋" w:eastAsia="仿宋" w:cs="仿宋"/>
                <w:sz w:val="28"/>
              </w:rPr>
            </w:pPr>
            <w:r>
              <w:rPr>
                <w:rFonts w:hint="eastAsia" w:ascii="仿宋" w:hAnsi="仿宋" w:eastAsia="仿宋" w:cs="仿宋"/>
                <w:b w:val="0"/>
                <w:bCs w:val="0"/>
                <w:sz w:val="28"/>
                <w:szCs w:val="28"/>
              </w:rPr>
              <w:t>资源产业用地需求摸底与产业研究、形成布点建议报告</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8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52" w:type="dxa"/>
            <w:tcMar>
              <w:top w:w="60" w:type="dxa"/>
              <w:left w:w="110" w:type="dxa"/>
              <w:bottom w:w="60" w:type="dxa"/>
              <w:right w:w="11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 w:hAnsi="仿宋" w:eastAsia="仿宋" w:cs="仿宋"/>
                <w:sz w:val="28"/>
              </w:rPr>
            </w:pPr>
            <w:r>
              <w:rPr>
                <w:rFonts w:hint="eastAsia" w:ascii="仿宋" w:hAnsi="仿宋" w:eastAsia="仿宋" w:cs="仿宋"/>
                <w:b w:val="0"/>
                <w:bCs w:val="0"/>
                <w:sz w:val="28"/>
                <w:szCs w:val="28"/>
              </w:rPr>
              <w:t>“1+N+X”组织架构落地、运营主体培育、统一标识与机制试行</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8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52" w:type="dxa"/>
            <w:tcMar>
              <w:top w:w="60" w:type="dxa"/>
              <w:left w:w="110" w:type="dxa"/>
              <w:bottom w:w="60" w:type="dxa"/>
              <w:right w:w="11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 w:hAnsi="仿宋" w:eastAsia="仿宋" w:cs="仿宋"/>
                <w:sz w:val="28"/>
              </w:rPr>
            </w:pPr>
            <w:r>
              <w:rPr>
                <w:rFonts w:hint="eastAsia" w:ascii="仿宋" w:hAnsi="仿宋" w:eastAsia="仿宋" w:cs="仿宋"/>
                <w:b w:val="0"/>
                <w:bCs w:val="0"/>
                <w:sz w:val="28"/>
                <w:szCs w:val="28"/>
              </w:rPr>
              <w:t>基于摸底完成中心布点</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8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52" w:type="dxa"/>
            <w:tcMar>
              <w:top w:w="60" w:type="dxa"/>
              <w:left w:w="110" w:type="dxa"/>
              <w:bottom w:w="60" w:type="dxa"/>
              <w:right w:w="11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 w:hAnsi="仿宋" w:eastAsia="仿宋" w:cs="仿宋"/>
                <w:sz w:val="28"/>
              </w:rPr>
            </w:pPr>
            <w:r>
              <w:rPr>
                <w:rFonts w:hint="eastAsia" w:ascii="仿宋" w:hAnsi="仿宋" w:eastAsia="仿宋" w:cs="仿宋"/>
                <w:b w:val="0"/>
                <w:bCs w:val="0"/>
                <w:sz w:val="28"/>
                <w:szCs w:val="28"/>
              </w:rPr>
              <w:t>试点中心建设与运营启动</w:t>
            </w: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820" w:type="dxa"/>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52" w:type="dxa"/>
            <w:tcMar>
              <w:top w:w="60" w:type="dxa"/>
              <w:left w:w="110" w:type="dxa"/>
              <w:bottom w:w="60" w:type="dxa"/>
              <w:right w:w="11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 w:hAnsi="仿宋" w:eastAsia="仿宋" w:cs="仿宋"/>
                <w:sz w:val="28"/>
              </w:rPr>
            </w:pPr>
            <w:r>
              <w:rPr>
                <w:rFonts w:hint="eastAsia" w:ascii="仿宋" w:hAnsi="仿宋" w:eastAsia="仿宋" w:cs="仿宋"/>
                <w:b w:val="0"/>
                <w:bCs w:val="0"/>
                <w:sz w:val="28"/>
                <w:szCs w:val="28"/>
              </w:rPr>
              <w:t>投融资方案研究与资金筹措对接、政策跟踪与申报储备</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0" w:type="auto"/>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c>
          <w:tcPr>
            <w:tcW w:w="820" w:type="dxa"/>
            <w:tcMar>
              <w:top w:w="40" w:type="dxa"/>
              <w:left w:w="20" w:type="dxa"/>
              <w:bottom w:w="4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4852" w:type="dxa"/>
            <w:tcMar>
              <w:top w:w="60" w:type="dxa"/>
              <w:left w:w="110" w:type="dxa"/>
              <w:bottom w:w="60" w:type="dxa"/>
              <w:right w:w="11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left"/>
              <w:textAlignment w:val="auto"/>
              <w:rPr>
                <w:rFonts w:hint="eastAsia" w:ascii="仿宋" w:hAnsi="仿宋" w:eastAsia="仿宋" w:cs="仿宋"/>
                <w:sz w:val="28"/>
              </w:rPr>
            </w:pPr>
            <w:r>
              <w:rPr>
                <w:rFonts w:hint="eastAsia" w:ascii="仿宋" w:hAnsi="仿宋" w:eastAsia="仿宋" w:cs="仿宋"/>
                <w:b w:val="0"/>
                <w:bCs w:val="0"/>
                <w:sz w:val="28"/>
                <w:szCs w:val="28"/>
              </w:rPr>
              <w:t>阶段总结与迎评准备</w:t>
            </w:r>
          </w:p>
        </w:tc>
        <w:tc>
          <w:tcPr>
            <w:tcW w:w="6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621"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621"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8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8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p>
        </w:tc>
        <w:tc>
          <w:tcPr>
            <w:tcW w:w="820" w:type="dxa"/>
            <w:tcMar>
              <w:top w:w="40" w:type="dxa"/>
              <w:left w:w="20" w:type="dxa"/>
              <w:bottom w:w="40" w:type="dxa"/>
              <w:right w:w="20" w:type="dxa"/>
            </w:tcMar>
            <w:vAlign w:val="center"/>
          </w:tcPr>
          <w:p>
            <w:pPr>
              <w:keepNext w:val="0"/>
              <w:keepLines w:val="0"/>
              <w:pageBreakBefore w:val="0"/>
              <w:kinsoku/>
              <w:wordWrap/>
              <w:overflowPunct/>
              <w:topLinePunct w:val="0"/>
              <w:autoSpaceDE/>
              <w:autoSpaceDN/>
              <w:bidi w:val="0"/>
              <w:snapToGrid w:val="0"/>
              <w:spacing w:before="0" w:beforeLines="0" w:beforeAutospacing="0" w:afterAutospacing="0" w:line="240" w:lineRule="auto"/>
              <w:ind w:left="0" w:leftChars="0" w:right="0" w:rightChars="0" w:firstLine="0" w:firstLineChars="0"/>
              <w:jc w:val="center"/>
              <w:textAlignment w:val="auto"/>
              <w:rPr>
                <w:rFonts w:hint="eastAsia" w:ascii="仿宋" w:hAnsi="仿宋" w:eastAsia="仿宋" w:cs="仿宋"/>
                <w:sz w:val="28"/>
              </w:rPr>
            </w:pPr>
            <w:r>
              <w:rPr>
                <w:rFonts w:hint="eastAsia" w:ascii="仿宋" w:hAnsi="仿宋" w:eastAsia="仿宋" w:cs="仿宋"/>
                <w:color w:val="auto"/>
                <w:sz w:val="28"/>
                <w:szCs w:val="28"/>
                <w:lang w:eastAsia="zh-CN"/>
              </w:rPr>
              <w:t>√</w:t>
            </w:r>
          </w:p>
        </w:tc>
      </w:tr>
    </w:tbl>
    <w:p>
      <w:pPr>
        <w:keepNext w:val="0"/>
        <w:keepLines w:val="0"/>
        <w:pageBreakBefore w:val="0"/>
        <w:widowControl w:val="0"/>
        <w:kinsoku/>
        <w:wordWrap/>
        <w:overflowPunct/>
        <w:topLinePunct w:val="0"/>
        <w:autoSpaceDE/>
        <w:autoSpaceDN/>
        <w:bidi w:val="0"/>
        <w:adjustRightInd w:val="0"/>
        <w:snapToGrid w:val="0"/>
        <w:spacing w:before="0" w:beforeLines="0" w:line="560" w:lineRule="exact"/>
        <w:ind w:firstLine="640" w:firstLineChars="200"/>
        <w:jc w:val="left"/>
        <w:textAlignment w:val="auto"/>
      </w:pPr>
      <w:r>
        <w:t>注：</w:t>
      </w:r>
      <w:r>
        <w:rPr>
          <w:rFonts w:hint="eastAsia" w:ascii="仿宋" w:hAnsi="仿宋" w:eastAsia="仿宋" w:cs="仿宋"/>
          <w:color w:val="auto"/>
          <w:sz w:val="32"/>
          <w:szCs w:val="32"/>
          <w:lang w:eastAsia="zh-CN"/>
        </w:rPr>
        <w:t>√</w:t>
      </w:r>
      <w:r>
        <w:t>为该任务的计划实施月份；具体时间节点根据工作进展调整。</w:t>
      </w:r>
    </w:p>
    <w:p>
      <w:pPr>
        <w:keepNext w:val="0"/>
        <w:keepLines w:val="0"/>
        <w:pageBreakBefore w:val="0"/>
        <w:kinsoku/>
        <w:wordWrap/>
        <w:overflowPunct/>
        <w:topLinePunct w:val="0"/>
        <w:autoSpaceDE/>
        <w:autoSpaceDN/>
        <w:bidi w:val="0"/>
        <w:spacing w:before="0" w:beforeLines="0" w:after="0" w:line="560" w:lineRule="exact"/>
        <w:ind w:firstLine="640"/>
        <w:jc w:val="both"/>
        <w:textAlignment w:val="auto"/>
        <w:rPr>
          <w:rFonts w:ascii="仿宋_GB2312" w:hAnsi="仿宋_GB2312" w:eastAsia="仿宋_GB2312" w:cs="仿宋_GB2312"/>
          <w:sz w:val="32"/>
          <w:szCs w:val="32"/>
        </w:rPr>
        <w:sectPr>
          <w:footerReference r:id="rId5" w:type="default"/>
          <w:pgSz w:w="11906" w:h="16838"/>
          <w:pgMar w:top="2098" w:right="1474" w:bottom="1984" w:left="1474" w:header="0" w:footer="1587" w:gutter="0"/>
          <w:pgNumType w:fmt="decimal" w:start="1"/>
          <w:cols w:space="720" w:num="1"/>
          <w:docGrid w:linePitch="360" w:charSpace="0"/>
        </w:sectPr>
      </w:pPr>
      <w:r>
        <w:rPr>
          <w:rFonts w:ascii="仿宋_GB2312" w:hAnsi="仿宋_GB2312" w:eastAsia="仿宋_GB2312" w:cs="仿宋_GB2312"/>
          <w:sz w:val="32"/>
          <w:szCs w:val="32"/>
        </w:rPr>
        <w:t>各项任务由工作专班统筹调度、挂图推进，明确节点与责任，确保按期落地。</w:t>
      </w:r>
      <w:bookmarkStart w:id="43" w:name="_GoBack"/>
      <w:bookmarkEnd w:id="43"/>
    </w:p>
    <w:p>
      <w:pPr>
        <w:spacing w:before="0" w:after="0" w:line="560" w:lineRule="exact"/>
        <w:jc w:val="both"/>
        <w:rPr>
          <w:rFonts w:hint="eastAsia" w:ascii="仿宋_GB2312" w:hAnsi="仿宋_GB2312" w:eastAsia="仿宋_GB2312" w:cs="仿宋_GB2312"/>
          <w:sz w:val="32"/>
          <w:szCs w:val="32"/>
          <w:lang w:eastAsia="zh-CN"/>
        </w:rPr>
      </w:pPr>
    </w:p>
    <w:sectPr>
      <w:footerReference r:id="rId6" w:type="default"/>
      <w:type w:val="oddPage"/>
      <w:pgSz w:w="11906" w:h="16838"/>
      <w:pgMar w:top="0" w:right="0" w:bottom="0" w:left="0" w:header="0" w:footer="1587"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065552D5"/>
    <w:rsid w:val="06D67EFC"/>
    <w:rsid w:val="0AE20E9D"/>
    <w:rsid w:val="0EA93A93"/>
    <w:rsid w:val="14A423A8"/>
    <w:rsid w:val="14FB7605"/>
    <w:rsid w:val="1521120D"/>
    <w:rsid w:val="1B4B64D7"/>
    <w:rsid w:val="23581AD3"/>
    <w:rsid w:val="28312B7C"/>
    <w:rsid w:val="2B274384"/>
    <w:rsid w:val="2C7907D6"/>
    <w:rsid w:val="33A734FA"/>
    <w:rsid w:val="36920B00"/>
    <w:rsid w:val="3D3B2FFA"/>
    <w:rsid w:val="40C32034"/>
    <w:rsid w:val="413F620A"/>
    <w:rsid w:val="42160CA9"/>
    <w:rsid w:val="427C461E"/>
    <w:rsid w:val="450C780B"/>
    <w:rsid w:val="45EA5502"/>
    <w:rsid w:val="4D7A410D"/>
    <w:rsid w:val="5ADD12C0"/>
    <w:rsid w:val="5AF276C4"/>
    <w:rsid w:val="607138C8"/>
    <w:rsid w:val="642A22B6"/>
    <w:rsid w:val="670A1587"/>
    <w:rsid w:val="6DB633D6"/>
    <w:rsid w:val="70DF4736"/>
    <w:rsid w:val="731A6B2C"/>
    <w:rsid w:val="7487552D"/>
    <w:rsid w:val="782347DB"/>
    <w:rsid w:val="782A14D2"/>
    <w:rsid w:val="79E920C0"/>
    <w:rsid w:val="7C332B27"/>
    <w:rsid w:val="7F4D197B"/>
    <w:rsid w:val="E6BF12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line="360" w:lineRule="auto"/>
      <w:ind w:firstLine="200" w:firstLineChars="200"/>
      <w:jc w:val="both"/>
    </w:pPr>
    <w:rPr>
      <w:rFonts w:ascii="仿宋_GB2312" w:hAnsi="仿宋_GB2312" w:eastAsia="仿宋_GB2312" w:cs="仿宋_GB2312"/>
      <w:color w:val="000000"/>
      <w:sz w:val="32"/>
      <w:szCs w:val="32"/>
    </w:rPr>
  </w:style>
  <w:style w:type="paragraph" w:styleId="2">
    <w:name w:val="heading 1"/>
    <w:next w:val="1"/>
    <w:qFormat/>
    <w:uiPriority w:val="0"/>
    <w:pPr>
      <w:spacing w:before="160" w:after="60" w:line="560" w:lineRule="atLeast"/>
      <w:ind w:firstLine="640"/>
      <w:outlineLvl w:val="0"/>
    </w:pPr>
    <w:rPr>
      <w:rFonts w:ascii="黑体" w:hAnsi="黑体" w:eastAsia="黑体" w:cs="黑体"/>
      <w:color w:val="000000"/>
      <w:sz w:val="32"/>
      <w:szCs w:val="32"/>
    </w:rPr>
  </w:style>
  <w:style w:type="paragraph" w:styleId="3">
    <w:name w:val="heading 2"/>
    <w:next w:val="1"/>
    <w:qFormat/>
    <w:uiPriority w:val="0"/>
    <w:pPr>
      <w:spacing w:before="80" w:after="40" w:line="560" w:lineRule="atLeast"/>
      <w:ind w:firstLine="640"/>
      <w:outlineLvl w:val="1"/>
    </w:pPr>
    <w:rPr>
      <w:rFonts w:ascii="楷体_GB2312" w:hAnsi="楷体_GB2312" w:eastAsia="楷体_GB2312" w:cs="楷体_GB2312"/>
      <w:b/>
      <w:bCs/>
      <w:color w:val="000000"/>
      <w:sz w:val="32"/>
      <w:szCs w:val="32"/>
    </w:rPr>
  </w:style>
  <w:style w:type="paragraph" w:styleId="4">
    <w:name w:val="heading 3"/>
    <w:next w:val="1"/>
    <w:qFormat/>
    <w:uiPriority w:val="0"/>
    <w:rPr>
      <w:rFonts w:ascii="仿宋_GB2312" w:hAnsi="仿宋_GB2312" w:eastAsia="仿宋_GB2312" w:cs="仿宋_GB2312"/>
      <w:color w:val="1F4D78"/>
      <w:sz w:val="24"/>
      <w:szCs w:val="24"/>
    </w:rPr>
  </w:style>
  <w:style w:type="paragraph" w:styleId="5">
    <w:name w:val="heading 4"/>
    <w:next w:val="1"/>
    <w:qFormat/>
    <w:uiPriority w:val="0"/>
    <w:rPr>
      <w:rFonts w:ascii="仿宋_GB2312" w:hAnsi="仿宋_GB2312" w:eastAsia="仿宋_GB2312" w:cs="仿宋_GB2312"/>
      <w:i/>
      <w:iCs/>
      <w:color w:val="2E74B5"/>
      <w:sz w:val="32"/>
      <w:szCs w:val="32"/>
    </w:rPr>
  </w:style>
  <w:style w:type="paragraph" w:styleId="6">
    <w:name w:val="heading 5"/>
    <w:next w:val="1"/>
    <w:qFormat/>
    <w:uiPriority w:val="0"/>
    <w:rPr>
      <w:rFonts w:ascii="仿宋_GB2312" w:hAnsi="仿宋_GB2312" w:eastAsia="仿宋_GB2312" w:cs="仿宋_GB2312"/>
      <w:color w:val="2E74B5"/>
      <w:sz w:val="32"/>
      <w:szCs w:val="32"/>
    </w:rPr>
  </w:style>
  <w:style w:type="paragraph" w:styleId="7">
    <w:name w:val="heading 6"/>
    <w:next w:val="1"/>
    <w:qFormat/>
    <w:uiPriority w:val="0"/>
    <w:rPr>
      <w:rFonts w:ascii="仿宋_GB2312" w:hAnsi="仿宋_GB2312" w:eastAsia="仿宋_GB2312" w:cs="仿宋_GB2312"/>
      <w:color w:val="1F4D78"/>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endnote text"/>
    <w:link w:val="22"/>
    <w:semiHidden/>
    <w:unhideWhenUsed/>
    <w:qFormat/>
    <w:uiPriority w:val="99"/>
    <w:pPr>
      <w:spacing w:after="0" w:line="240" w:lineRule="auto"/>
    </w:pPr>
    <w:rPr>
      <w:rFonts w:ascii="仿宋_GB2312" w:hAnsi="仿宋_GB2312" w:eastAsia="仿宋_GB2312" w:cs="仿宋_GB2312"/>
      <w:color w:val="00000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link w:val="21"/>
    <w:semiHidden/>
    <w:unhideWhenUsed/>
    <w:qFormat/>
    <w:uiPriority w:val="99"/>
    <w:pPr>
      <w:spacing w:after="0" w:line="240" w:lineRule="auto"/>
    </w:pPr>
    <w:rPr>
      <w:rFonts w:ascii="仿宋_GB2312" w:hAnsi="仿宋_GB2312" w:eastAsia="仿宋_GB2312" w:cs="仿宋_GB2312"/>
      <w:color w:val="000000"/>
      <w:sz w:val="20"/>
      <w:szCs w:val="20"/>
    </w:rPr>
  </w:style>
  <w:style w:type="paragraph" w:styleId="13">
    <w:name w:val="toc 2"/>
    <w:basedOn w:val="1"/>
    <w:next w:val="1"/>
    <w:qFormat/>
    <w:uiPriority w:val="0"/>
    <w:pPr>
      <w:ind w:left="420" w:leftChars="200"/>
    </w:pPr>
  </w:style>
  <w:style w:type="paragraph" w:styleId="14">
    <w:name w:val="Title"/>
    <w:qFormat/>
    <w:uiPriority w:val="0"/>
    <w:rPr>
      <w:rFonts w:ascii="仿宋_GB2312" w:hAnsi="仿宋_GB2312" w:eastAsia="仿宋_GB2312" w:cs="仿宋_GB2312"/>
      <w:color w:val="000000"/>
      <w:sz w:val="56"/>
      <w:szCs w:val="56"/>
    </w:rPr>
  </w:style>
  <w:style w:type="character" w:styleId="17">
    <w:name w:val="endnote reference"/>
    <w:semiHidden/>
    <w:unhideWhenUsed/>
    <w:qFormat/>
    <w:uiPriority w:val="99"/>
    <w:rPr>
      <w:vertAlign w:val="superscript"/>
    </w:r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仿宋_GB2312" w:hAnsi="仿宋_GB2312" w:eastAsia="仿宋_GB2312" w:cs="仿宋_GB2312"/>
      <w:color w:val="000000"/>
      <w:sz w:val="32"/>
      <w:szCs w:val="32"/>
    </w:rPr>
  </w:style>
  <w:style w:type="character" w:customStyle="1" w:styleId="21">
    <w:name w:val="Footnote Text Char"/>
    <w:link w:val="12"/>
    <w:semiHidden/>
    <w:unhideWhenUsed/>
    <w:qFormat/>
    <w:uiPriority w:val="99"/>
    <w:rPr>
      <w:sz w:val="20"/>
      <w:szCs w:val="20"/>
    </w:rPr>
  </w:style>
  <w:style w:type="character" w:customStyle="1" w:styleId="22">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9160</Words>
  <Characters>9247</Characters>
  <TotalTime>0</TotalTime>
  <ScaleCrop>false</ScaleCrop>
  <LinksUpToDate>false</LinksUpToDate>
  <CharactersWithSpaces>9248</CharactersWithSpaces>
  <Application>WPS Office_11.8.2.12017_F1E327BC-269C-435d-A152-05C5408002CA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2026-06-08T11:09:00Z</dcterms:created>
  <dc:creator>Un-named</dc:creator>
  <cp:lastModifiedBy>user</cp:lastModifiedBy>
  <dcterms:modified xsi:type="dcterms:W3CDTF">2026-07-17T17:21:57Z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eyJoZGlkIjoiYjgyOGQyODI3NTAyMDJjYmRjZmFkZWE1NDI5Y2Q4NDIiLCJ1c2VySWQiOiIyNzA0ODY1NjAifQ==</vt:lpwstr>
  </property>
  <property fmtid="{D5CDD505-2E9C-101B-9397-08002B2CF9AE}" pid="3" name="KSOProductBuildVer">
    <vt:lpwstr>2052-11.8.2.12017</vt:lpwstr>
  </property>
  <property fmtid="{D5CDD505-2E9C-101B-9397-08002B2CF9AE}" pid="4" name="ICV">
    <vt:lpwstr>C7BEBFFCCB11441AA2A4E0D6A1DFA9AB_13</vt:lpwstr>
  </property>
</Properties>
</file>