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关于</w:t>
      </w:r>
      <w:r>
        <w:rPr>
          <w:rFonts w:hint="eastAsia" w:ascii="方正小标宋简体" w:eastAsia="方正小标宋简体" w:cstheme="minorBidi"/>
          <w:kern w:val="2"/>
          <w:sz w:val="44"/>
          <w:szCs w:val="44"/>
          <w:lang w:val="en-US" w:eastAsia="zh-CN" w:bidi="ar-SA"/>
        </w:rPr>
        <w:t>塔城地区</w:t>
      </w:r>
      <w:r>
        <w:rPr>
          <w:rFonts w:hint="eastAsia" w:ascii="方正小标宋简体" w:eastAsia="方正小标宋简体" w:hAnsiTheme="minorHAnsi" w:cstheme="minorBidi"/>
          <w:kern w:val="2"/>
          <w:sz w:val="44"/>
          <w:szCs w:val="44"/>
          <w:lang w:val="en-US" w:eastAsia="zh-CN" w:bidi="ar-SA"/>
        </w:rPr>
        <w:t>自治区第一轮第三批生态环境保护督察反馈问题（</w:t>
      </w:r>
      <w:r>
        <w:rPr>
          <w:rFonts w:hint="eastAsia" w:ascii="方正小标宋简体" w:eastAsia="方正小标宋简体" w:cstheme="minorBidi"/>
          <w:kern w:val="2"/>
          <w:sz w:val="44"/>
          <w:szCs w:val="44"/>
          <w:lang w:val="en-US" w:eastAsia="zh-CN" w:bidi="ar-SA"/>
        </w:rPr>
        <w:t>序号26</w:t>
      </w:r>
      <w:r>
        <w:rPr>
          <w:rFonts w:hint="eastAsia" w:ascii="方正小标宋简体" w:eastAsia="方正小标宋简体" w:hAnsiTheme="minorHAnsi" w:cstheme="minorBidi"/>
          <w:kern w:val="2"/>
          <w:sz w:val="44"/>
          <w:szCs w:val="44"/>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整改情况的公示</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bidi w:val="0"/>
        <w:jc w:val="left"/>
        <w:outlineLvl w:val="9"/>
        <w:rPr>
          <w:rFonts w:hint="eastAsia"/>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《塔城地区</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第一轮第三批生态环境保护督察报告整改方案》</w:t>
      </w:r>
      <w:r>
        <w:rPr>
          <w:rFonts w:hint="eastAsia" w:ascii="仿宋_GB2312" w:hAnsi="仿宋_GB2312" w:eastAsia="仿宋_GB2312" w:cs="仿宋_GB2312"/>
          <w:sz w:val="32"/>
          <w:szCs w:val="32"/>
          <w:lang w:eastAsia="zh-CN"/>
        </w:rPr>
        <w:t>，自治区第一轮第三批生态环境保护督察报告反馈问题</w:t>
      </w:r>
      <w:r>
        <w:rPr>
          <w:rFonts w:hint="eastAsia" w:ascii="仿宋_GB2312" w:hAnsi="仿宋_GB2312" w:eastAsia="仿宋_GB2312" w:cs="仿宋_GB2312"/>
          <w:sz w:val="32"/>
          <w:szCs w:val="32"/>
          <w:lang w:val="en-US" w:eastAsia="zh-CN"/>
        </w:rPr>
        <w:t>（序号26）已完成整改，现将具体情况予以公示：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一、整改任务</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 w:eastAsia="仿宋_GB2312" w:cs="宋体"/>
          <w:b w:val="0"/>
          <w:bCs w:val="0"/>
          <w:color w:val="000000" w:themeColor="text1"/>
          <w:kern w:val="2"/>
          <w:sz w:val="32"/>
          <w:szCs w:val="32"/>
          <w:lang w:val="en-US" w:eastAsia="zh-CN" w:bidi="ar-SA"/>
          <w14:textFill>
            <w14:solidFill>
              <w14:schemeClr w14:val="tx1"/>
            </w14:solidFill>
          </w14:textFill>
        </w:rPr>
        <w:t>新疆天盾特种水泥有限公司从新疆星塔矿业有限公司购买的氯化焙烧尾渣用于水泥制作辅料，在厂区外无“三防措施”的地面上堆存约2万吨氯化焙烧尾渣，另将约7万吨尾渣倾倒至托里县龙盛石灰石矿（集团子公司矿点）露天矿坑内。经对矿坑内尾渣和水样进行取样监测，结果显示，尾渣样品砷含量7.77mg/L，水样砷含量平均浓度7.8mg/L，超过Ⅲ类地下水砷含量限值779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二、整改时限</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beforeAutospacing="0" w:afterAutospacing="0" w:line="560" w:lineRule="exact"/>
        <w:ind w:left="0"/>
        <w:jc w:val="left"/>
        <w:textAlignment w:val="auto"/>
        <w:outlineLvl w:val="9"/>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 xml:space="preserve">   2024年底前</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三、整改目标</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 w:eastAsia="仿宋_GB2312" w:cs="宋体"/>
          <w:b w:val="0"/>
          <w:bCs w:val="0"/>
          <w:color w:val="000000" w:themeColor="text1"/>
          <w:kern w:val="2"/>
          <w:sz w:val="32"/>
          <w:szCs w:val="32"/>
          <w:lang w:val="en-US" w:eastAsia="zh-CN" w:bidi="ar-SA"/>
          <w14:textFill>
            <w14:solidFill>
              <w14:schemeClr w14:val="tx1"/>
            </w14:solidFill>
          </w14:textFill>
        </w:rPr>
        <w:t>规范化贮存、转移处置氯化焙烧尾渣，对矿坑及周边进行污染风险检测，开展治理。督促龙盛石灰石矿做好矿坑监管，履行矿坑监管、修复主体责任。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四、整改措施</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 w:eastAsia="仿宋_GB2312" w:cs="宋体"/>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宋体"/>
          <w:b w:val="0"/>
          <w:bCs w:val="0"/>
          <w:color w:val="000000" w:themeColor="text1"/>
          <w:kern w:val="2"/>
          <w:sz w:val="32"/>
          <w:szCs w:val="32"/>
          <w:lang w:val="en-US" w:eastAsia="zh-CN" w:bidi="ar-SA"/>
          <w14:textFill>
            <w14:solidFill>
              <w14:schemeClr w14:val="tx1"/>
            </w14:solidFill>
          </w14:textFill>
        </w:rPr>
        <w:t>（1）督促新疆天盾特种水泥有限公司完善暂存场所防扬散、防渗漏、防流失措施，按照危险废物管理要求建立封闭储存设施，对氯化尾渣开展无害化处置。</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 w:eastAsia="仿宋_GB2312" w:cs="宋体"/>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宋体"/>
          <w:b w:val="0"/>
          <w:bCs w:val="0"/>
          <w:color w:val="000000" w:themeColor="text1"/>
          <w:kern w:val="2"/>
          <w:sz w:val="32"/>
          <w:szCs w:val="32"/>
          <w:lang w:val="en-US" w:eastAsia="zh-CN" w:bidi="ar-SA"/>
          <w14:textFill>
            <w14:solidFill>
              <w14:schemeClr w14:val="tx1"/>
            </w14:solidFill>
          </w14:textFill>
        </w:rPr>
        <w:t>（2）聘请有资质的第三方检测机构对倾倒点（龙盛石灰石矿采坑）的尾渣和水样进行采样检测，2024年6月底前完成对地下水、土壤评估，制定检测评估方案，根据检测评估结果确定污染范围，制定修复方案并开展修复工作。</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 w:eastAsia="仿宋_GB2312" w:cs="宋体"/>
          <w:b w:val="0"/>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宋体"/>
          <w:b w:val="0"/>
          <w:bCs w:val="0"/>
          <w:color w:val="000000" w:themeColor="text1"/>
          <w:kern w:val="2"/>
          <w:sz w:val="32"/>
          <w:szCs w:val="32"/>
          <w:lang w:val="en-US" w:eastAsia="zh-CN" w:bidi="ar-SA"/>
          <w14:textFill>
            <w14:solidFill>
              <w14:schemeClr w14:val="tx1"/>
            </w14:solidFill>
          </w14:textFill>
        </w:rPr>
        <w:t>（3）督促龙盛石灰石矿相关责任人加强对矿区监管，杜绝此类违法行为再次发生。</w:t>
      </w:r>
    </w:p>
    <w:p>
      <w:pPr>
        <w:pStyle w:val="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五、完成情况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left="0" w:firstLine="643" w:firstLineChars="200"/>
        <w:jc w:val="lef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新疆天盾特种水泥有限公司按照要求已制定“三防”措施制度，规范了贮存场所，建设了有防扬散、防渗漏、防</w:t>
      </w:r>
      <w:bookmarkStart w:id="0" w:name="_GoBack"/>
      <w:bookmarkEnd w:id="0"/>
      <w:r>
        <w:rPr>
          <w:rFonts w:hint="eastAsia" w:ascii="仿宋_GB2312" w:hAnsi="仿宋_GB2312" w:eastAsia="仿宋_GB2312" w:cs="仿宋_GB2312"/>
          <w:sz w:val="32"/>
          <w:szCs w:val="32"/>
          <w:lang w:val="en-US" w:eastAsia="zh-CN"/>
        </w:rPr>
        <w:t xml:space="preserve">流失的封闭储存设施，已处理无害化处置氯化尾渣2万吨。  </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left="0" w:firstLine="643" w:firstLineChars="200"/>
        <w:jc w:val="lef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塔城地区生态环境局托里县分局聘请了有资质的第三方检测机构对倾倒点（龙盛石灰石矿采坑）的尾渣和水样进行采样检测，已完成对地下水、土壤污染状况调查报告。通过本次调查和监测，该区域土壤、地下水监测结果均满足国家相关标准，根据检测评估结果堆放的固体废物中砷明显高出限值，建议采取防渗漏、防流失措施，并按照危险废物管理要求建立封闭储存设施，对氯化尾渣开展无害化处置。</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napToGrid/>
        <w:spacing w:line="560" w:lineRule="exact"/>
        <w:ind w:left="0" w:firstLine="643" w:firstLineChars="200"/>
        <w:jc w:val="left"/>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已向龙盛石灰石矿下发了相关工作函，督促相关责任人加强对矿区监管，杜绝此类违法行为再次发生。</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uppressAutoHyphens/>
        <w:kinsoku/>
        <w:wordWrap/>
        <w:overflowPunct/>
        <w:topLinePunct w:val="0"/>
        <w:autoSpaceDE/>
        <w:autoSpaceDN w:val="0"/>
        <w:bidi w:val="0"/>
        <w:adjustRightInd w:val="0"/>
        <w:snapToGrid w:val="0"/>
        <w:spacing w:line="520" w:lineRule="exact"/>
        <w:ind w:right="0" w:rightChars="0" w:firstLine="640" w:firstLineChars="200"/>
        <w:jc w:val="both"/>
        <w:textAlignment w:val="baseline"/>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公示时间：2</w:t>
      </w:r>
      <w:r>
        <w:rPr>
          <w:rFonts w:hint="eastAsia" w:ascii="仿宋_GB2312" w:hAnsi="仿宋_GB2312" w:eastAsia="仿宋_GB2312" w:cs="仿宋_GB2312"/>
          <w:color w:val="000000"/>
          <w:kern w:val="0"/>
          <w:sz w:val="32"/>
          <w:szCs w:val="32"/>
          <w:lang w:val="en-US" w:eastAsia="zh-CN"/>
        </w:rPr>
        <w:t>024年</w:t>
      </w:r>
      <w:r>
        <w:rPr>
          <w:rFonts w:hint="default"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lang w:val="en-US" w:eastAsia="zh-CN"/>
        </w:rPr>
        <w:t>月16日至27日，共计10个工作日。如有异议，请在公示期间来电来函如实反映。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val="0"/>
        <w:bidi w:val="0"/>
        <w:adjustRightInd w:val="0"/>
        <w:snapToGrid w:val="0"/>
        <w:spacing w:line="560" w:lineRule="exact"/>
        <w:ind w:left="0" w:right="0" w:rightChars="0" w:firstLine="640"/>
        <w:jc w:val="left"/>
        <w:textAlignment w:val="baseline"/>
        <w:outlineLvl w:val="9"/>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牵头责任单位电话（传真）：0901-6283331，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val="0"/>
        <w:bidi w:val="0"/>
        <w:adjustRightInd w:val="0"/>
        <w:snapToGrid w:val="0"/>
        <w:spacing w:line="560" w:lineRule="exact"/>
        <w:ind w:left="0" w:right="0" w:rightChars="0" w:firstLine="640"/>
        <w:jc w:val="left"/>
        <w:textAlignment w:val="baseline"/>
        <w:outlineLvl w:val="9"/>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邮箱：</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1308536573@qq.com</w:t>
      </w:r>
    </w:p>
    <w:p>
      <w:pPr>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bidi w:val="0"/>
        <w:jc w:val="left"/>
        <w:outlineLvl w:val="9"/>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NDQwMmZiMjgwMzcwOGIyZjZhYTgyYjE5ZjA5NzIifQ=="/>
  </w:docVars>
  <w:rsids>
    <w:rsidRoot w:val="00000000"/>
    <w:rsid w:val="08DE6095"/>
    <w:rsid w:val="18FD5F3F"/>
    <w:rsid w:val="19B94148"/>
    <w:rsid w:val="1B1C0C9B"/>
    <w:rsid w:val="24A71260"/>
    <w:rsid w:val="289D57A9"/>
    <w:rsid w:val="2A86376A"/>
    <w:rsid w:val="2AA11203"/>
    <w:rsid w:val="3F0942CF"/>
    <w:rsid w:val="44C363C3"/>
    <w:rsid w:val="506558ED"/>
    <w:rsid w:val="51D1286A"/>
    <w:rsid w:val="53C9022C"/>
    <w:rsid w:val="5E1166B6"/>
    <w:rsid w:val="5E350E52"/>
    <w:rsid w:val="5EDF0EA7"/>
    <w:rsid w:val="5FAB0DB6"/>
    <w:rsid w:val="615F449D"/>
    <w:rsid w:val="6A685C2E"/>
    <w:rsid w:val="6D7B2E0A"/>
    <w:rsid w:val="6DBA748D"/>
    <w:rsid w:val="7CE65294"/>
    <w:rsid w:val="7DEF1DFC"/>
    <w:rsid w:val="F7E6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ind w:firstLine="200" w:firstLineChars="200"/>
      <w:jc w:val="left"/>
      <w:outlineLvl w:val="2"/>
    </w:pPr>
    <w:rPr>
      <w:rFonts w:ascii="仿宋" w:hAnsi="仿宋" w:eastAsia="仿宋" w:cs="宋体"/>
      <w:color w:val="FF0000"/>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仿宋" w:hAnsi="仿宋" w:eastAsia="仿宋" w:cs="仿宋"/>
      <w:sz w:val="37"/>
      <w:szCs w:val="37"/>
      <w:lang w:val="en-US" w:eastAsia="en-US" w:bidi="ar-SA"/>
    </w:rPr>
  </w:style>
  <w:style w:type="paragraph" w:customStyle="1" w:styleId="5">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rPr>
  </w:style>
  <w:style w:type="paragraph" w:styleId="6">
    <w:name w:val="Body Text Indent"/>
    <w:basedOn w:val="1"/>
    <w:next w:val="1"/>
    <w:qFormat/>
    <w:uiPriority w:val="0"/>
    <w:pPr>
      <w:spacing w:after="12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next w:val="1"/>
    <w:qFormat/>
    <w:uiPriority w:val="0"/>
    <w:pPr>
      <w:ind w:firstLine="420" w:firstLineChars="200"/>
    </w:pPr>
  </w:style>
  <w:style w:type="character" w:styleId="11">
    <w:name w:val="FollowedHyperlink"/>
    <w:basedOn w:val="10"/>
    <w:qFormat/>
    <w:uiPriority w:val="0"/>
    <w:rPr>
      <w:color w:val="800080"/>
      <w:u w:val="single"/>
    </w:rPr>
  </w:style>
  <w:style w:type="character" w:styleId="12">
    <w:name w:val="Hyperlink"/>
    <w:basedOn w:val="10"/>
    <w:qFormat/>
    <w:uiPriority w:val="0"/>
    <w:rPr>
      <w:color w:val="0000FF"/>
      <w:u w:val="single"/>
    </w:rPr>
  </w:style>
  <w:style w:type="paragraph" w:customStyle="1" w:styleId="13">
    <w:name w:val="Char"/>
    <w:basedOn w:val="1"/>
    <w:qFormat/>
    <w:uiPriority w:val="99"/>
    <w:pPr>
      <w:widowControl/>
      <w:spacing w:after="160" w:line="240" w:lineRule="exact"/>
      <w:jc w:val="left"/>
    </w:pPr>
    <w:rPr>
      <w:rFonts w:ascii="Verdana" w:hAnsi="Verdana" w:cs="Verdana"/>
      <w:kern w:val="0"/>
      <w:sz w:val="24"/>
      <w:lang w:eastAsia="en-US"/>
    </w:rPr>
  </w:style>
  <w:style w:type="paragraph" w:customStyle="1" w:styleId="14">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2023-12-08T19:18:00Z</dcterms:created>
  <dc:creator>黄端端</dc:creator>
  <cp:lastModifiedBy>Administrator</cp:lastModifiedBy>
  <cp:lastPrinted>2024-11-26T11:22:00Z</cp:lastPrinted>
  <dcterms:modified xsi:type="dcterms:W3CDTF">2024-12-16T03:04:22Z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E34C6C30BA484840895A42BC9EB41864</vt:lpwstr>
  </property>
</Properties>
</file>