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地区生态环境局</w:t>
      </w:r>
      <w:r>
        <w:rPr>
          <w:rFonts w:hint="eastAsia" w:ascii="方正小标宋_GBK" w:hAnsi="方正小标宋_GBK" w:eastAsia="方正小标宋_GBK" w:cs="方正小标宋_GBK"/>
          <w:sz w:val="44"/>
          <w:szCs w:val="44"/>
        </w:rPr>
        <w:t>政府信息公开工作</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年度报告</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一、总体情况</w:t>
      </w:r>
    </w:p>
    <w:p>
      <w:pPr>
        <w:spacing w:line="560" w:lineRule="exact"/>
        <w:ind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2019年为提高环保行政执法的透明度，保证环境保护行政执法公开、公平、公正，切实维护相对人的合法权益，按照《中华人民共和国政府信息公开条例》、《环境信息公开办法(试行)》等要求,利用“环保微信公众号”，依法向社会主动公开了2019年度查处的5起生态环境行政执法信息。</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华文仿宋" w:hAnsi="华文仿宋" w:eastAsia="华文仿宋" w:cs="华文仿宋"/>
          <w:sz w:val="32"/>
          <w:szCs w:val="32"/>
          <w:lang w:val="en-US" w:eastAsia="zh-CN"/>
        </w:rPr>
        <w:t>根据《</w:t>
      </w:r>
      <w:r>
        <w:rPr>
          <w:rFonts w:hint="eastAsia" w:ascii="华文仿宋" w:hAnsi="华文仿宋" w:eastAsia="华文仿宋" w:cs="华文仿宋"/>
          <w:sz w:val="32"/>
          <w:szCs w:val="32"/>
        </w:rPr>
        <w:t>国务院办公厅政府信息与政务公开办公室关于政府信息公开工作年度报告有关事项的通知</w:t>
      </w:r>
      <w:r>
        <w:rPr>
          <w:rFonts w:hint="eastAsia" w:ascii="华文仿宋" w:hAnsi="华文仿宋" w:eastAsia="华文仿宋" w:cs="华文仿宋"/>
          <w:sz w:val="32"/>
          <w:szCs w:val="32"/>
          <w:lang w:val="en-US" w:eastAsia="zh-CN"/>
        </w:rPr>
        <w:t>》的要求，生态环境局财务工作按照财政要求需要公开的内容包括部门预算和部门决算的全部内容，部门预算包含了单位在本年度人员经费、基本公用经费、项目预算等。我单位按照部门预算套表一一进行公开。部门决算包含了在本年度内单位全部的收入、支出以及“三公经费”等全部在政府网上进行公开。</w:t>
      </w:r>
    </w:p>
    <w:p>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地区生态环境局</w:t>
      </w:r>
      <w:r>
        <w:rPr>
          <w:rFonts w:hint="eastAsia" w:ascii="仿宋_GB2312" w:hAnsi="仿宋_GB2312" w:eastAsia="仿宋_GB2312" w:cs="仿宋_GB2312"/>
          <w:color w:val="auto"/>
          <w:sz w:val="32"/>
          <w:szCs w:val="32"/>
          <w:lang w:eastAsia="zh-CN"/>
        </w:rPr>
        <w:t>污染控制科信息公开内容主要为建设项目环评审批的受理及审批信息公示，为行政许可主动公开内容，</w:t>
      </w:r>
      <w:r>
        <w:rPr>
          <w:rFonts w:hint="eastAsia" w:ascii="仿宋_GB2312" w:hAnsi="仿宋_GB2312" w:eastAsia="仿宋_GB2312" w:cs="仿宋_GB2312"/>
          <w:color w:val="auto"/>
          <w:sz w:val="32"/>
          <w:szCs w:val="32"/>
          <w:lang w:val="en-US" w:eastAsia="zh-CN"/>
        </w:rPr>
        <w:t>2019年共审批项目86个，公示数量86个，无其他需公示情况。</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2180"/>
        <w:gridCol w:w="2180"/>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8720" w:type="dxa"/>
            <w:gridSpan w:val="4"/>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信息内容</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本年</w:t>
            </w:r>
          </w:p>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新制作数量</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本年</w:t>
            </w:r>
          </w:p>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新公开数量</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对外公开</w:t>
            </w:r>
          </w:p>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规章</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规范性文件</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8720" w:type="dxa"/>
            <w:gridSpan w:val="4"/>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信息内容</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w w:val="90"/>
                <w:sz w:val="30"/>
                <w:szCs w:val="30"/>
              </w:rPr>
              <w:t>上一年项目数量</w:t>
            </w:r>
          </w:p>
        </w:tc>
        <w:tc>
          <w:tcPr>
            <w:tcW w:w="2180" w:type="dxa"/>
            <w:noWrap w:val="0"/>
            <w:vAlign w:val="center"/>
          </w:tcPr>
          <w:p>
            <w:pPr>
              <w:spacing w:line="3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本年增/减</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180" w:type="dxa"/>
            <w:noWrap w:val="0"/>
            <w:vAlign w:val="center"/>
          </w:tcPr>
          <w:p>
            <w:pPr>
              <w:spacing w:line="32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行政许可</w:t>
            </w:r>
          </w:p>
        </w:tc>
        <w:tc>
          <w:tcPr>
            <w:tcW w:w="2180" w:type="dxa"/>
            <w:noWrap w:val="0"/>
            <w:vAlign w:val="center"/>
          </w:tcPr>
          <w:p>
            <w:pPr>
              <w:spacing w:line="320" w:lineRule="exact"/>
              <w:jc w:val="center"/>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148</w:t>
            </w:r>
          </w:p>
        </w:tc>
        <w:tc>
          <w:tcPr>
            <w:tcW w:w="2180" w:type="dxa"/>
            <w:noWrap w:val="0"/>
            <w:vAlign w:val="center"/>
          </w:tcPr>
          <w:p>
            <w:pPr>
              <w:spacing w:line="320" w:lineRule="exact"/>
              <w:jc w:val="center"/>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减101</w:t>
            </w:r>
          </w:p>
        </w:tc>
        <w:tc>
          <w:tcPr>
            <w:tcW w:w="2180" w:type="dxa"/>
            <w:noWrap w:val="0"/>
            <w:vAlign w:val="center"/>
          </w:tcPr>
          <w:p>
            <w:pPr>
              <w:spacing w:line="320" w:lineRule="exact"/>
              <w:jc w:val="center"/>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其他对外管理服务事项</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8720" w:type="dxa"/>
            <w:gridSpan w:val="4"/>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信息内容</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w w:val="90"/>
                <w:sz w:val="30"/>
                <w:szCs w:val="30"/>
              </w:rPr>
              <w:t>上一年项目数量</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本年增/减</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行政处罚</w:t>
            </w:r>
          </w:p>
        </w:tc>
        <w:tc>
          <w:tcPr>
            <w:tcW w:w="2180" w:type="dxa"/>
            <w:noWrap w:val="0"/>
            <w:vAlign w:val="center"/>
          </w:tcPr>
          <w:p>
            <w:pPr>
              <w:spacing w:line="32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w:t>
            </w:r>
          </w:p>
        </w:tc>
        <w:tc>
          <w:tcPr>
            <w:tcW w:w="2180" w:type="dxa"/>
            <w:noWrap w:val="0"/>
            <w:vAlign w:val="center"/>
          </w:tcPr>
          <w:p>
            <w:pPr>
              <w:spacing w:line="32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增</w:t>
            </w:r>
            <w:r>
              <w:rPr>
                <w:rFonts w:hint="eastAsia" w:ascii="仿宋_GB2312" w:hAnsi="仿宋_GB2312" w:eastAsia="仿宋_GB2312" w:cs="仿宋_GB2312"/>
                <w:sz w:val="30"/>
                <w:szCs w:val="30"/>
                <w:lang w:val="en-US" w:eastAsia="zh-CN"/>
              </w:rPr>
              <w:t>1</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行政强制</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8720" w:type="dxa"/>
            <w:gridSpan w:val="4"/>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信息内容</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w w:val="90"/>
                <w:sz w:val="30"/>
                <w:szCs w:val="30"/>
              </w:rPr>
              <w:t>上一年项目数量</w:t>
            </w:r>
          </w:p>
        </w:tc>
        <w:tc>
          <w:tcPr>
            <w:tcW w:w="4360" w:type="dxa"/>
            <w:gridSpan w:val="2"/>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w w:val="90"/>
                <w:sz w:val="30"/>
                <w:szCs w:val="30"/>
              </w:rPr>
              <w:t>行政事业性收费</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8720" w:type="dxa"/>
            <w:gridSpan w:val="4"/>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信息内容</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采购项目数量</w:t>
            </w:r>
          </w:p>
        </w:tc>
        <w:tc>
          <w:tcPr>
            <w:tcW w:w="4360" w:type="dxa"/>
            <w:gridSpan w:val="2"/>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政府集中采购</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10</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120.84万元</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r>
    </w:tbl>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tbl>
      <w:tblPr>
        <w:tblStyle w:val="3"/>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46"/>
        <w:gridCol w:w="2943"/>
        <w:gridCol w:w="405"/>
        <w:gridCol w:w="570"/>
        <w:gridCol w:w="510"/>
        <w:gridCol w:w="840"/>
        <w:gridCol w:w="825"/>
        <w:gridCol w:w="416"/>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4519" w:type="dxa"/>
            <w:gridSpan w:val="3"/>
            <w:vMerge w:val="restart"/>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（本列数据的勾稽关系为：第一项加第二项之和，等于第三项加第四项之和）</w:t>
            </w:r>
          </w:p>
        </w:tc>
        <w:tc>
          <w:tcPr>
            <w:tcW w:w="4101" w:type="dxa"/>
            <w:gridSpan w:val="7"/>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4519" w:type="dxa"/>
            <w:gridSpan w:val="3"/>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405" w:type="dxa"/>
            <w:vMerge w:val="restart"/>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自</w:t>
            </w:r>
          </w:p>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然</w:t>
            </w:r>
          </w:p>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人</w:t>
            </w:r>
          </w:p>
        </w:tc>
        <w:tc>
          <w:tcPr>
            <w:tcW w:w="3161" w:type="dxa"/>
            <w:gridSpan w:val="5"/>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法人或其他组织</w:t>
            </w:r>
          </w:p>
        </w:tc>
        <w:tc>
          <w:tcPr>
            <w:tcW w:w="535" w:type="dxa"/>
            <w:vMerge w:val="restart"/>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w:t>
            </w:r>
          </w:p>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9" w:hRule="atLeast"/>
        </w:trPr>
        <w:tc>
          <w:tcPr>
            <w:tcW w:w="4519" w:type="dxa"/>
            <w:gridSpan w:val="3"/>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405"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商业企业</w:t>
            </w:r>
          </w:p>
        </w:tc>
        <w:tc>
          <w:tcPr>
            <w:tcW w:w="510" w:type="dxa"/>
            <w:noWrap w:val="0"/>
            <w:vAlign w:val="center"/>
          </w:tcPr>
          <w:p>
            <w:pPr>
              <w:spacing w:line="3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科研机构</w:t>
            </w:r>
          </w:p>
        </w:tc>
        <w:tc>
          <w:tcPr>
            <w:tcW w:w="840" w:type="dxa"/>
            <w:noWrap w:val="0"/>
            <w:vAlign w:val="center"/>
          </w:tcPr>
          <w:p>
            <w:pPr>
              <w:spacing w:line="3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社会公益组织</w:t>
            </w:r>
          </w:p>
        </w:tc>
        <w:tc>
          <w:tcPr>
            <w:tcW w:w="825" w:type="dxa"/>
            <w:noWrap w:val="0"/>
            <w:vAlign w:val="center"/>
          </w:tcPr>
          <w:p>
            <w:pPr>
              <w:spacing w:line="3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法律服务机构</w:t>
            </w:r>
          </w:p>
        </w:tc>
        <w:tc>
          <w:tcPr>
            <w:tcW w:w="416" w:type="dxa"/>
            <w:noWrap w:val="0"/>
            <w:vAlign w:val="center"/>
          </w:tcPr>
          <w:p>
            <w:pPr>
              <w:spacing w:line="3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w:t>
            </w:r>
          </w:p>
        </w:tc>
        <w:tc>
          <w:tcPr>
            <w:tcW w:w="535" w:type="dxa"/>
            <w:vMerge w:val="continue"/>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4519" w:type="dxa"/>
            <w:gridSpan w:val="3"/>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w w:val="90"/>
                <w:sz w:val="30"/>
                <w:szCs w:val="30"/>
              </w:rPr>
              <w:t>一、本年新收政府信息公开申请数量</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4519" w:type="dxa"/>
            <w:gridSpan w:val="3"/>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w w:val="90"/>
                <w:sz w:val="30"/>
                <w:szCs w:val="30"/>
              </w:rPr>
              <w:t>二、上年结转政府信息公开申请数量</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30" w:type="dxa"/>
            <w:vMerge w:val="restart"/>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三、本年度办理结果</w:t>
            </w:r>
          </w:p>
        </w:tc>
        <w:tc>
          <w:tcPr>
            <w:tcW w:w="3789" w:type="dxa"/>
            <w:gridSpan w:val="2"/>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（一）予以公开</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3789" w:type="dxa"/>
            <w:gridSpan w:val="2"/>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（二）部分公开（区分处理的，只计这一情形，不计其他情形）</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restart"/>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（三）不予公开</w:t>
            </w:r>
          </w:p>
        </w:tc>
        <w:tc>
          <w:tcPr>
            <w:tcW w:w="294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1、属于国家秘密</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294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2、其他法律行政法规禁止公开</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2943" w:type="dxa"/>
            <w:noWrap w:val="0"/>
            <w:vAlign w:val="center"/>
          </w:tcPr>
          <w:p>
            <w:pPr>
              <w:spacing w:line="360" w:lineRule="exact"/>
              <w:jc w:val="center"/>
              <w:rPr>
                <w:rFonts w:ascii="仿宋_GB2312" w:hAnsi="仿宋_GB2312" w:eastAsia="仿宋_GB2312" w:cs="仿宋_GB2312"/>
                <w:w w:val="90"/>
                <w:sz w:val="30"/>
                <w:szCs w:val="30"/>
              </w:rPr>
            </w:pPr>
            <w:r>
              <w:rPr>
                <w:rFonts w:hint="eastAsia" w:ascii="仿宋_GB2312" w:hAnsi="仿宋_GB2312" w:eastAsia="仿宋_GB2312" w:cs="仿宋_GB2312"/>
                <w:w w:val="90"/>
                <w:sz w:val="30"/>
                <w:szCs w:val="30"/>
              </w:rPr>
              <w:t>3、危及“三安全一稳定”</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2943" w:type="dxa"/>
            <w:noWrap w:val="0"/>
            <w:vAlign w:val="center"/>
          </w:tcPr>
          <w:p>
            <w:pPr>
              <w:spacing w:line="360" w:lineRule="exact"/>
              <w:jc w:val="center"/>
              <w:rPr>
                <w:rFonts w:ascii="仿宋_GB2312" w:hAnsi="仿宋_GB2312" w:eastAsia="仿宋_GB2312" w:cs="仿宋_GB2312"/>
                <w:w w:val="90"/>
                <w:sz w:val="30"/>
                <w:szCs w:val="30"/>
              </w:rPr>
            </w:pPr>
            <w:r>
              <w:rPr>
                <w:rFonts w:hint="eastAsia" w:ascii="仿宋_GB2312" w:hAnsi="仿宋_GB2312" w:eastAsia="仿宋_GB2312" w:cs="仿宋_GB2312"/>
                <w:w w:val="90"/>
                <w:sz w:val="30"/>
                <w:szCs w:val="30"/>
              </w:rPr>
              <w:t>4、保护第三方合法权益</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294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5、属于三类内部事务信息</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294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w w:val="90"/>
                <w:sz w:val="30"/>
                <w:szCs w:val="30"/>
              </w:rPr>
              <w:t>6、属于四类过程性信息</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294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7、属于行政执法案卷</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294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8、属于行政查询事项</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restart"/>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（四）无法提供</w:t>
            </w:r>
          </w:p>
        </w:tc>
        <w:tc>
          <w:tcPr>
            <w:tcW w:w="294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1、本机关不掌握相关政府信息</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294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2、没有现成信息需要另行制作</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294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3、补正后申请内容仍不明确</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restart"/>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（五）不予处理</w:t>
            </w:r>
          </w:p>
        </w:tc>
        <w:tc>
          <w:tcPr>
            <w:tcW w:w="294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w w:val="90"/>
                <w:sz w:val="30"/>
                <w:szCs w:val="30"/>
              </w:rPr>
              <w:t>1、信访举报投诉类申请</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294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2、重复申请</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294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w w:val="90"/>
                <w:sz w:val="30"/>
                <w:szCs w:val="30"/>
              </w:rPr>
              <w:t>3、要求提供公开出版物</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294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4、无正当理由大量反复申请</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294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w w:val="90"/>
                <w:sz w:val="30"/>
                <w:szCs w:val="30"/>
              </w:rPr>
              <w:t>5、要求行政机关确认或重新出具已获取信息</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3789" w:type="dxa"/>
            <w:gridSpan w:val="2"/>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（六）其他处理</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3789" w:type="dxa"/>
            <w:gridSpan w:val="2"/>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（七）总计</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8620" w:type="dxa"/>
            <w:gridSpan w:val="10"/>
            <w:noWrap w:val="0"/>
            <w:vAlign w:val="center"/>
          </w:tcPr>
          <w:p>
            <w:pPr>
              <w:spacing w:line="360" w:lineRule="exact"/>
              <w:jc w:val="center"/>
              <w:rPr>
                <w:rFonts w:hint="eastAsia" w:ascii="仿宋_GB2312" w:hAnsi="仿宋_GB2312" w:eastAsia="仿宋_GB2312" w:cs="仿宋_GB2312"/>
                <w:sz w:val="30"/>
                <w:szCs w:val="30"/>
              </w:rPr>
            </w:pPr>
            <w:bookmarkStart w:id="0" w:name="_GoBack"/>
            <w:bookmarkEnd w:id="0"/>
            <w:r>
              <w:rPr>
                <w:rFonts w:hint="eastAsia" w:ascii="仿宋_GB2312" w:hAnsi="仿宋_GB2312" w:eastAsia="仿宋_GB2312" w:cs="仿宋_GB2312"/>
                <w:sz w:val="30"/>
                <w:szCs w:val="30"/>
              </w:rPr>
              <w:t>四、结转下年度继续办理</w:t>
            </w:r>
          </w:p>
        </w:tc>
      </w:tr>
    </w:tbl>
    <w:p>
      <w:pPr>
        <w:spacing w:line="560" w:lineRule="exact"/>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3"/>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588"/>
        <w:gridCol w:w="586"/>
        <w:gridCol w:w="587"/>
        <w:gridCol w:w="586"/>
        <w:gridCol w:w="585"/>
        <w:gridCol w:w="587"/>
        <w:gridCol w:w="587"/>
        <w:gridCol w:w="587"/>
        <w:gridCol w:w="584"/>
        <w:gridCol w:w="581"/>
        <w:gridCol w:w="581"/>
        <w:gridCol w:w="581"/>
        <w:gridCol w:w="578"/>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931" w:type="dxa"/>
            <w:gridSpan w:val="5"/>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行政复议</w:t>
            </w:r>
          </w:p>
        </w:tc>
        <w:tc>
          <w:tcPr>
            <w:tcW w:w="5829" w:type="dxa"/>
            <w:gridSpan w:val="10"/>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584" w:type="dxa"/>
            <w:vMerge w:val="restart"/>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结果维持</w:t>
            </w:r>
          </w:p>
        </w:tc>
        <w:tc>
          <w:tcPr>
            <w:tcW w:w="588" w:type="dxa"/>
            <w:vMerge w:val="restart"/>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结果纠正</w:t>
            </w:r>
          </w:p>
        </w:tc>
        <w:tc>
          <w:tcPr>
            <w:tcW w:w="586" w:type="dxa"/>
            <w:vMerge w:val="restart"/>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其他结果</w:t>
            </w:r>
          </w:p>
        </w:tc>
        <w:tc>
          <w:tcPr>
            <w:tcW w:w="587" w:type="dxa"/>
            <w:vMerge w:val="restart"/>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尚未审结</w:t>
            </w:r>
          </w:p>
        </w:tc>
        <w:tc>
          <w:tcPr>
            <w:tcW w:w="586" w:type="dxa"/>
            <w:vMerge w:val="restart"/>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总计</w:t>
            </w:r>
          </w:p>
        </w:tc>
        <w:tc>
          <w:tcPr>
            <w:tcW w:w="2930" w:type="dxa"/>
            <w:gridSpan w:val="5"/>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未经复议直接起诉</w:t>
            </w:r>
          </w:p>
        </w:tc>
        <w:tc>
          <w:tcPr>
            <w:tcW w:w="2899" w:type="dxa"/>
            <w:gridSpan w:val="5"/>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2" w:hRule="atLeast"/>
        </w:trPr>
        <w:tc>
          <w:tcPr>
            <w:tcW w:w="584" w:type="dxa"/>
            <w:vMerge w:val="continue"/>
            <w:noWrap w:val="0"/>
            <w:vAlign w:val="center"/>
          </w:tcPr>
          <w:p>
            <w:pPr>
              <w:spacing w:line="560" w:lineRule="exact"/>
              <w:jc w:val="center"/>
              <w:rPr>
                <w:rFonts w:hint="eastAsia" w:ascii="仿宋_GB2312" w:hAnsi="仿宋_GB2312" w:eastAsia="仿宋_GB2312" w:cs="仿宋_GB2312"/>
                <w:sz w:val="30"/>
                <w:szCs w:val="30"/>
              </w:rPr>
            </w:pPr>
          </w:p>
        </w:tc>
        <w:tc>
          <w:tcPr>
            <w:tcW w:w="588" w:type="dxa"/>
            <w:vMerge w:val="continue"/>
            <w:noWrap w:val="0"/>
            <w:vAlign w:val="center"/>
          </w:tcPr>
          <w:p>
            <w:pPr>
              <w:spacing w:line="560" w:lineRule="exact"/>
              <w:jc w:val="center"/>
              <w:rPr>
                <w:rFonts w:hint="eastAsia" w:ascii="仿宋_GB2312" w:hAnsi="仿宋_GB2312" w:eastAsia="仿宋_GB2312" w:cs="仿宋_GB2312"/>
                <w:sz w:val="30"/>
                <w:szCs w:val="30"/>
              </w:rPr>
            </w:pPr>
          </w:p>
        </w:tc>
        <w:tc>
          <w:tcPr>
            <w:tcW w:w="586" w:type="dxa"/>
            <w:vMerge w:val="continue"/>
            <w:noWrap w:val="0"/>
            <w:vAlign w:val="center"/>
          </w:tcPr>
          <w:p>
            <w:pPr>
              <w:spacing w:line="560" w:lineRule="exact"/>
              <w:jc w:val="center"/>
              <w:rPr>
                <w:rFonts w:hint="eastAsia" w:ascii="仿宋_GB2312" w:hAnsi="仿宋_GB2312" w:eastAsia="仿宋_GB2312" w:cs="仿宋_GB2312"/>
                <w:sz w:val="30"/>
                <w:szCs w:val="30"/>
              </w:rPr>
            </w:pPr>
          </w:p>
        </w:tc>
        <w:tc>
          <w:tcPr>
            <w:tcW w:w="587" w:type="dxa"/>
            <w:vMerge w:val="continue"/>
            <w:noWrap w:val="0"/>
            <w:vAlign w:val="center"/>
          </w:tcPr>
          <w:p>
            <w:pPr>
              <w:spacing w:line="560" w:lineRule="exact"/>
              <w:jc w:val="center"/>
              <w:rPr>
                <w:rFonts w:hint="eastAsia" w:ascii="仿宋_GB2312" w:hAnsi="仿宋_GB2312" w:eastAsia="仿宋_GB2312" w:cs="仿宋_GB2312"/>
                <w:sz w:val="30"/>
                <w:szCs w:val="30"/>
              </w:rPr>
            </w:pPr>
          </w:p>
        </w:tc>
        <w:tc>
          <w:tcPr>
            <w:tcW w:w="586" w:type="dxa"/>
            <w:vMerge w:val="continue"/>
            <w:noWrap w:val="0"/>
            <w:vAlign w:val="center"/>
          </w:tcPr>
          <w:p>
            <w:pPr>
              <w:spacing w:line="560" w:lineRule="exact"/>
              <w:jc w:val="center"/>
              <w:rPr>
                <w:rFonts w:hint="eastAsia" w:ascii="仿宋_GB2312" w:hAnsi="仿宋_GB2312" w:eastAsia="仿宋_GB2312" w:cs="仿宋_GB2312"/>
                <w:sz w:val="30"/>
                <w:szCs w:val="30"/>
              </w:rPr>
            </w:pPr>
          </w:p>
        </w:tc>
        <w:tc>
          <w:tcPr>
            <w:tcW w:w="585" w:type="dxa"/>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结果维持</w:t>
            </w:r>
          </w:p>
        </w:tc>
        <w:tc>
          <w:tcPr>
            <w:tcW w:w="587" w:type="dxa"/>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结果纠正</w:t>
            </w:r>
          </w:p>
        </w:tc>
        <w:tc>
          <w:tcPr>
            <w:tcW w:w="587" w:type="dxa"/>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其他结果</w:t>
            </w:r>
          </w:p>
        </w:tc>
        <w:tc>
          <w:tcPr>
            <w:tcW w:w="587" w:type="dxa"/>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尚未审结</w:t>
            </w:r>
          </w:p>
        </w:tc>
        <w:tc>
          <w:tcPr>
            <w:tcW w:w="584" w:type="dxa"/>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总计</w:t>
            </w:r>
          </w:p>
        </w:tc>
        <w:tc>
          <w:tcPr>
            <w:tcW w:w="581" w:type="dxa"/>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结果维持</w:t>
            </w:r>
          </w:p>
        </w:tc>
        <w:tc>
          <w:tcPr>
            <w:tcW w:w="581" w:type="dxa"/>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结果纠正</w:t>
            </w:r>
          </w:p>
        </w:tc>
        <w:tc>
          <w:tcPr>
            <w:tcW w:w="581" w:type="dxa"/>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其他结果</w:t>
            </w:r>
          </w:p>
        </w:tc>
        <w:tc>
          <w:tcPr>
            <w:tcW w:w="578" w:type="dxa"/>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尚未审结</w:t>
            </w:r>
          </w:p>
        </w:tc>
        <w:tc>
          <w:tcPr>
            <w:tcW w:w="578" w:type="dxa"/>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584" w:type="dxa"/>
            <w:noWrap w:val="0"/>
            <w:vAlign w:val="center"/>
          </w:tcPr>
          <w:p>
            <w:pPr>
              <w:spacing w:line="560" w:lineRule="exact"/>
              <w:jc w:val="center"/>
              <w:rPr>
                <w:rFonts w:hint="eastAsia" w:ascii="仿宋_GB2312" w:hAnsi="仿宋_GB2312" w:eastAsia="仿宋_GB2312" w:cs="仿宋_GB2312"/>
                <w:sz w:val="30"/>
                <w:szCs w:val="30"/>
              </w:rPr>
            </w:pPr>
          </w:p>
        </w:tc>
        <w:tc>
          <w:tcPr>
            <w:tcW w:w="588" w:type="dxa"/>
            <w:noWrap w:val="0"/>
            <w:vAlign w:val="center"/>
          </w:tcPr>
          <w:p>
            <w:pPr>
              <w:spacing w:line="560" w:lineRule="exact"/>
              <w:jc w:val="center"/>
              <w:rPr>
                <w:rFonts w:hint="eastAsia" w:ascii="仿宋_GB2312" w:hAnsi="仿宋_GB2312" w:eastAsia="仿宋_GB2312" w:cs="仿宋_GB2312"/>
                <w:sz w:val="30"/>
                <w:szCs w:val="30"/>
              </w:rPr>
            </w:pPr>
          </w:p>
        </w:tc>
        <w:tc>
          <w:tcPr>
            <w:tcW w:w="586" w:type="dxa"/>
            <w:noWrap w:val="0"/>
            <w:vAlign w:val="center"/>
          </w:tcPr>
          <w:p>
            <w:pPr>
              <w:spacing w:line="560" w:lineRule="exact"/>
              <w:jc w:val="center"/>
              <w:rPr>
                <w:rFonts w:hint="eastAsia" w:ascii="仿宋_GB2312" w:hAnsi="仿宋_GB2312" w:eastAsia="仿宋_GB2312" w:cs="仿宋_GB2312"/>
                <w:sz w:val="30"/>
                <w:szCs w:val="30"/>
              </w:rPr>
            </w:pPr>
          </w:p>
        </w:tc>
        <w:tc>
          <w:tcPr>
            <w:tcW w:w="587" w:type="dxa"/>
            <w:noWrap w:val="0"/>
            <w:vAlign w:val="center"/>
          </w:tcPr>
          <w:p>
            <w:pPr>
              <w:spacing w:line="560" w:lineRule="exact"/>
              <w:jc w:val="center"/>
              <w:rPr>
                <w:rFonts w:hint="eastAsia" w:ascii="仿宋_GB2312" w:hAnsi="仿宋_GB2312" w:eastAsia="仿宋_GB2312" w:cs="仿宋_GB2312"/>
                <w:sz w:val="30"/>
                <w:szCs w:val="30"/>
              </w:rPr>
            </w:pPr>
          </w:p>
        </w:tc>
        <w:tc>
          <w:tcPr>
            <w:tcW w:w="586" w:type="dxa"/>
            <w:noWrap w:val="0"/>
            <w:vAlign w:val="center"/>
          </w:tcPr>
          <w:p>
            <w:pPr>
              <w:spacing w:line="560" w:lineRule="exact"/>
              <w:jc w:val="center"/>
              <w:rPr>
                <w:rFonts w:hint="eastAsia" w:ascii="仿宋_GB2312" w:hAnsi="仿宋_GB2312" w:eastAsia="仿宋_GB2312" w:cs="仿宋_GB2312"/>
                <w:sz w:val="30"/>
                <w:szCs w:val="30"/>
              </w:rPr>
            </w:pPr>
          </w:p>
        </w:tc>
        <w:tc>
          <w:tcPr>
            <w:tcW w:w="585" w:type="dxa"/>
            <w:noWrap w:val="0"/>
            <w:vAlign w:val="center"/>
          </w:tcPr>
          <w:p>
            <w:pPr>
              <w:spacing w:line="560" w:lineRule="exact"/>
              <w:jc w:val="center"/>
              <w:rPr>
                <w:rFonts w:hint="eastAsia" w:ascii="仿宋_GB2312" w:hAnsi="仿宋_GB2312" w:eastAsia="仿宋_GB2312" w:cs="仿宋_GB2312"/>
                <w:sz w:val="30"/>
                <w:szCs w:val="30"/>
              </w:rPr>
            </w:pPr>
          </w:p>
        </w:tc>
        <w:tc>
          <w:tcPr>
            <w:tcW w:w="587" w:type="dxa"/>
            <w:noWrap w:val="0"/>
            <w:vAlign w:val="center"/>
          </w:tcPr>
          <w:p>
            <w:pPr>
              <w:spacing w:line="560" w:lineRule="exact"/>
              <w:jc w:val="center"/>
              <w:rPr>
                <w:rFonts w:hint="eastAsia" w:ascii="仿宋_GB2312" w:hAnsi="仿宋_GB2312" w:eastAsia="仿宋_GB2312" w:cs="仿宋_GB2312"/>
                <w:sz w:val="30"/>
                <w:szCs w:val="30"/>
              </w:rPr>
            </w:pPr>
          </w:p>
        </w:tc>
        <w:tc>
          <w:tcPr>
            <w:tcW w:w="587" w:type="dxa"/>
            <w:noWrap w:val="0"/>
            <w:vAlign w:val="center"/>
          </w:tcPr>
          <w:p>
            <w:pPr>
              <w:spacing w:line="560" w:lineRule="exact"/>
              <w:jc w:val="center"/>
              <w:rPr>
                <w:rFonts w:hint="eastAsia" w:ascii="仿宋_GB2312" w:hAnsi="仿宋_GB2312" w:eastAsia="仿宋_GB2312" w:cs="仿宋_GB2312"/>
                <w:sz w:val="30"/>
                <w:szCs w:val="30"/>
              </w:rPr>
            </w:pPr>
          </w:p>
        </w:tc>
        <w:tc>
          <w:tcPr>
            <w:tcW w:w="587" w:type="dxa"/>
            <w:noWrap w:val="0"/>
            <w:vAlign w:val="center"/>
          </w:tcPr>
          <w:p>
            <w:pPr>
              <w:spacing w:line="560" w:lineRule="exact"/>
              <w:jc w:val="center"/>
              <w:rPr>
                <w:rFonts w:hint="eastAsia" w:ascii="仿宋_GB2312" w:hAnsi="仿宋_GB2312" w:eastAsia="仿宋_GB2312" w:cs="仿宋_GB2312"/>
                <w:sz w:val="30"/>
                <w:szCs w:val="30"/>
              </w:rPr>
            </w:pPr>
          </w:p>
        </w:tc>
        <w:tc>
          <w:tcPr>
            <w:tcW w:w="584" w:type="dxa"/>
            <w:noWrap w:val="0"/>
            <w:vAlign w:val="center"/>
          </w:tcPr>
          <w:p>
            <w:pPr>
              <w:spacing w:line="560" w:lineRule="exact"/>
              <w:jc w:val="center"/>
              <w:rPr>
                <w:rFonts w:hint="eastAsia" w:ascii="仿宋_GB2312" w:hAnsi="仿宋_GB2312" w:eastAsia="仿宋_GB2312" w:cs="仿宋_GB2312"/>
                <w:sz w:val="30"/>
                <w:szCs w:val="30"/>
              </w:rPr>
            </w:pPr>
          </w:p>
        </w:tc>
        <w:tc>
          <w:tcPr>
            <w:tcW w:w="581" w:type="dxa"/>
            <w:noWrap w:val="0"/>
            <w:vAlign w:val="center"/>
          </w:tcPr>
          <w:p>
            <w:pPr>
              <w:spacing w:line="560" w:lineRule="exact"/>
              <w:jc w:val="center"/>
              <w:rPr>
                <w:rFonts w:hint="eastAsia" w:ascii="仿宋_GB2312" w:hAnsi="仿宋_GB2312" w:eastAsia="仿宋_GB2312" w:cs="仿宋_GB2312"/>
                <w:sz w:val="30"/>
                <w:szCs w:val="30"/>
              </w:rPr>
            </w:pPr>
          </w:p>
        </w:tc>
        <w:tc>
          <w:tcPr>
            <w:tcW w:w="581" w:type="dxa"/>
            <w:noWrap w:val="0"/>
            <w:vAlign w:val="center"/>
          </w:tcPr>
          <w:p>
            <w:pPr>
              <w:spacing w:line="560" w:lineRule="exact"/>
              <w:jc w:val="center"/>
              <w:rPr>
                <w:rFonts w:hint="eastAsia" w:ascii="仿宋_GB2312" w:hAnsi="仿宋_GB2312" w:eastAsia="仿宋_GB2312" w:cs="仿宋_GB2312"/>
                <w:sz w:val="30"/>
                <w:szCs w:val="30"/>
              </w:rPr>
            </w:pPr>
          </w:p>
        </w:tc>
        <w:tc>
          <w:tcPr>
            <w:tcW w:w="581" w:type="dxa"/>
            <w:noWrap w:val="0"/>
            <w:vAlign w:val="center"/>
          </w:tcPr>
          <w:p>
            <w:pPr>
              <w:spacing w:line="560" w:lineRule="exact"/>
              <w:jc w:val="center"/>
              <w:rPr>
                <w:rFonts w:hint="eastAsia" w:ascii="仿宋_GB2312" w:hAnsi="仿宋_GB2312" w:eastAsia="仿宋_GB2312" w:cs="仿宋_GB2312"/>
                <w:sz w:val="30"/>
                <w:szCs w:val="30"/>
              </w:rPr>
            </w:pPr>
          </w:p>
        </w:tc>
        <w:tc>
          <w:tcPr>
            <w:tcW w:w="578" w:type="dxa"/>
            <w:noWrap w:val="0"/>
            <w:vAlign w:val="center"/>
          </w:tcPr>
          <w:p>
            <w:pPr>
              <w:spacing w:line="560" w:lineRule="exact"/>
              <w:jc w:val="center"/>
              <w:rPr>
                <w:rFonts w:hint="eastAsia" w:ascii="仿宋_GB2312" w:hAnsi="仿宋_GB2312" w:eastAsia="仿宋_GB2312" w:cs="仿宋_GB2312"/>
                <w:sz w:val="30"/>
                <w:szCs w:val="30"/>
              </w:rPr>
            </w:pPr>
          </w:p>
        </w:tc>
        <w:tc>
          <w:tcPr>
            <w:tcW w:w="578" w:type="dxa"/>
            <w:noWrap w:val="0"/>
            <w:vAlign w:val="center"/>
          </w:tcPr>
          <w:p>
            <w:pPr>
              <w:spacing w:line="560" w:lineRule="exact"/>
              <w:jc w:val="center"/>
              <w:rPr>
                <w:rFonts w:hint="eastAsia" w:ascii="仿宋_GB2312" w:hAnsi="仿宋_GB2312" w:eastAsia="仿宋_GB2312" w:cs="仿宋_GB2312"/>
                <w:sz w:val="30"/>
                <w:szCs w:val="30"/>
              </w:rPr>
            </w:pPr>
          </w:p>
        </w:tc>
      </w:tr>
    </w:tbl>
    <w:p>
      <w:pPr>
        <w:spacing w:line="560" w:lineRule="exact"/>
        <w:rPr>
          <w:rFonts w:hint="eastAsia" w:ascii="黑体" w:hAnsi="黑体" w:eastAsia="黑体" w:cs="黑体"/>
          <w:sz w:val="32"/>
          <w:szCs w:val="32"/>
        </w:rPr>
      </w:pPr>
      <w:r>
        <w:rPr>
          <w:rFonts w:hint="eastAsia" w:ascii="黑体" w:hAnsi="黑体" w:eastAsia="黑体" w:cs="黑体"/>
          <w:sz w:val="32"/>
          <w:szCs w:val="32"/>
        </w:rPr>
        <w:t xml:space="preserve">    五、存在的主要问题及改进情况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六、其他需要报告的事项</w:t>
      </w:r>
    </w:p>
    <w:p>
      <w:pPr>
        <w:spacing w:line="560" w:lineRule="exact"/>
        <w:ind w:left="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spacing w:line="560" w:lineRule="exact"/>
        <w:ind w:left="640"/>
        <w:rPr>
          <w:rFonts w:hint="eastAsia" w:ascii="仿宋_GB2312" w:hAnsi="仿宋_GB2312" w:eastAsia="仿宋_GB2312" w:cs="仿宋_GB2312"/>
          <w:sz w:val="32"/>
          <w:szCs w:val="32"/>
        </w:rPr>
      </w:pPr>
    </w:p>
    <w:p/>
    <w:p/>
    <w:p/>
    <w:p/>
    <w:p/>
    <w:p/>
    <w:p/>
    <w:p/>
    <w:p/>
    <w:p/>
    <w:p/>
    <w:p/>
    <w:p/>
    <w:p/>
    <w:p/>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地区生态环境局</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2020年1月17日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76735"/>
    <w:multiLevelType w:val="singleLevel"/>
    <w:tmpl w:val="4B67673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2E0B28"/>
    <w:rsid w:val="0460016C"/>
    <w:rsid w:val="1429589F"/>
    <w:rsid w:val="38CE01FE"/>
    <w:rsid w:val="3B8243C4"/>
    <w:rsid w:val="435E7651"/>
    <w:rsid w:val="44D84B23"/>
    <w:rsid w:val="48AB5821"/>
    <w:rsid w:val="513A67F1"/>
    <w:rsid w:val="5C2E0B28"/>
    <w:rsid w:val="67703965"/>
    <w:rsid w:val="6F567A63"/>
    <w:rsid w:val="7B550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2020-01-14T08:26:00Z</dcterms:created>
  <dc:creator>Administrator</dc:creator>
  <lastModifiedBy>Administrator</lastModifiedBy>
  <lastPrinted>2020-01-14T08:26:00Z</lastPrinted>
  <dcterms:modified xsi:type="dcterms:W3CDTF">2020-01-23T02:30:42Z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